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01F3" w14:textId="77777777" w:rsidR="00B765DA" w:rsidRDefault="00B765DA" w:rsidP="00F14F87">
      <w:pPr>
        <w:widowControl/>
        <w:suppressAutoHyphens/>
        <w:spacing w:line="24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val="en-GB" w:eastAsia="en-US"/>
        </w:rPr>
      </w:pPr>
    </w:p>
    <w:p w14:paraId="243EC3E3" w14:textId="05180428" w:rsidR="00F14F87" w:rsidRPr="00F14F87" w:rsidRDefault="00F14F87" w:rsidP="00F14F87">
      <w:pPr>
        <w:widowControl/>
        <w:suppressAutoHyphens/>
        <w:spacing w:line="24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val="en-GB" w:eastAsia="en-US"/>
        </w:rPr>
      </w:pPr>
      <w:r w:rsidRPr="00F14F87">
        <w:rPr>
          <w:rFonts w:ascii="Times New Roman" w:eastAsia="Times New Roman" w:hAnsi="Times New Roman" w:cs="Times New Roman"/>
          <w:b/>
          <w:kern w:val="0"/>
          <w:sz w:val="28"/>
          <w:szCs w:val="20"/>
          <w:lang w:val="en-GB" w:eastAsia="en-US"/>
        </w:rPr>
        <w:t>Amendments to ECE/TRANS/WP.29/2021/</w:t>
      </w:r>
      <w:r w:rsidR="00DA3C29" w:rsidRPr="00280DB3">
        <w:rPr>
          <w:rFonts w:asciiTheme="majorBidi" w:hAnsiTheme="majorBidi" w:cstheme="majorBidi"/>
          <w:b/>
          <w:kern w:val="0"/>
          <w:sz w:val="28"/>
          <w:szCs w:val="20"/>
          <w:lang w:val="en-GB"/>
        </w:rPr>
        <w:t>84</w:t>
      </w:r>
      <w:r w:rsidR="00EB6348" w:rsidRPr="00EB6348">
        <w:rPr>
          <w:rStyle w:val="FootnoteReference"/>
          <w:rFonts w:asciiTheme="majorBidi" w:hAnsiTheme="majorBidi" w:cstheme="majorBidi"/>
          <w:b/>
          <w:kern w:val="0"/>
          <w:sz w:val="20"/>
          <w:szCs w:val="20"/>
          <w:vertAlign w:val="baseline"/>
          <w:lang w:val="en-GB"/>
        </w:rPr>
        <w:footnoteReference w:customMarkFollows="1" w:id="1"/>
        <w:t>*</w:t>
      </w:r>
    </w:p>
    <w:p w14:paraId="16ED91A4" w14:textId="77777777" w:rsidR="00F14F87" w:rsidRDefault="00F14F87" w:rsidP="00F14F87">
      <w:pPr>
        <w:widowControl/>
        <w:suppressAutoHyphens/>
        <w:spacing w:line="240" w:lineRule="atLeast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</w:p>
    <w:p w14:paraId="32F90091" w14:textId="77777777" w:rsidR="00B765DA" w:rsidRPr="00B765DA" w:rsidRDefault="00B765DA" w:rsidP="00F14F87">
      <w:pPr>
        <w:widowControl/>
        <w:suppressAutoHyphens/>
        <w:spacing w:line="240" w:lineRule="atLeast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</w:p>
    <w:p w14:paraId="1597992A" w14:textId="63826795" w:rsidR="00F14F87" w:rsidRPr="00F14F87" w:rsidRDefault="00F14F87" w:rsidP="00F14F87">
      <w:pPr>
        <w:widowControl/>
        <w:suppressAutoHyphens/>
        <w:spacing w:after="120" w:line="240" w:lineRule="atLeast"/>
        <w:ind w:left="1134" w:right="1134"/>
        <w:rPr>
          <w:rFonts w:ascii="Times New Roman" w:eastAsia="DengXian" w:hAnsi="Times New Roman" w:cs="Times New Roman"/>
          <w:kern w:val="0"/>
          <w:sz w:val="20"/>
          <w:szCs w:val="20"/>
          <w:lang w:val="en-GB" w:eastAsia="en-US"/>
        </w:rPr>
      </w:pPr>
      <w:r w:rsidRPr="00F14F87">
        <w:rPr>
          <w:rFonts w:ascii="Times New Roman" w:eastAsia="DengXian" w:hAnsi="Times New Roman" w:cs="Times New Roman"/>
          <w:kern w:val="0"/>
          <w:sz w:val="20"/>
          <w:szCs w:val="20"/>
          <w:lang w:val="en-GB" w:eastAsia="en-US"/>
        </w:rPr>
        <w:t xml:space="preserve">This document includes the </w:t>
      </w:r>
      <w:r w:rsidR="00DA3C29">
        <w:rPr>
          <w:rFonts w:asciiTheme="minorEastAsia" w:hAnsiTheme="minorEastAsia" w:cs="Times New Roman" w:hint="eastAsia"/>
          <w:kern w:val="0"/>
          <w:sz w:val="20"/>
          <w:szCs w:val="20"/>
          <w:lang w:val="en-GB"/>
        </w:rPr>
        <w:t>a</w:t>
      </w:r>
      <w:r w:rsidR="00DA3C29">
        <w:rPr>
          <w:rFonts w:asciiTheme="minorEastAsia" w:hAnsiTheme="minorEastAsia" w:cs="Times New Roman"/>
          <w:kern w:val="0"/>
          <w:sz w:val="20"/>
          <w:szCs w:val="20"/>
          <w:lang w:val="en-GB"/>
        </w:rPr>
        <w:t xml:space="preserve">mendments to ECE/TRANS/WP.29/2021/84 </w:t>
      </w:r>
      <w:r w:rsidRPr="00F14F87">
        <w:rPr>
          <w:rFonts w:ascii="Times New Roman" w:eastAsia="DengXian" w:hAnsi="Times New Roman" w:cs="Times New Roman"/>
          <w:kern w:val="0"/>
          <w:sz w:val="20"/>
          <w:szCs w:val="20"/>
          <w:lang w:val="en-GB" w:eastAsia="en-US"/>
        </w:rPr>
        <w:t xml:space="preserve">introduced during the </w:t>
      </w:r>
      <w:r w:rsidR="00EF192E">
        <w:rPr>
          <w:rFonts w:ascii="Times New Roman" w:eastAsia="DengXian" w:hAnsi="Times New Roman" w:cs="Times New Roman"/>
          <w:kern w:val="0"/>
          <w:sz w:val="20"/>
          <w:szCs w:val="20"/>
          <w:lang w:val="en-GB" w:eastAsia="en-US"/>
        </w:rPr>
        <w:t xml:space="preserve">thirty seventh </w:t>
      </w:r>
      <w:r w:rsidRPr="00F14F87">
        <w:rPr>
          <w:rFonts w:ascii="Times New Roman" w:eastAsia="DengXian" w:hAnsi="Times New Roman" w:cs="Times New Roman"/>
          <w:kern w:val="0"/>
          <w:sz w:val="20"/>
          <w:szCs w:val="20"/>
          <w:lang w:val="en-GB" w:eastAsia="en-US"/>
        </w:rPr>
        <w:t xml:space="preserve">session of the </w:t>
      </w:r>
      <w:r w:rsidR="00EF192E">
        <w:rPr>
          <w:rFonts w:ascii="Times New Roman" w:eastAsia="DengXian" w:hAnsi="Times New Roman" w:cs="Times New Roman"/>
          <w:kern w:val="0"/>
          <w:sz w:val="20"/>
          <w:szCs w:val="20"/>
          <w:lang w:val="en-GB" w:eastAsia="en-US"/>
        </w:rPr>
        <w:t>Informal Working Group on International Whole Vehicle Type Approval (IWVTA). Th</w:t>
      </w:r>
      <w:r w:rsidR="008B6ABC">
        <w:rPr>
          <w:rFonts w:ascii="Times New Roman" w:eastAsia="DengXian" w:hAnsi="Times New Roman" w:cs="Times New Roman"/>
          <w:kern w:val="0"/>
          <w:sz w:val="20"/>
          <w:szCs w:val="20"/>
          <w:lang w:val="en-GB" w:eastAsia="en-US"/>
        </w:rPr>
        <w:t>is document adding transitional provisions to</w:t>
      </w:r>
      <w:r w:rsidR="00EF192E">
        <w:rPr>
          <w:rFonts w:ascii="Times New Roman" w:eastAsia="DengXian" w:hAnsi="Times New Roman" w:cs="Times New Roman"/>
          <w:kern w:val="0"/>
          <w:sz w:val="20"/>
          <w:szCs w:val="20"/>
          <w:lang w:val="en-GB" w:eastAsia="en-US"/>
        </w:rPr>
        <w:t xml:space="preserve"> </w:t>
      </w:r>
      <w:r w:rsidR="008B6ABC">
        <w:rPr>
          <w:rFonts w:ascii="Times New Roman" w:eastAsia="DengXian" w:hAnsi="Times New Roman" w:cs="Times New Roman"/>
          <w:kern w:val="0"/>
          <w:sz w:val="20"/>
          <w:szCs w:val="20"/>
          <w:lang w:val="en-GB" w:eastAsia="en-US"/>
        </w:rPr>
        <w:t>the 04 series of amendments to UN Regulation No.</w:t>
      </w:r>
      <w:r w:rsidR="00B06525">
        <w:rPr>
          <w:rFonts w:ascii="Times New Roman" w:eastAsia="DengXian" w:hAnsi="Times New Roman" w:cs="Times New Roman"/>
          <w:kern w:val="0"/>
          <w:sz w:val="20"/>
          <w:szCs w:val="20"/>
          <w:lang w:val="en-GB" w:eastAsia="en-US"/>
        </w:rPr>
        <w:t> </w:t>
      </w:r>
      <w:r w:rsidR="008B6ABC">
        <w:rPr>
          <w:rFonts w:ascii="Times New Roman" w:eastAsia="DengXian" w:hAnsi="Times New Roman" w:cs="Times New Roman"/>
          <w:kern w:val="0"/>
          <w:sz w:val="20"/>
          <w:szCs w:val="20"/>
          <w:lang w:val="en-GB" w:eastAsia="en-US"/>
        </w:rPr>
        <w:t>0 is submitted to the World Forum for Harmonization of Vehicle Regulations (WP.29) at its 185</w:t>
      </w:r>
      <w:r w:rsidR="008B6ABC" w:rsidRPr="008B6ABC">
        <w:rPr>
          <w:rFonts w:ascii="Times New Roman" w:eastAsia="DengXian" w:hAnsi="Times New Roman" w:cs="Times New Roman"/>
          <w:kern w:val="0"/>
          <w:sz w:val="20"/>
          <w:szCs w:val="20"/>
          <w:vertAlign w:val="superscript"/>
          <w:lang w:val="en-GB" w:eastAsia="en-US"/>
        </w:rPr>
        <w:t>th</w:t>
      </w:r>
      <w:r w:rsidR="008B6ABC">
        <w:rPr>
          <w:rFonts w:ascii="Times New Roman" w:eastAsia="DengXian" w:hAnsi="Times New Roman" w:cs="Times New Roman"/>
          <w:kern w:val="0"/>
          <w:sz w:val="20"/>
          <w:szCs w:val="20"/>
          <w:lang w:val="en-GB" w:eastAsia="en-US"/>
        </w:rPr>
        <w:t xml:space="preserve"> session.</w:t>
      </w:r>
    </w:p>
    <w:p w14:paraId="73DB959B" w14:textId="77777777" w:rsidR="00F14F87" w:rsidRPr="00F14F87" w:rsidRDefault="00F14F87" w:rsidP="00F14F87">
      <w:pPr>
        <w:widowControl/>
        <w:suppressAutoHyphens/>
        <w:spacing w:line="240" w:lineRule="atLeast"/>
        <w:ind w:left="1134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</w:p>
    <w:p w14:paraId="4A0741BC" w14:textId="77777777" w:rsidR="00F14F87" w:rsidRPr="00F14F87" w:rsidRDefault="00F14F87" w:rsidP="00F14F87">
      <w:pPr>
        <w:keepNext/>
        <w:keepLines/>
        <w:widowControl/>
        <w:tabs>
          <w:tab w:val="right" w:pos="851"/>
          <w:tab w:val="left" w:pos="1134"/>
          <w:tab w:val="left" w:pos="1701"/>
          <w:tab w:val="left" w:pos="2268"/>
          <w:tab w:val="left" w:pos="2836"/>
        </w:tabs>
        <w:suppressAutoHyphens/>
        <w:spacing w:before="360" w:after="240" w:line="300" w:lineRule="exact"/>
        <w:ind w:left="1134" w:right="1134" w:hanging="1134"/>
        <w:jc w:val="left"/>
        <w:rPr>
          <w:rFonts w:ascii="Times New Roman" w:eastAsia="Times New Roman" w:hAnsi="Times New Roman" w:cs="Times New Roman"/>
          <w:b/>
          <w:kern w:val="0"/>
          <w:sz w:val="28"/>
          <w:szCs w:val="20"/>
          <w:lang w:val="en-GB" w:eastAsia="en-US"/>
        </w:rPr>
      </w:pPr>
      <w:r w:rsidRPr="00F14F87">
        <w:rPr>
          <w:rFonts w:ascii="Times New Roman" w:eastAsia="Times New Roman" w:hAnsi="Times New Roman" w:cs="Times New Roman"/>
          <w:b/>
          <w:kern w:val="0"/>
          <w:sz w:val="28"/>
          <w:szCs w:val="20"/>
          <w:lang w:val="en-GB" w:eastAsia="en-US"/>
        </w:rPr>
        <w:tab/>
      </w:r>
      <w:r w:rsidRPr="00F14F87">
        <w:rPr>
          <w:rFonts w:ascii="Times New Roman" w:eastAsia="Times New Roman" w:hAnsi="Times New Roman" w:cs="Times New Roman"/>
          <w:b/>
          <w:kern w:val="0"/>
          <w:sz w:val="28"/>
          <w:szCs w:val="20"/>
          <w:lang w:val="en-GB" w:eastAsia="en-US"/>
        </w:rPr>
        <w:tab/>
        <w:t>Proposal</w:t>
      </w:r>
    </w:p>
    <w:p w14:paraId="1371AED4" w14:textId="0AE19901" w:rsidR="00F14F87" w:rsidRPr="008B6ABC" w:rsidRDefault="008B6ABC" w:rsidP="00F14F87">
      <w:pPr>
        <w:widowControl/>
        <w:suppressAutoHyphens/>
        <w:spacing w:before="120" w:after="120" w:line="240" w:lineRule="atLeast"/>
        <w:ind w:left="2268" w:right="1134" w:hanging="1134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8B6AB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en-GB" w:eastAsia="en-US"/>
        </w:rPr>
        <w:t xml:space="preserve">Insert </w:t>
      </w:r>
      <w:r w:rsidRPr="008B6ABC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en-GB" w:eastAsia="en-US"/>
        </w:rPr>
        <w:t>new paragraphs</w:t>
      </w:r>
      <w:r w:rsidR="00F14F87" w:rsidRPr="008B6AB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en-GB" w:eastAsia="en-US"/>
        </w:rPr>
        <w:t xml:space="preserve"> </w:t>
      </w:r>
      <w:r w:rsidRPr="008B6AB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en-GB" w:eastAsia="en-US"/>
        </w:rPr>
        <w:t>12.</w:t>
      </w:r>
      <w:r w:rsidR="002C153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en-GB" w:eastAsia="en-US"/>
        </w:rPr>
        <w:t>5</w:t>
      </w:r>
      <w:r w:rsidR="00BF33F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en-GB" w:eastAsia="en-US"/>
        </w:rPr>
        <w:t>. and 12.</w:t>
      </w:r>
      <w:r w:rsidR="002C153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en-GB" w:eastAsia="en-US"/>
        </w:rPr>
        <w:t>6</w:t>
      </w:r>
      <w:r w:rsidR="00BF33F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en-GB" w:eastAsia="en-US"/>
        </w:rPr>
        <w:t>.</w:t>
      </w:r>
      <w:r w:rsidR="00B0652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en-GB" w:eastAsia="en-US"/>
        </w:rPr>
        <w:t>,</w:t>
      </w:r>
      <w:r w:rsidR="00BF33F2" w:rsidRPr="00B06525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to read:</w:t>
      </w:r>
    </w:p>
    <w:p w14:paraId="0B4CB337" w14:textId="77777777" w:rsidR="00F14F87" w:rsidRPr="008B6ABC" w:rsidRDefault="00F14F87" w:rsidP="00F14F87">
      <w:pPr>
        <w:widowControl/>
        <w:suppressAutoHyphens/>
        <w:spacing w:before="120" w:after="120" w:line="240" w:lineRule="atLeast"/>
        <w:ind w:left="2268" w:right="1134" w:hanging="1134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en-GB" w:eastAsia="en-US"/>
        </w:rPr>
      </w:pPr>
      <w:r w:rsidRPr="008B6ABC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“</w:t>
      </w:r>
      <w:r w:rsidR="008B6ABC" w:rsidRPr="008B6ABC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12.</w:t>
      </w:r>
      <w:r w:rsidR="00762CAC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5</w:t>
      </w:r>
      <w:r w:rsidRPr="008B6ABC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.</w:t>
      </w:r>
      <w:r w:rsidRPr="008B6ABC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"</w:t>
      </w:r>
      <w:r w:rsidR="00B765DA" w:rsidRPr="00B765D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As from the official date of entry into force of the 0</w:t>
      </w:r>
      <w:r w:rsidR="00B765D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4</w:t>
      </w:r>
      <w:r w:rsidR="00B765DA" w:rsidRPr="00B765D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series of amendments, no Contracting Party applying this UN Regulation shall refuse to grant or refuse to accept an IWVTA issued pursuant to this UN Regulation as amended by the 0</w:t>
      </w:r>
      <w:r w:rsidR="00B765D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4</w:t>
      </w:r>
      <w:r w:rsidR="00B765DA" w:rsidRPr="00B765D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series of amendments.</w:t>
      </w:r>
      <w:r w:rsidRPr="008B6ABC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”</w:t>
      </w:r>
    </w:p>
    <w:p w14:paraId="1884014D" w14:textId="77777777" w:rsidR="00F14F87" w:rsidRPr="008B6ABC" w:rsidRDefault="00F14F87" w:rsidP="00F14F87">
      <w:pPr>
        <w:widowControl/>
        <w:suppressAutoHyphens/>
        <w:spacing w:before="120" w:after="120" w:line="240" w:lineRule="atLeast"/>
        <w:ind w:left="2268" w:right="1134" w:hanging="1134"/>
        <w:rPr>
          <w:rFonts w:ascii="Times New Roman" w:eastAsia="Times New Roman" w:hAnsi="Times New Roman" w:cs="Times New Roman"/>
          <w:iCs/>
          <w:kern w:val="0"/>
          <w:sz w:val="20"/>
          <w:szCs w:val="20"/>
          <w:lang w:val="en-GB" w:eastAsia="en-US"/>
        </w:rPr>
      </w:pPr>
    </w:p>
    <w:p w14:paraId="1B32A2EB" w14:textId="77777777" w:rsidR="00F14F87" w:rsidRDefault="00F14F87" w:rsidP="00F14F87">
      <w:pPr>
        <w:widowControl/>
        <w:suppressAutoHyphens/>
        <w:spacing w:before="120" w:after="120" w:line="240" w:lineRule="atLeast"/>
        <w:ind w:left="2268" w:right="1134" w:hanging="1134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8B6ABC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“</w:t>
      </w:r>
      <w:r w:rsidR="008B6ABC" w:rsidRPr="008B6ABC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12.</w:t>
      </w:r>
      <w:r w:rsidR="00762CAC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6</w:t>
      </w:r>
      <w:r w:rsidR="008B6ABC" w:rsidRPr="008B6ABC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.</w:t>
      </w:r>
      <w:r w:rsidRPr="008B6ABC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"</w:t>
      </w:r>
      <w:r w:rsidR="00B765DA" w:rsidRPr="00B765D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As from 1 September 202</w:t>
      </w:r>
      <w:r w:rsidR="00B765D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2</w:t>
      </w:r>
      <w:r w:rsidR="00B765DA" w:rsidRPr="00B765D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, Contracting Parties applying this UN Regulation shall not be obliged to accept an IWVTA to the 0</w:t>
      </w:r>
      <w:r w:rsidR="00B765D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3</w:t>
      </w:r>
      <w:r w:rsidR="00B765DA" w:rsidRPr="00B765D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series of amendments to this UN Regulation that were first issued on or after 1 September 202</w:t>
      </w:r>
      <w:r w:rsidR="00B765D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2</w:t>
      </w:r>
      <w:r w:rsidR="00B765DA" w:rsidRPr="00B765D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  <w:r w:rsidRPr="008B6ABC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”</w:t>
      </w:r>
    </w:p>
    <w:p w14:paraId="00A0D0D7" w14:textId="70A34A76" w:rsidR="00B765DA" w:rsidRPr="008740E8" w:rsidRDefault="008740E8" w:rsidP="008740E8">
      <w:pPr>
        <w:spacing w:before="240" w:line="240" w:lineRule="atLeast"/>
        <w:jc w:val="center"/>
        <w:rPr>
          <w:u w:val="single"/>
          <w:lang w:val="en-GB" w:eastAsia="en-US"/>
        </w:rPr>
      </w:pPr>
      <w:r>
        <w:rPr>
          <w:u w:val="single"/>
          <w:lang w:val="en-GB" w:eastAsia="en-US"/>
        </w:rPr>
        <w:tab/>
      </w:r>
      <w:r>
        <w:rPr>
          <w:u w:val="single"/>
          <w:lang w:val="en-GB" w:eastAsia="en-US"/>
        </w:rPr>
        <w:tab/>
      </w:r>
      <w:r>
        <w:rPr>
          <w:u w:val="single"/>
          <w:lang w:val="en-GB" w:eastAsia="en-US"/>
        </w:rPr>
        <w:tab/>
      </w:r>
    </w:p>
    <w:p w14:paraId="347875D0" w14:textId="77777777" w:rsidR="00B765DA" w:rsidRPr="008B6ABC" w:rsidRDefault="00B765DA" w:rsidP="00F14F87">
      <w:pPr>
        <w:widowControl/>
        <w:suppressAutoHyphens/>
        <w:spacing w:before="120" w:after="120" w:line="240" w:lineRule="atLeast"/>
        <w:ind w:left="2268" w:right="1134" w:hanging="1134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</w:p>
    <w:sectPr w:rsidR="00B765DA" w:rsidRPr="008B6ABC" w:rsidSect="00437BFE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E354A" w14:textId="77777777" w:rsidR="00CD2758" w:rsidRDefault="00CD2758">
      <w:r>
        <w:separator/>
      </w:r>
    </w:p>
  </w:endnote>
  <w:endnote w:type="continuationSeparator" w:id="0">
    <w:p w14:paraId="6DAFDA85" w14:textId="77777777" w:rsidR="00CD2758" w:rsidRDefault="00CD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0953D" w14:textId="77777777" w:rsidR="00CD2758" w:rsidRDefault="00CD2758">
      <w:r>
        <w:separator/>
      </w:r>
    </w:p>
  </w:footnote>
  <w:footnote w:type="continuationSeparator" w:id="0">
    <w:p w14:paraId="1B336889" w14:textId="77777777" w:rsidR="00CD2758" w:rsidRDefault="00CD2758">
      <w:r>
        <w:continuationSeparator/>
      </w:r>
    </w:p>
  </w:footnote>
  <w:footnote w:id="1">
    <w:p w14:paraId="05642D34" w14:textId="140190F4" w:rsidR="00EB6348" w:rsidRPr="00EB6348" w:rsidRDefault="00EB6348">
      <w:pPr>
        <w:pStyle w:val="FootnoteText"/>
        <w:rPr>
          <w:sz w:val="18"/>
        </w:rPr>
      </w:pPr>
      <w:r w:rsidRPr="00EB6348">
        <w:rPr>
          <w:rStyle w:val="FootnoteReference"/>
          <w:vertAlign w:val="baseline"/>
        </w:rPr>
        <w:t>*</w:t>
      </w:r>
      <w:r>
        <w:rPr>
          <w:rStyle w:val="FootnoteReference"/>
          <w:vertAlign w:val="baseline"/>
        </w:rPr>
        <w:tab/>
      </w:r>
      <w:r>
        <w:rPr>
          <w:sz w:val="18"/>
        </w:rPr>
        <w:t>Reissued for technical reason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FA1F81" w:rsidRPr="007F79AA" w14:paraId="7A4B9962" w14:textId="77777777" w:rsidTr="00096DBE">
      <w:tc>
        <w:tcPr>
          <w:tcW w:w="4395" w:type="dxa"/>
        </w:tcPr>
        <w:p w14:paraId="71F588C0" w14:textId="1E29D433" w:rsidR="00FA1F81" w:rsidRPr="00FA1F81" w:rsidRDefault="00FA1F81" w:rsidP="00FA1F81">
          <w:pPr>
            <w:pStyle w:val="Header"/>
            <w:rPr>
              <w:rFonts w:asciiTheme="majorBidi" w:hAnsiTheme="majorBidi" w:cstheme="majorBidi"/>
              <w:sz w:val="20"/>
              <w:szCs w:val="20"/>
              <w:lang w:val="en-GB"/>
            </w:rPr>
          </w:pPr>
          <w:r w:rsidRPr="00FA1F81">
            <w:rPr>
              <w:rFonts w:asciiTheme="majorBidi" w:hAnsiTheme="majorBidi" w:cstheme="majorBidi"/>
              <w:sz w:val="20"/>
              <w:szCs w:val="20"/>
              <w:lang w:val="en-GB"/>
            </w:rPr>
            <w:t>Submitted by the IWG on IWVTA</w:t>
          </w:r>
        </w:p>
      </w:tc>
      <w:tc>
        <w:tcPr>
          <w:tcW w:w="4961" w:type="dxa"/>
        </w:tcPr>
        <w:p w14:paraId="6D4B3C0C" w14:textId="3F22B4BA" w:rsidR="00FA1F81" w:rsidRPr="00FA1F81" w:rsidRDefault="00FA1F81" w:rsidP="00FA1F81">
          <w:pPr>
            <w:ind w:left="742"/>
            <w:jc w:val="right"/>
            <w:rPr>
              <w:rFonts w:asciiTheme="majorBidi" w:hAnsiTheme="majorBidi" w:cstheme="majorBidi"/>
              <w:sz w:val="20"/>
              <w:szCs w:val="20"/>
              <w:lang w:val="en-GB"/>
            </w:rPr>
          </w:pPr>
          <w:r w:rsidRPr="00FA1F81">
            <w:rPr>
              <w:rFonts w:asciiTheme="majorBidi" w:hAnsiTheme="majorBidi" w:cstheme="majorBidi"/>
              <w:sz w:val="20"/>
              <w:szCs w:val="20"/>
              <w:u w:val="single"/>
              <w:lang w:val="en-GB"/>
            </w:rPr>
            <w:t>Informal document</w:t>
          </w:r>
          <w:r w:rsidRPr="00FA1F81">
            <w:rPr>
              <w:rFonts w:asciiTheme="majorBidi" w:hAnsiTheme="majorBidi" w:cstheme="majorBidi"/>
              <w:sz w:val="20"/>
              <w:szCs w:val="20"/>
              <w:lang w:val="en-GB"/>
            </w:rPr>
            <w:t xml:space="preserve"> </w:t>
          </w:r>
          <w:r w:rsidRPr="00FA1F81">
            <w:rPr>
              <w:rFonts w:asciiTheme="majorBidi" w:hAnsiTheme="majorBidi" w:cstheme="majorBidi"/>
              <w:b/>
              <w:bCs/>
              <w:sz w:val="20"/>
              <w:szCs w:val="20"/>
              <w:lang w:val="en-GB"/>
            </w:rPr>
            <w:t>WP.29-185-10</w:t>
          </w:r>
          <w:r w:rsidRPr="00FA1F81">
            <w:rPr>
              <w:rFonts w:asciiTheme="majorBidi" w:hAnsiTheme="majorBidi" w:cstheme="majorBidi"/>
              <w:b/>
              <w:bCs/>
              <w:sz w:val="20"/>
              <w:szCs w:val="20"/>
              <w:lang w:val="en-GB"/>
            </w:rPr>
            <w:br/>
          </w:r>
          <w:r w:rsidRPr="00FA1F81">
            <w:rPr>
              <w:rFonts w:asciiTheme="majorBidi" w:hAnsiTheme="majorBidi" w:cstheme="majorBidi"/>
              <w:sz w:val="20"/>
              <w:szCs w:val="20"/>
              <w:lang w:val="en-GB"/>
            </w:rPr>
            <w:t>(185th WP.29, 23</w:t>
          </w:r>
          <w:r w:rsidR="00B06525">
            <w:rPr>
              <w:rFonts w:asciiTheme="majorBidi" w:hAnsiTheme="majorBidi" w:cstheme="majorBidi"/>
              <w:sz w:val="20"/>
              <w:szCs w:val="20"/>
              <w:lang w:val="en-GB"/>
            </w:rPr>
            <w:t>-</w:t>
          </w:r>
          <w:r w:rsidRPr="00FA1F81">
            <w:rPr>
              <w:rFonts w:asciiTheme="majorBidi" w:hAnsiTheme="majorBidi" w:cstheme="majorBidi"/>
              <w:sz w:val="20"/>
              <w:szCs w:val="20"/>
              <w:lang w:val="en-GB"/>
            </w:rPr>
            <w:t>25 November 2021</w:t>
          </w:r>
          <w:r w:rsidRPr="00FA1F81">
            <w:rPr>
              <w:rFonts w:asciiTheme="majorBidi" w:hAnsiTheme="majorBidi" w:cstheme="majorBidi"/>
              <w:sz w:val="20"/>
              <w:szCs w:val="20"/>
              <w:lang w:val="en-GB"/>
            </w:rPr>
            <w:br/>
            <w:t>Agenda item 4.3)</w:t>
          </w:r>
        </w:p>
      </w:tc>
    </w:tr>
  </w:tbl>
  <w:p w14:paraId="4C2F57D1" w14:textId="77777777" w:rsidR="00437BFE" w:rsidRDefault="00CD2758" w:rsidP="00DA3C29">
    <w:pPr>
      <w:pStyle w:val="Header"/>
      <w:ind w:right="210"/>
      <w:jc w:val="right"/>
    </w:pPr>
  </w:p>
  <w:p w14:paraId="4F48C604" w14:textId="77777777" w:rsidR="00437BFE" w:rsidRPr="00437BFE" w:rsidRDefault="00CD2758" w:rsidP="00437BF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bordersDoNotSurroundHeader/>
  <w:bordersDoNotSurroundFooter/>
  <w:proofState w:spelling="clean" w:grammar="clean"/>
  <w:defaultTabStop w:val="840"/>
  <w:evenAndOddHeaders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87"/>
    <w:rsid w:val="000A057D"/>
    <w:rsid w:val="00145E9B"/>
    <w:rsid w:val="001814C4"/>
    <w:rsid w:val="00280DB3"/>
    <w:rsid w:val="002C153F"/>
    <w:rsid w:val="00442394"/>
    <w:rsid w:val="0048475C"/>
    <w:rsid w:val="005A2B75"/>
    <w:rsid w:val="005C7591"/>
    <w:rsid w:val="00622BC9"/>
    <w:rsid w:val="00762CAC"/>
    <w:rsid w:val="007648E0"/>
    <w:rsid w:val="008740E8"/>
    <w:rsid w:val="008B6ABC"/>
    <w:rsid w:val="00955E7F"/>
    <w:rsid w:val="00981CC6"/>
    <w:rsid w:val="00A736E0"/>
    <w:rsid w:val="00B06525"/>
    <w:rsid w:val="00B06EBF"/>
    <w:rsid w:val="00B765DA"/>
    <w:rsid w:val="00BF33F2"/>
    <w:rsid w:val="00CD2758"/>
    <w:rsid w:val="00D01B5A"/>
    <w:rsid w:val="00D14223"/>
    <w:rsid w:val="00DA3C29"/>
    <w:rsid w:val="00EB6348"/>
    <w:rsid w:val="00EF192E"/>
    <w:rsid w:val="00F14F87"/>
    <w:rsid w:val="00F4778B"/>
    <w:rsid w:val="00F84969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F0705"/>
  <w15:chartTrackingRefBased/>
  <w15:docId w15:val="{3B4EC771-B071-4F72-9BB0-E51A162C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F8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4F87"/>
  </w:style>
  <w:style w:type="paragraph" w:styleId="Footer">
    <w:name w:val="footer"/>
    <w:basedOn w:val="Normal"/>
    <w:link w:val="FooterChar"/>
    <w:uiPriority w:val="99"/>
    <w:unhideWhenUsed/>
    <w:rsid w:val="00DA3C2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A3C29"/>
  </w:style>
  <w:style w:type="paragraph" w:styleId="FootnoteText">
    <w:name w:val="footnote text"/>
    <w:basedOn w:val="Normal"/>
    <w:link w:val="FootnoteTextChar"/>
    <w:uiPriority w:val="99"/>
    <w:semiHidden/>
    <w:unhideWhenUsed/>
    <w:rsid w:val="00EB63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3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0F186-6035-4654-A2AA-E9F1CC59F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4B3D9-F6E0-4943-AA19-91555B703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66EE9-E141-44C4-AC30-DFD4A6407F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Oshita, Ryuzo/大下 隆三</dc:creator>
  <cp:keywords/>
  <dc:description/>
  <cp:lastModifiedBy>Nadiya Dzyubynska</cp:lastModifiedBy>
  <cp:revision>3</cp:revision>
  <dcterms:created xsi:type="dcterms:W3CDTF">2021-11-22T10:44:00Z</dcterms:created>
  <dcterms:modified xsi:type="dcterms:W3CDTF">2021-11-22T10:45:00Z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