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9"/>
        <w:gridCol w:w="2236"/>
        <w:gridCol w:w="6144"/>
      </w:tblGrid>
      <w:tr w:rsidR="00E83DE0" w14:paraId="12EDB8FF" w14:textId="77777777">
        <w:trPr>
          <w:trHeight w:val="851"/>
        </w:trPr>
        <w:tc>
          <w:tcPr>
            <w:tcW w:w="1259" w:type="dxa"/>
            <w:tcBorders>
              <w:top w:val="nil"/>
              <w:left w:val="nil"/>
              <w:bottom w:val="single" w:sz="4" w:space="0" w:color="auto"/>
              <w:right w:val="nil"/>
            </w:tcBorders>
            <w:shd w:val="clear" w:color="auto" w:fill="auto"/>
          </w:tcPr>
          <w:p w14:paraId="3A069168" w14:textId="77777777" w:rsidR="00E83DE0" w:rsidRDefault="00E83DE0">
            <w:pPr>
              <w:spacing w:after="80" w:line="340" w:lineRule="exact"/>
            </w:pPr>
            <w:bookmarkStart w:id="0" w:name="_Hlk88227748"/>
            <w:bookmarkEnd w:id="0"/>
          </w:p>
        </w:tc>
        <w:tc>
          <w:tcPr>
            <w:tcW w:w="2236" w:type="dxa"/>
            <w:tcBorders>
              <w:top w:val="nil"/>
              <w:left w:val="nil"/>
              <w:bottom w:val="single" w:sz="4" w:space="0" w:color="auto"/>
              <w:right w:val="nil"/>
            </w:tcBorders>
            <w:shd w:val="clear" w:color="auto" w:fill="auto"/>
            <w:vAlign w:val="bottom"/>
          </w:tcPr>
          <w:p w14:paraId="29051EF2" w14:textId="77777777" w:rsidR="00E83DE0" w:rsidRDefault="00E83DE0">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4480ED6D" w14:textId="065957D5" w:rsidR="00E83DE0" w:rsidRDefault="006C4575">
            <w:pPr>
              <w:jc w:val="right"/>
              <w:rPr>
                <w:b/>
                <w:sz w:val="40"/>
                <w:szCs w:val="40"/>
              </w:rPr>
            </w:pPr>
            <w:r>
              <w:rPr>
                <w:b/>
                <w:sz w:val="40"/>
                <w:szCs w:val="40"/>
              </w:rPr>
              <w:t>UN/SCETDG/5</w:t>
            </w:r>
            <w:r>
              <w:rPr>
                <w:rFonts w:hint="eastAsia"/>
                <w:b/>
                <w:sz w:val="40"/>
                <w:szCs w:val="40"/>
                <w:lang w:eastAsia="zh-CN"/>
              </w:rPr>
              <w:t>9</w:t>
            </w:r>
            <w:r>
              <w:rPr>
                <w:b/>
                <w:sz w:val="40"/>
                <w:szCs w:val="40"/>
              </w:rPr>
              <w:t>/INF.</w:t>
            </w:r>
            <w:r w:rsidR="005657D3">
              <w:rPr>
                <w:b/>
                <w:sz w:val="40"/>
                <w:szCs w:val="40"/>
              </w:rPr>
              <w:t>22</w:t>
            </w:r>
          </w:p>
          <w:p w14:paraId="21213B54" w14:textId="77777777" w:rsidR="00E83DE0" w:rsidRDefault="00E83DE0">
            <w:pPr>
              <w:jc w:val="right"/>
            </w:pPr>
          </w:p>
        </w:tc>
      </w:tr>
    </w:tbl>
    <w:tbl>
      <w:tblPr>
        <w:tblW w:w="9645" w:type="dxa"/>
        <w:tblInd w:w="108" w:type="dxa"/>
        <w:tblLayout w:type="fixed"/>
        <w:tblLook w:val="04A0" w:firstRow="1" w:lastRow="0" w:firstColumn="1" w:lastColumn="0" w:noHBand="0" w:noVBand="1"/>
      </w:tblPr>
      <w:tblGrid>
        <w:gridCol w:w="9645"/>
      </w:tblGrid>
      <w:tr w:rsidR="00E83DE0" w14:paraId="2F90524E" w14:textId="77777777">
        <w:tc>
          <w:tcPr>
            <w:tcW w:w="9645" w:type="dxa"/>
            <w:tcMar>
              <w:top w:w="142" w:type="dxa"/>
              <w:left w:w="108" w:type="dxa"/>
              <w:bottom w:w="142" w:type="dxa"/>
              <w:right w:w="108" w:type="dxa"/>
            </w:tcMar>
          </w:tcPr>
          <w:p w14:paraId="44DEB9F2" w14:textId="711546D8" w:rsidR="00E83DE0" w:rsidRDefault="006C4575">
            <w:pPr>
              <w:tabs>
                <w:tab w:val="right" w:pos="9214"/>
              </w:tabs>
            </w:pPr>
            <w:r>
              <w:rPr>
                <w:b/>
                <w:sz w:val="24"/>
                <w:szCs w:val="24"/>
              </w:rPr>
              <w:t>Committee of Experts on the Transport of Dangerous Goods</w:t>
            </w:r>
            <w:r>
              <w:rPr>
                <w:b/>
                <w:sz w:val="24"/>
                <w:szCs w:val="24"/>
              </w:rPr>
              <w:br/>
              <w:t>and on the Globally Harmonized System of Classification</w:t>
            </w:r>
            <w:r>
              <w:rPr>
                <w:b/>
                <w:sz w:val="24"/>
                <w:szCs w:val="24"/>
              </w:rPr>
              <w:br/>
              <w:t>and Labelling of Chemicals</w:t>
            </w:r>
            <w:r>
              <w:rPr>
                <w:b/>
              </w:rPr>
              <w:tab/>
            </w:r>
            <w:r w:rsidR="0011038A">
              <w:rPr>
                <w:b/>
              </w:rPr>
              <w:t>22</w:t>
            </w:r>
            <w:r w:rsidR="0004370C">
              <w:rPr>
                <w:b/>
              </w:rPr>
              <w:t xml:space="preserve"> November</w:t>
            </w:r>
            <w:r>
              <w:rPr>
                <w:b/>
              </w:rPr>
              <w:t xml:space="preserve"> 2021</w:t>
            </w:r>
          </w:p>
        </w:tc>
      </w:tr>
      <w:tr w:rsidR="00E83DE0" w14:paraId="2F4E790D" w14:textId="77777777">
        <w:trPr>
          <w:trHeight w:val="1828"/>
        </w:trPr>
        <w:tc>
          <w:tcPr>
            <w:tcW w:w="9645" w:type="dxa"/>
            <w:tcMar>
              <w:top w:w="57" w:type="dxa"/>
              <w:left w:w="108" w:type="dxa"/>
              <w:bottom w:w="0" w:type="dxa"/>
              <w:right w:w="108" w:type="dxa"/>
            </w:tcMar>
            <w:vAlign w:val="center"/>
          </w:tcPr>
          <w:p w14:paraId="4EB2488F" w14:textId="77777777" w:rsidR="00E83DE0" w:rsidRDefault="006C4575">
            <w:pPr>
              <w:spacing w:before="40"/>
              <w:rPr>
                <w:b/>
              </w:rPr>
            </w:pPr>
            <w:r>
              <w:rPr>
                <w:b/>
              </w:rPr>
              <w:t xml:space="preserve">Sub-Committee of Experts on the Transport of Dangerous Goods </w:t>
            </w:r>
          </w:p>
          <w:p w14:paraId="28968811" w14:textId="77777777" w:rsidR="00E83DE0" w:rsidRDefault="006C4575">
            <w:pPr>
              <w:spacing w:before="120" w:line="240" w:lineRule="auto"/>
              <w:ind w:left="34" w:hanging="34"/>
              <w:rPr>
                <w:b/>
              </w:rPr>
            </w:pPr>
            <w:r>
              <w:rPr>
                <w:b/>
              </w:rPr>
              <w:t>Fifty-ninth session</w:t>
            </w:r>
          </w:p>
          <w:p w14:paraId="31EEC027" w14:textId="664E8CC6" w:rsidR="00E83DE0" w:rsidRDefault="006C4575">
            <w:pPr>
              <w:rPr>
                <w:b/>
              </w:rPr>
            </w:pPr>
            <w:r>
              <w:t>Geneva, 29 November</w:t>
            </w:r>
            <w:r w:rsidR="0004370C">
              <w:t>-</w:t>
            </w:r>
            <w:r>
              <w:t>8 December 2021</w:t>
            </w:r>
            <w:r>
              <w:br/>
            </w:r>
            <w:r>
              <w:rPr>
                <w:lang w:val="en-US"/>
              </w:rPr>
              <w:t xml:space="preserve">Item </w:t>
            </w:r>
            <w:r>
              <w:rPr>
                <w:rFonts w:hint="eastAsia"/>
                <w:lang w:val="en-US" w:eastAsia="zh-CN"/>
              </w:rPr>
              <w:t>3</w:t>
            </w:r>
            <w:r>
              <w:rPr>
                <w:lang w:val="en-US"/>
              </w:rPr>
              <w:t xml:space="preserve"> of the provisional agenda</w:t>
            </w:r>
            <w:r>
              <w:rPr>
                <w:lang w:val="en-US"/>
              </w:rPr>
              <w:br/>
            </w:r>
            <w:r>
              <w:rPr>
                <w:b/>
                <w:bCs/>
              </w:rPr>
              <w:t>Listing, classification and packing</w:t>
            </w:r>
          </w:p>
        </w:tc>
      </w:tr>
    </w:tbl>
    <w:p w14:paraId="7086BC3D" w14:textId="77777777" w:rsidR="00E83DE0" w:rsidRDefault="006C4575">
      <w:pPr>
        <w:pStyle w:val="HChG"/>
        <w:rPr>
          <w:lang w:val="en-US"/>
        </w:rPr>
      </w:pPr>
      <w:r w:rsidRPr="00AA7D8B">
        <w:rPr>
          <w:lang w:val="en-US"/>
        </w:rPr>
        <w:tab/>
      </w:r>
      <w:r w:rsidRPr="00AA7D8B">
        <w:rPr>
          <w:lang w:val="en-US"/>
        </w:rPr>
        <w:tab/>
      </w:r>
      <w:r>
        <w:rPr>
          <w:lang w:val="en-US"/>
        </w:rPr>
        <w:t>P</w:t>
      </w:r>
      <w:r>
        <w:rPr>
          <w:rFonts w:hint="eastAsia"/>
          <w:lang w:val="en-US" w:eastAsia="zh-CN"/>
        </w:rPr>
        <w:t>ro</w:t>
      </w:r>
      <w:r>
        <w:rPr>
          <w:lang w:val="en-US"/>
        </w:rPr>
        <w:t>posals for batteries (wet, non-spillable) installed in cargo transport units</w:t>
      </w:r>
    </w:p>
    <w:p w14:paraId="7BF06C2A" w14:textId="7F56863E" w:rsidR="00E83DE0" w:rsidRDefault="006C4575">
      <w:pPr>
        <w:pStyle w:val="H1G"/>
        <w:rPr>
          <w:lang w:val="en-US" w:eastAsia="en-GB" w:bidi="en-GB"/>
        </w:rPr>
      </w:pPr>
      <w:r>
        <w:rPr>
          <w:lang w:val="en-US"/>
        </w:rPr>
        <w:tab/>
      </w:r>
      <w:r>
        <w:rPr>
          <w:lang w:val="en-US"/>
        </w:rPr>
        <w:tab/>
        <w:t>Transmitted by the expert from China</w:t>
      </w:r>
    </w:p>
    <w:p w14:paraId="517278C6" w14:textId="77777777" w:rsidR="00E83DE0" w:rsidRDefault="006C4575">
      <w:pPr>
        <w:pStyle w:val="HChG"/>
        <w:rPr>
          <w:lang w:val="en-US"/>
        </w:rPr>
      </w:pPr>
      <w:r>
        <w:rPr>
          <w:lang w:val="en-US"/>
        </w:rPr>
        <w:tab/>
      </w:r>
      <w:r>
        <w:rPr>
          <w:lang w:val="en-US"/>
        </w:rPr>
        <w:tab/>
        <w:t>Introduction</w:t>
      </w:r>
    </w:p>
    <w:p w14:paraId="2F9024F7" w14:textId="0655B703" w:rsidR="00E83DE0" w:rsidRDefault="006C4575">
      <w:pPr>
        <w:pStyle w:val="SingleTxtG"/>
        <w:numPr>
          <w:ilvl w:val="0"/>
          <w:numId w:val="14"/>
        </w:numPr>
        <w:ind w:left="1134" w:firstLine="0"/>
        <w:rPr>
          <w:lang w:val="en-US"/>
        </w:rPr>
      </w:pPr>
      <w:r>
        <w:rPr>
          <w:lang w:val="en-US"/>
        </w:rPr>
        <w:t xml:space="preserve">At the </w:t>
      </w:r>
      <w:r w:rsidR="0004370C">
        <w:rPr>
          <w:lang w:val="en-US"/>
        </w:rPr>
        <w:t>fifty-sixth</w:t>
      </w:r>
      <w:r>
        <w:rPr>
          <w:lang w:val="en-US"/>
        </w:rPr>
        <w:t xml:space="preserve"> session, the Sub-Committee considered the proposals </w:t>
      </w:r>
      <w:r w:rsidR="008127DA">
        <w:rPr>
          <w:lang w:val="en-US"/>
        </w:rPr>
        <w:t xml:space="preserve">in document </w:t>
      </w:r>
      <w:r>
        <w:rPr>
          <w:lang w:val="en-US"/>
        </w:rPr>
        <w:t xml:space="preserve">ST/SG/AC.10/C.3/2019/48 and </w:t>
      </w:r>
      <w:r w:rsidR="0004370C">
        <w:rPr>
          <w:lang w:val="en-US"/>
        </w:rPr>
        <w:t xml:space="preserve">informal document </w:t>
      </w:r>
      <w:r>
        <w:rPr>
          <w:lang w:val="en-US"/>
        </w:rPr>
        <w:t xml:space="preserve">INF.41 </w:t>
      </w:r>
      <w:r w:rsidR="0004370C">
        <w:rPr>
          <w:lang w:val="en-US"/>
        </w:rPr>
        <w:t>(56</w:t>
      </w:r>
      <w:r w:rsidR="0004370C" w:rsidRPr="0004370C">
        <w:rPr>
          <w:vertAlign w:val="superscript"/>
          <w:lang w:val="en-US"/>
        </w:rPr>
        <w:t>th</w:t>
      </w:r>
      <w:r w:rsidR="0004370C">
        <w:rPr>
          <w:lang w:val="en-US"/>
        </w:rPr>
        <w:t xml:space="preserve"> session) </w:t>
      </w:r>
      <w:r>
        <w:rPr>
          <w:lang w:val="en-US"/>
        </w:rPr>
        <w:t>submitted by China on the batteries (wet, non-spillable) installed in cargo transport units (CTUs). Similar to the UN 3536 (LITHIUM BATTERIES INSTALLED IN CARGO TRANSPORT UNIT lithium ion batteries or lithium metal batteries), these batteries as energy storage devices are firmly fixed on the internal structure of the CTU (e.g. fixed on the bracket or cabin, etc.) for transportation as a whole. These CTUs are usually equipped with fixed fire extinguishing system (fire extinguisher, UN</w:t>
      </w:r>
      <w:r w:rsidR="0057353C">
        <w:rPr>
          <w:lang w:val="en-US"/>
        </w:rPr>
        <w:t xml:space="preserve"> </w:t>
      </w:r>
      <w:r>
        <w:rPr>
          <w:lang w:val="en-US"/>
        </w:rPr>
        <w:t>1044) and internal refrigeration system (refrigerator, UN</w:t>
      </w:r>
      <w:r w:rsidR="0057353C">
        <w:rPr>
          <w:lang w:val="en-US"/>
        </w:rPr>
        <w:t xml:space="preserve"> </w:t>
      </w:r>
      <w:r>
        <w:rPr>
          <w:lang w:val="en-US"/>
        </w:rPr>
        <w:t>2857). The current Model Regulations do not specify the transportation requirements for the above batteries (wet, non-spillable) installed in CTUs, with other dangerous goods contained in CTUs for safety or operability purposes (such as firefighting and refrigeration). Therefore, it is not clear how to transport the batteries (wet, non-spillable) installed in CTUs.</w:t>
      </w:r>
    </w:p>
    <w:p w14:paraId="47E6D3D3" w14:textId="716D0B4C" w:rsidR="00E83DE0" w:rsidRDefault="006C4575">
      <w:pPr>
        <w:pStyle w:val="SingleTxtG"/>
        <w:numPr>
          <w:ilvl w:val="0"/>
          <w:numId w:val="14"/>
        </w:numPr>
        <w:ind w:left="1134" w:firstLine="0"/>
        <w:rPr>
          <w:lang w:val="en-US"/>
        </w:rPr>
      </w:pPr>
      <w:r>
        <w:rPr>
          <w:lang w:val="en-US"/>
        </w:rPr>
        <w:t xml:space="preserve">During the discussion at the </w:t>
      </w:r>
      <w:r w:rsidR="0004370C">
        <w:rPr>
          <w:lang w:val="en-US"/>
        </w:rPr>
        <w:t>fifty-sixth</w:t>
      </w:r>
      <w:r>
        <w:rPr>
          <w:lang w:val="en-US"/>
        </w:rPr>
        <w:t xml:space="preserve"> session, some </w:t>
      </w:r>
      <w:r>
        <w:rPr>
          <w:rFonts w:hint="eastAsia"/>
          <w:lang w:val="en-US" w:eastAsia="zh-CN"/>
        </w:rPr>
        <w:t>e</w:t>
      </w:r>
      <w:r>
        <w:rPr>
          <w:lang w:val="en-US" w:eastAsia="zh-CN"/>
        </w:rPr>
        <w:t>xpert</w:t>
      </w:r>
      <w:r>
        <w:rPr>
          <w:lang w:val="en-US"/>
        </w:rPr>
        <w:t>s expressed their support to the proposals in options 2 and 3 of document ST/SG/AC.10/C.3/2019/48, but most experts who spoke believed that these options needed further study before they were adopted by the Sub-Committee. However, other experts believed that there was no need to add an entry for such batteries to make additional provisions, and invited Chinese experts to provide the intended use of the batteries (wet, non-spillable) installed in CTUs (such as providing external power supply for cargo transportation), as well as the differences between the products and  those covered by UN</w:t>
      </w:r>
      <w:r w:rsidR="003F55F9">
        <w:rPr>
          <w:lang w:val="en-US"/>
        </w:rPr>
        <w:t xml:space="preserve"> </w:t>
      </w:r>
      <w:r>
        <w:rPr>
          <w:lang w:val="en-US"/>
        </w:rPr>
        <w:t>3536, so as to make the content of the proposal clearer.</w:t>
      </w:r>
    </w:p>
    <w:p w14:paraId="7D59130D" w14:textId="775F0365" w:rsidR="00E83DE0" w:rsidRDefault="006C4575">
      <w:pPr>
        <w:pStyle w:val="SingleTxtG"/>
        <w:numPr>
          <w:ilvl w:val="0"/>
          <w:numId w:val="14"/>
        </w:numPr>
        <w:ind w:left="1134" w:firstLine="0"/>
        <w:rPr>
          <w:lang w:val="en-US"/>
        </w:rPr>
      </w:pPr>
      <w:r w:rsidRPr="00AA7D8B">
        <w:rPr>
          <w:lang w:val="en-US" w:eastAsia="zh-CN"/>
        </w:rPr>
        <w:t>China appreciates these comments and suggestions and takes them into consideration in this document, so as to provide the intended use of the batteries (wet, non-spillable) products installed in CTUs (for example, providing external power supply for cargo transportation) as well as the differences between the products and those covered by UN</w:t>
      </w:r>
      <w:r w:rsidR="003F55F9">
        <w:rPr>
          <w:lang w:val="en-US" w:eastAsia="zh-CN"/>
        </w:rPr>
        <w:t xml:space="preserve"> </w:t>
      </w:r>
      <w:r w:rsidRPr="00AA7D8B">
        <w:rPr>
          <w:lang w:val="en-US" w:eastAsia="zh-CN"/>
        </w:rPr>
        <w:t>3536, so as to make the content of the proposal clearer.</w:t>
      </w:r>
    </w:p>
    <w:p w14:paraId="5D3CCBE9" w14:textId="77777777" w:rsidR="00E83DE0" w:rsidRDefault="006C4575">
      <w:pPr>
        <w:pStyle w:val="HChG"/>
        <w:rPr>
          <w:lang w:val="en-US"/>
        </w:rPr>
      </w:pPr>
      <w:r>
        <w:rPr>
          <w:lang w:val="en-US"/>
        </w:rPr>
        <w:tab/>
      </w:r>
      <w:r>
        <w:rPr>
          <w:lang w:val="en-US"/>
        </w:rPr>
        <w:tab/>
        <w:t>Discussion</w:t>
      </w:r>
    </w:p>
    <w:p w14:paraId="0067A2F5" w14:textId="31738964" w:rsidR="00E83DE0" w:rsidRDefault="006C4575">
      <w:pPr>
        <w:pStyle w:val="SingleTxtG"/>
        <w:numPr>
          <w:ilvl w:val="0"/>
          <w:numId w:val="14"/>
        </w:numPr>
        <w:ind w:left="1134" w:firstLine="0"/>
        <w:rPr>
          <w:lang w:val="en-US"/>
        </w:rPr>
      </w:pPr>
      <w:r>
        <w:rPr>
          <w:lang w:val="en-US"/>
        </w:rPr>
        <w:t>The batteries (wet, non-spillable) installed in CTUs, the fixed fire extinguishing system (fire extinguisher, UN</w:t>
      </w:r>
      <w:r w:rsidR="0021193A">
        <w:rPr>
          <w:lang w:val="en-US"/>
        </w:rPr>
        <w:t xml:space="preserve"> </w:t>
      </w:r>
      <w:r>
        <w:rPr>
          <w:lang w:val="en-US"/>
        </w:rPr>
        <w:t>1044) and the internal refrigeration system (refrigerator, UN</w:t>
      </w:r>
      <w:r w:rsidR="0021193A">
        <w:rPr>
          <w:lang w:val="en-US"/>
        </w:rPr>
        <w:t xml:space="preserve"> </w:t>
      </w:r>
      <w:r>
        <w:rPr>
          <w:lang w:val="en-US"/>
        </w:rPr>
        <w:t xml:space="preserve">2857) installed in CTUs for the purpose of transportation or operation safety and convenience are firmly fixed on the bracket or cabin and other internal structures of the CTU, and integrated with the CTU as a whole, consisting a mobile battery energy storage system. Its function is to supply power for the equipment installed inside CTUs (not dangerous goods </w:t>
      </w:r>
      <w:r>
        <w:rPr>
          <w:lang w:val="en-US"/>
        </w:rPr>
        <w:lastRenderedPageBreak/>
        <w:t>itself), or other equipment outside the CTUs. Pictures of the battery system are shown in Annex I.</w:t>
      </w:r>
    </w:p>
    <w:p w14:paraId="22E34767" w14:textId="4969AFA3" w:rsidR="00E83DE0" w:rsidRDefault="006C4575">
      <w:pPr>
        <w:pStyle w:val="SingleTxtG"/>
        <w:numPr>
          <w:ilvl w:val="0"/>
          <w:numId w:val="14"/>
        </w:numPr>
        <w:ind w:left="1134" w:firstLine="0"/>
        <w:rPr>
          <w:lang w:val="en-US"/>
        </w:rPr>
      </w:pPr>
      <w:r>
        <w:rPr>
          <w:lang w:val="en-US"/>
        </w:rPr>
        <w:t>Therefore, the structure and function of this kind of battery system is completely similar to the products covered by UN</w:t>
      </w:r>
      <w:r w:rsidR="008E78EC">
        <w:rPr>
          <w:lang w:val="en-US"/>
        </w:rPr>
        <w:t xml:space="preserve"> </w:t>
      </w:r>
      <w:r>
        <w:rPr>
          <w:lang w:val="en-US"/>
        </w:rPr>
        <w:t>3536. It is an integrated CTU functioning as mobile energy storage system using large battery as energy storage device, with fixed fire extinguishing system and internal refrigeration system.</w:t>
      </w:r>
    </w:p>
    <w:p w14:paraId="04370F51" w14:textId="23CA0672" w:rsidR="00E83DE0" w:rsidRDefault="002C0DA7">
      <w:pPr>
        <w:pStyle w:val="SingleTxtG"/>
        <w:numPr>
          <w:ilvl w:val="0"/>
          <w:numId w:val="14"/>
        </w:numPr>
        <w:ind w:left="1134" w:firstLine="0"/>
        <w:rPr>
          <w:lang w:val="en-US"/>
        </w:rPr>
      </w:pPr>
      <w:r>
        <w:rPr>
          <w:lang w:val="en-US"/>
        </w:rPr>
        <w:t>But</w:t>
      </w:r>
      <w:r w:rsidR="006C4575">
        <w:rPr>
          <w:lang w:val="en-US"/>
        </w:rPr>
        <w:t xml:space="preserve"> it seems not appropriate to make batteries (wet, non-spillable) also covered by UN</w:t>
      </w:r>
      <w:r w:rsidR="0060567C">
        <w:rPr>
          <w:lang w:val="en-US"/>
        </w:rPr>
        <w:t xml:space="preserve"> </w:t>
      </w:r>
      <w:r w:rsidR="006C4575">
        <w:rPr>
          <w:lang w:val="en-US"/>
        </w:rPr>
        <w:t>3536, since the types of batteries used in CTUs are different. The current entry of UN</w:t>
      </w:r>
      <w:r w:rsidR="00A75F71">
        <w:rPr>
          <w:lang w:val="en-US"/>
        </w:rPr>
        <w:t xml:space="preserve"> </w:t>
      </w:r>
      <w:r w:rsidR="006C4575">
        <w:rPr>
          <w:lang w:val="en-US"/>
        </w:rPr>
        <w:t xml:space="preserve">3536 applies to lithium battery pack, lithium ion battery pack or lithium metal battery pack installed in CTUs. These batteries are all Class 9 dangerous goods, while the batteries (wet, non-spillable) are Class 8 ones. In the event of a fire or spill, emergency response measures taken for these two classes of goods are not exactly the same. For example, when the batteries (wet, non-spillable) leaks, special measures should be taken to prevent corrosion or toxic gases from injuring people. Annex II shows the </w:t>
      </w:r>
      <w:r w:rsidR="000E25AF">
        <w:rPr>
          <w:lang w:val="en-US"/>
        </w:rPr>
        <w:t>E</w:t>
      </w:r>
      <w:r w:rsidR="004076AE">
        <w:rPr>
          <w:lang w:val="en-US"/>
        </w:rPr>
        <w:t xml:space="preserve">mergency </w:t>
      </w:r>
      <w:r w:rsidR="000E25AF">
        <w:rPr>
          <w:lang w:val="en-US"/>
        </w:rPr>
        <w:t>S</w:t>
      </w:r>
      <w:r w:rsidR="004076AE">
        <w:rPr>
          <w:lang w:val="en-US"/>
        </w:rPr>
        <w:t>chedules (</w:t>
      </w:r>
      <w:r w:rsidR="006C4575">
        <w:rPr>
          <w:lang w:val="en-US"/>
        </w:rPr>
        <w:t>EmS</w:t>
      </w:r>
      <w:r w:rsidR="004076AE">
        <w:rPr>
          <w:lang w:val="en-US"/>
        </w:rPr>
        <w:t>)</w:t>
      </w:r>
      <w:r w:rsidR="006C4575">
        <w:rPr>
          <w:lang w:val="en-US"/>
        </w:rPr>
        <w:t xml:space="preserve"> codes of UN</w:t>
      </w:r>
      <w:r>
        <w:rPr>
          <w:lang w:val="en-US"/>
        </w:rPr>
        <w:t xml:space="preserve"> </w:t>
      </w:r>
      <w:r w:rsidR="006C4575">
        <w:rPr>
          <w:lang w:val="en-US"/>
        </w:rPr>
        <w:t>3536 and UN</w:t>
      </w:r>
      <w:r>
        <w:rPr>
          <w:lang w:val="en-US"/>
        </w:rPr>
        <w:t xml:space="preserve"> </w:t>
      </w:r>
      <w:r w:rsidR="006C4575">
        <w:rPr>
          <w:lang w:val="en-US"/>
        </w:rPr>
        <w:t>2800 contained in the Dangerous Goods List in IMDG Code as well as the descriptions of the EmS codes on spill emergency measures given in the EmS Guide.</w:t>
      </w:r>
    </w:p>
    <w:p w14:paraId="4F535092" w14:textId="6DDD02A8" w:rsidR="00E83DE0" w:rsidRDefault="006C4575">
      <w:pPr>
        <w:pStyle w:val="SingleTxtG"/>
        <w:numPr>
          <w:ilvl w:val="0"/>
          <w:numId w:val="14"/>
        </w:numPr>
        <w:ind w:left="1134" w:firstLine="0"/>
        <w:rPr>
          <w:lang w:val="en-US"/>
        </w:rPr>
      </w:pPr>
      <w:r>
        <w:rPr>
          <w:lang w:val="en-US"/>
        </w:rPr>
        <w:t>In reality, due to cost and technical reasons, the production and use of the battery system using batteries (wet, non-spillable) as energy storage device is still very common. This kind of battery system using batteries (wet, non-spillable) as energy storage device is widely used in emergency power supply and other similar applications. Therefore, this kind of products are widely manufactured and transported. Taking the Prefabricated Modular Data Center</w:t>
      </w:r>
      <w:r w:rsidR="00033B4E">
        <w:rPr>
          <w:lang w:val="en-US"/>
        </w:rPr>
        <w:t xml:space="preserve"> </w:t>
      </w:r>
      <w:r>
        <w:rPr>
          <w:lang w:val="en-US"/>
        </w:rPr>
        <w:t>(PM</w:t>
      </w:r>
      <w:r w:rsidR="000E25AF">
        <w:rPr>
          <w:lang w:val="en-US"/>
        </w:rPr>
        <w:t>D</w:t>
      </w:r>
      <w:r>
        <w:rPr>
          <w:lang w:val="en-US"/>
        </w:rPr>
        <w:t>C) as an example, this product includes firmly installed the computer equipment of non-dangerous goods used to provide emergency data calculation and data transmission services in the cargo transport unit, together with the power storage batteries (wet, non-spillable) that provides emergency power supply for the equipment, as well as the fire extinguishing system and air conditioning system to ensure the safety of the whole transport unit, working as a whole to provide emergency power supply and other services for emergencies such as earthquake, tsunami and epidemic situation. According to the report of IHS Markit, 2236 containers of P</w:t>
      </w:r>
      <w:r w:rsidR="00EE0016">
        <w:rPr>
          <w:lang w:val="en-US"/>
        </w:rPr>
        <w:t>M</w:t>
      </w:r>
      <w:r>
        <w:rPr>
          <w:lang w:val="en-US"/>
        </w:rPr>
        <w:t xml:space="preserve">DC products were consigned for shipment in 2018 (destination and quantity: 846 containers to North America, 944 containers to Europe, Middle East and Africa and 446 containers to Asia). It is expected that, by 2023, the market shipment volume will reach </w:t>
      </w:r>
      <w:r w:rsidR="00351E73">
        <w:rPr>
          <w:lang w:val="en-US"/>
        </w:rPr>
        <w:t xml:space="preserve">about </w:t>
      </w:r>
      <w:r>
        <w:rPr>
          <w:lang w:val="en-US"/>
        </w:rPr>
        <w:t>6250 containers, and the shipment volume will continue to grow steadily. At the same time, PM</w:t>
      </w:r>
      <w:r w:rsidR="00166FB6">
        <w:rPr>
          <w:lang w:val="en-US"/>
        </w:rPr>
        <w:t>D</w:t>
      </w:r>
      <w:r>
        <w:rPr>
          <w:lang w:val="en-US"/>
        </w:rPr>
        <w:t>C products are shipped all over the world, including countries such as the United States</w:t>
      </w:r>
      <w:r w:rsidR="001F2C99">
        <w:rPr>
          <w:lang w:val="en-US"/>
        </w:rPr>
        <w:t xml:space="preserve"> of America</w:t>
      </w:r>
      <w:r>
        <w:rPr>
          <w:lang w:val="en-US"/>
        </w:rPr>
        <w:t xml:space="preserve">, Canada, Germany, France, the United Kingdom, Ireland and China. However, since the current </w:t>
      </w:r>
      <w:r w:rsidR="001A310D">
        <w:rPr>
          <w:lang w:val="en-US"/>
        </w:rPr>
        <w:t xml:space="preserve">UN </w:t>
      </w:r>
      <w:r>
        <w:rPr>
          <w:lang w:val="en-US"/>
        </w:rPr>
        <w:t>Model Regulations do not specify the transportation requirements of the above batteries (wet, non-spillable) installed in CTU, it is unclear how to mark, label or placard the freight device and how to describe it in the transport document.</w:t>
      </w:r>
    </w:p>
    <w:p w14:paraId="4A46C914" w14:textId="0130699E" w:rsidR="00E83DE0" w:rsidRDefault="006C4575">
      <w:pPr>
        <w:pStyle w:val="SingleTxtG"/>
        <w:numPr>
          <w:ilvl w:val="0"/>
          <w:numId w:val="14"/>
        </w:numPr>
        <w:ind w:left="1134" w:firstLine="0"/>
        <w:rPr>
          <w:lang w:val="en-US"/>
        </w:rPr>
      </w:pPr>
      <w:r>
        <w:rPr>
          <w:lang w:val="en-US"/>
        </w:rPr>
        <w:t>Considering the need to describe the batteries (wet, non-spillable) installed in CTUs in the Model Regulations and the difference between the above batteries and UN</w:t>
      </w:r>
      <w:r w:rsidR="00D80D14">
        <w:rPr>
          <w:lang w:val="en-US"/>
        </w:rPr>
        <w:t xml:space="preserve"> </w:t>
      </w:r>
      <w:r>
        <w:rPr>
          <w:lang w:val="en-US"/>
        </w:rPr>
        <w:t>3536 (see paragraph 6</w:t>
      </w:r>
      <w:r w:rsidR="00D80D14">
        <w:rPr>
          <w:lang w:val="en-US"/>
        </w:rPr>
        <w:t>. abov</w:t>
      </w:r>
      <w:r w:rsidR="00AD24EF">
        <w:rPr>
          <w:lang w:val="en-US"/>
        </w:rPr>
        <w:t>e</w:t>
      </w:r>
      <w:r>
        <w:rPr>
          <w:lang w:val="en-US"/>
        </w:rPr>
        <w:t xml:space="preserve">), </w:t>
      </w:r>
      <w:r w:rsidR="00AD24EF">
        <w:rPr>
          <w:lang w:val="en-US"/>
        </w:rPr>
        <w:t>China</w:t>
      </w:r>
      <w:r>
        <w:rPr>
          <w:lang w:val="en-US"/>
        </w:rPr>
        <w:t xml:space="preserve"> suggest</w:t>
      </w:r>
      <w:r w:rsidR="00AD24EF">
        <w:rPr>
          <w:lang w:val="en-US"/>
        </w:rPr>
        <w:t>s</w:t>
      </w:r>
      <w:r>
        <w:rPr>
          <w:lang w:val="en-US"/>
        </w:rPr>
        <w:t xml:space="preserve"> that a new Class 8 entry UN</w:t>
      </w:r>
      <w:r w:rsidR="00C7257A">
        <w:rPr>
          <w:lang w:val="en-US"/>
        </w:rPr>
        <w:t xml:space="preserve"> </w:t>
      </w:r>
      <w:r>
        <w:rPr>
          <w:lang w:val="en-US"/>
        </w:rPr>
        <w:t xml:space="preserve">35XX “BATTERIES, WET, NON-SPILLABLE INSTALLED IN CARGO TRANSPORT UNIT” be added to regulate the transportation of relevant products, as proposed in option 3 of </w:t>
      </w:r>
      <w:r w:rsidR="00C7257A">
        <w:rPr>
          <w:lang w:val="en-US"/>
        </w:rPr>
        <w:t xml:space="preserve">document </w:t>
      </w:r>
      <w:r>
        <w:rPr>
          <w:lang w:val="en-US"/>
        </w:rPr>
        <w:t xml:space="preserve">ST/SG/AC.10/C.3/2019/48 </w:t>
      </w:r>
      <w:r w:rsidR="002B59BB">
        <w:rPr>
          <w:lang w:val="en-US"/>
        </w:rPr>
        <w:t>of</w:t>
      </w:r>
      <w:r>
        <w:rPr>
          <w:lang w:val="en-US"/>
        </w:rPr>
        <w:t xml:space="preserve"> the 56th session, and that a special provision XXX similar to special provision 389 of UN</w:t>
      </w:r>
      <w:r w:rsidR="002B59BB">
        <w:rPr>
          <w:lang w:val="en-US"/>
        </w:rPr>
        <w:t xml:space="preserve"> </w:t>
      </w:r>
      <w:r>
        <w:rPr>
          <w:lang w:val="en-US"/>
        </w:rPr>
        <w:t>3536 should be introduced to describe the requirements for the installed batteries, auxiliary dangerous goods as well as the whole system.</w:t>
      </w:r>
      <w:r w:rsidRPr="00AA7D8B">
        <w:rPr>
          <w:lang w:val="en-US"/>
        </w:rPr>
        <w:t xml:space="preserve"> </w:t>
      </w:r>
      <w:r>
        <w:rPr>
          <w:lang w:val="en-US"/>
        </w:rPr>
        <w:t>The batteries (wet, non-spillable) installed in CTUs shall meet the requirements of special provision 238 (a). A</w:t>
      </w:r>
      <w:r>
        <w:rPr>
          <w:rFonts w:hint="eastAsia"/>
          <w:lang w:val="en-US" w:eastAsia="zh-CN"/>
        </w:rPr>
        <w:t>nd</w:t>
      </w:r>
      <w:r>
        <w:rPr>
          <w:lang w:val="en-US"/>
        </w:rPr>
        <w:t xml:space="preserve">, other dangerous goods necessary for the safety and proper operation of the cargo transport units, such as fire extinguishing system and air conditioning system, shall be firmly fixed or installed in cargo transport components and shall not be </w:t>
      </w:r>
      <w:r>
        <w:rPr>
          <w:u w:val="single"/>
          <w:lang w:val="en-US"/>
        </w:rPr>
        <w:t>otherwise</w:t>
      </w:r>
      <w:r>
        <w:rPr>
          <w:lang w:val="en-US"/>
        </w:rPr>
        <w:t xml:space="preserve"> subject to these regulations. The Sub-Committee is invited to consider the following proposals in the light of the above information.</w:t>
      </w:r>
    </w:p>
    <w:p w14:paraId="189CEE84" w14:textId="77777777" w:rsidR="00E83DE0" w:rsidRDefault="006C4575" w:rsidP="00351E73">
      <w:pPr>
        <w:pStyle w:val="HChG"/>
        <w:rPr>
          <w:lang w:val="en-US"/>
        </w:rPr>
      </w:pPr>
      <w:r>
        <w:rPr>
          <w:lang w:val="en-US"/>
        </w:rPr>
        <w:tab/>
      </w:r>
      <w:r>
        <w:rPr>
          <w:lang w:val="en-US"/>
        </w:rPr>
        <w:tab/>
        <w:t>Proposal</w:t>
      </w:r>
    </w:p>
    <w:p w14:paraId="57770728" w14:textId="5B25DC5C" w:rsidR="00E83DE0" w:rsidRDefault="006C4575" w:rsidP="00351E73">
      <w:pPr>
        <w:pStyle w:val="SingleTxtG"/>
        <w:keepNext/>
        <w:keepLines/>
        <w:numPr>
          <w:ilvl w:val="0"/>
          <w:numId w:val="14"/>
        </w:numPr>
        <w:ind w:left="1134" w:firstLine="0"/>
        <w:rPr>
          <w:lang w:val="en-US"/>
        </w:rPr>
      </w:pPr>
      <w:r>
        <w:rPr>
          <w:lang w:val="en-US"/>
        </w:rPr>
        <w:t xml:space="preserve">In the Dangerous Goods List in Chapter 3.2, </w:t>
      </w:r>
      <w:r w:rsidR="004C3BC3">
        <w:rPr>
          <w:lang w:val="en-US"/>
        </w:rPr>
        <w:t>a</w:t>
      </w:r>
      <w:r>
        <w:rPr>
          <w:lang w:val="en-US"/>
        </w:rPr>
        <w:t>dd a new entry as follows:</w:t>
      </w:r>
    </w:p>
    <w:tbl>
      <w:tblPr>
        <w:tblStyle w:val="TableGrid"/>
        <w:tblW w:w="9355" w:type="dxa"/>
        <w:tblInd w:w="279" w:type="dxa"/>
        <w:tblLayout w:type="fixed"/>
        <w:tblLook w:val="04A0" w:firstRow="1" w:lastRow="0" w:firstColumn="1" w:lastColumn="0" w:noHBand="0" w:noVBand="1"/>
      </w:tblPr>
      <w:tblGrid>
        <w:gridCol w:w="427"/>
        <w:gridCol w:w="1416"/>
        <w:gridCol w:w="708"/>
        <w:gridCol w:w="567"/>
        <w:gridCol w:w="709"/>
        <w:gridCol w:w="709"/>
        <w:gridCol w:w="425"/>
        <w:gridCol w:w="425"/>
        <w:gridCol w:w="993"/>
        <w:gridCol w:w="992"/>
        <w:gridCol w:w="992"/>
        <w:gridCol w:w="992"/>
      </w:tblGrid>
      <w:tr w:rsidR="00E83DE0" w14:paraId="07128EBD" w14:textId="77777777">
        <w:trPr>
          <w:trHeight w:val="338"/>
        </w:trPr>
        <w:tc>
          <w:tcPr>
            <w:tcW w:w="427" w:type="dxa"/>
            <w:vMerge w:val="restart"/>
            <w:vAlign w:val="center"/>
          </w:tcPr>
          <w:p w14:paraId="0C5A7522" w14:textId="77777777" w:rsidR="00E83DE0" w:rsidRDefault="006C4575" w:rsidP="00351E73">
            <w:pPr>
              <w:pStyle w:val="SingleTxtG"/>
              <w:keepNext/>
              <w:keepLines/>
              <w:ind w:left="0" w:right="19"/>
              <w:jc w:val="center"/>
              <w:rPr>
                <w:lang w:val="en-US"/>
              </w:rPr>
            </w:pPr>
            <w:r>
              <w:rPr>
                <w:lang w:val="en-US"/>
              </w:rPr>
              <w:t>UN No.</w:t>
            </w:r>
          </w:p>
        </w:tc>
        <w:tc>
          <w:tcPr>
            <w:tcW w:w="1416" w:type="dxa"/>
            <w:vMerge w:val="restart"/>
            <w:vAlign w:val="center"/>
          </w:tcPr>
          <w:p w14:paraId="054C468A" w14:textId="77777777" w:rsidR="00E83DE0" w:rsidRDefault="006C4575" w:rsidP="00351E73">
            <w:pPr>
              <w:pStyle w:val="SingleTxtG"/>
              <w:keepNext/>
              <w:keepLines/>
              <w:ind w:left="0" w:right="139"/>
              <w:jc w:val="center"/>
              <w:rPr>
                <w:lang w:val="en-US"/>
              </w:rPr>
            </w:pPr>
            <w:r>
              <w:rPr>
                <w:lang w:val="en-US"/>
              </w:rPr>
              <w:t>Name and description</w:t>
            </w:r>
          </w:p>
        </w:tc>
        <w:tc>
          <w:tcPr>
            <w:tcW w:w="708" w:type="dxa"/>
            <w:vMerge w:val="restart"/>
            <w:vAlign w:val="center"/>
          </w:tcPr>
          <w:p w14:paraId="5A3ABD8D" w14:textId="77777777" w:rsidR="00E83DE0" w:rsidRDefault="006C4575" w:rsidP="00351E73">
            <w:pPr>
              <w:pStyle w:val="SingleTxtG"/>
              <w:keepNext/>
              <w:keepLines/>
              <w:ind w:left="0" w:right="0"/>
              <w:jc w:val="center"/>
              <w:rPr>
                <w:lang w:val="en-US"/>
              </w:rPr>
            </w:pPr>
            <w:r>
              <w:rPr>
                <w:lang w:val="en-US"/>
              </w:rPr>
              <w:t>Class or division</w:t>
            </w:r>
          </w:p>
        </w:tc>
        <w:tc>
          <w:tcPr>
            <w:tcW w:w="567" w:type="dxa"/>
            <w:vMerge w:val="restart"/>
            <w:vAlign w:val="center"/>
          </w:tcPr>
          <w:p w14:paraId="1A86A484" w14:textId="77777777" w:rsidR="00E83DE0" w:rsidRDefault="006C4575" w:rsidP="00351E73">
            <w:pPr>
              <w:pStyle w:val="SingleTxtG"/>
              <w:keepNext/>
              <w:keepLines/>
              <w:tabs>
                <w:tab w:val="left" w:pos="0"/>
              </w:tabs>
              <w:ind w:left="0" w:right="0"/>
              <w:jc w:val="center"/>
              <w:rPr>
                <w:lang w:val="en-US"/>
              </w:rPr>
            </w:pPr>
            <w:r>
              <w:rPr>
                <w:lang w:val="en-US"/>
              </w:rPr>
              <w:t>Subsi-diary hazard</w:t>
            </w:r>
          </w:p>
        </w:tc>
        <w:tc>
          <w:tcPr>
            <w:tcW w:w="709" w:type="dxa"/>
            <w:vMerge w:val="restart"/>
            <w:vAlign w:val="center"/>
          </w:tcPr>
          <w:p w14:paraId="3A620AB6" w14:textId="77777777" w:rsidR="00E83DE0" w:rsidRDefault="006C4575" w:rsidP="00351E73">
            <w:pPr>
              <w:pStyle w:val="SingleTxtG"/>
              <w:keepNext/>
              <w:keepLines/>
              <w:ind w:left="0" w:right="0"/>
              <w:jc w:val="center"/>
              <w:rPr>
                <w:lang w:val="en-US"/>
              </w:rPr>
            </w:pPr>
            <w:r>
              <w:rPr>
                <w:lang w:val="en-US"/>
              </w:rPr>
              <w:t>UN packing group</w:t>
            </w:r>
          </w:p>
        </w:tc>
        <w:tc>
          <w:tcPr>
            <w:tcW w:w="709" w:type="dxa"/>
            <w:vMerge w:val="restart"/>
            <w:vAlign w:val="center"/>
          </w:tcPr>
          <w:p w14:paraId="5E41A8C7" w14:textId="77777777" w:rsidR="00E83DE0" w:rsidRDefault="006C4575" w:rsidP="00351E73">
            <w:pPr>
              <w:pStyle w:val="SingleTxtG"/>
              <w:keepNext/>
              <w:keepLines/>
              <w:ind w:left="0" w:right="0"/>
              <w:jc w:val="center"/>
              <w:rPr>
                <w:lang w:val="en-US"/>
              </w:rPr>
            </w:pPr>
            <w:r>
              <w:rPr>
                <w:lang w:val="en-US"/>
              </w:rPr>
              <w:t>Special provi-sions</w:t>
            </w:r>
          </w:p>
        </w:tc>
        <w:tc>
          <w:tcPr>
            <w:tcW w:w="850" w:type="dxa"/>
            <w:gridSpan w:val="2"/>
            <w:vMerge w:val="restart"/>
            <w:vAlign w:val="center"/>
          </w:tcPr>
          <w:p w14:paraId="17F4D122" w14:textId="49A34C57" w:rsidR="00E83DE0" w:rsidRDefault="006C4575" w:rsidP="00351E73">
            <w:pPr>
              <w:pStyle w:val="SingleTxtG"/>
              <w:keepNext/>
              <w:keepLines/>
              <w:ind w:left="0" w:right="0"/>
              <w:jc w:val="center"/>
              <w:rPr>
                <w:lang w:val="en-US"/>
              </w:rPr>
            </w:pPr>
            <w:r>
              <w:rPr>
                <w:lang w:val="en-US"/>
              </w:rPr>
              <w:t>Limited and ex</w:t>
            </w:r>
            <w:r w:rsidR="000828C8">
              <w:rPr>
                <w:lang w:val="en-US"/>
              </w:rPr>
              <w:t>c</w:t>
            </w:r>
            <w:r>
              <w:rPr>
                <w:lang w:val="en-US"/>
              </w:rPr>
              <w:t>epted quantities</w:t>
            </w:r>
          </w:p>
        </w:tc>
        <w:tc>
          <w:tcPr>
            <w:tcW w:w="1985" w:type="dxa"/>
            <w:gridSpan w:val="2"/>
            <w:vAlign w:val="center"/>
          </w:tcPr>
          <w:p w14:paraId="2607BBFA" w14:textId="77777777" w:rsidR="00E83DE0" w:rsidRDefault="006C4575" w:rsidP="00351E73">
            <w:pPr>
              <w:pStyle w:val="SingleTxtG"/>
              <w:keepNext/>
              <w:keepLines/>
              <w:tabs>
                <w:tab w:val="left" w:pos="0"/>
              </w:tabs>
              <w:ind w:left="0" w:right="0"/>
              <w:jc w:val="center"/>
              <w:rPr>
                <w:lang w:val="en-US"/>
              </w:rPr>
            </w:pPr>
            <w:r>
              <w:rPr>
                <w:lang w:val="en-US"/>
              </w:rPr>
              <w:t>Packagings and IBCs</w:t>
            </w:r>
          </w:p>
        </w:tc>
        <w:tc>
          <w:tcPr>
            <w:tcW w:w="1984" w:type="dxa"/>
            <w:gridSpan w:val="2"/>
            <w:vAlign w:val="center"/>
          </w:tcPr>
          <w:p w14:paraId="11C32942" w14:textId="77777777" w:rsidR="00E83DE0" w:rsidRDefault="006C4575" w:rsidP="00351E73">
            <w:pPr>
              <w:pStyle w:val="SingleTxtG"/>
              <w:keepNext/>
              <w:keepLines/>
              <w:ind w:left="0" w:right="0"/>
              <w:jc w:val="center"/>
              <w:rPr>
                <w:lang w:val="en-US"/>
              </w:rPr>
            </w:pPr>
            <w:r>
              <w:rPr>
                <w:lang w:val="en-US"/>
              </w:rPr>
              <w:t>Portable tanks and bulk containers</w:t>
            </w:r>
          </w:p>
        </w:tc>
      </w:tr>
      <w:tr w:rsidR="00E83DE0" w14:paraId="3D915495" w14:textId="77777777">
        <w:trPr>
          <w:trHeight w:val="338"/>
        </w:trPr>
        <w:tc>
          <w:tcPr>
            <w:tcW w:w="427" w:type="dxa"/>
            <w:vMerge/>
            <w:tcBorders>
              <w:bottom w:val="single" w:sz="4" w:space="0" w:color="auto"/>
            </w:tcBorders>
            <w:vAlign w:val="center"/>
          </w:tcPr>
          <w:p w14:paraId="6DFAA041" w14:textId="77777777" w:rsidR="00E83DE0" w:rsidRDefault="00E83DE0" w:rsidP="00351E73">
            <w:pPr>
              <w:pStyle w:val="SingleTxtG"/>
              <w:keepNext/>
              <w:keepLines/>
              <w:ind w:left="0" w:right="19"/>
              <w:jc w:val="center"/>
              <w:rPr>
                <w:lang w:val="en-US"/>
              </w:rPr>
            </w:pPr>
          </w:p>
        </w:tc>
        <w:tc>
          <w:tcPr>
            <w:tcW w:w="1416" w:type="dxa"/>
            <w:vMerge/>
            <w:tcBorders>
              <w:bottom w:val="single" w:sz="4" w:space="0" w:color="auto"/>
            </w:tcBorders>
            <w:vAlign w:val="center"/>
          </w:tcPr>
          <w:p w14:paraId="42E2D546" w14:textId="77777777" w:rsidR="00E83DE0" w:rsidRDefault="00E83DE0" w:rsidP="00351E73">
            <w:pPr>
              <w:pStyle w:val="SingleTxtG"/>
              <w:keepNext/>
              <w:keepLines/>
              <w:ind w:left="0" w:right="139"/>
              <w:jc w:val="center"/>
              <w:rPr>
                <w:lang w:val="en-US"/>
              </w:rPr>
            </w:pPr>
          </w:p>
        </w:tc>
        <w:tc>
          <w:tcPr>
            <w:tcW w:w="708" w:type="dxa"/>
            <w:vMerge/>
            <w:tcBorders>
              <w:bottom w:val="single" w:sz="4" w:space="0" w:color="auto"/>
            </w:tcBorders>
            <w:vAlign w:val="center"/>
          </w:tcPr>
          <w:p w14:paraId="131CBB6B" w14:textId="77777777" w:rsidR="00E83DE0" w:rsidRDefault="00E83DE0" w:rsidP="00351E73">
            <w:pPr>
              <w:pStyle w:val="SingleTxtG"/>
              <w:keepNext/>
              <w:keepLines/>
              <w:ind w:left="0" w:right="0"/>
              <w:jc w:val="center"/>
              <w:rPr>
                <w:lang w:val="en-US"/>
              </w:rPr>
            </w:pPr>
          </w:p>
        </w:tc>
        <w:tc>
          <w:tcPr>
            <w:tcW w:w="567" w:type="dxa"/>
            <w:vMerge/>
            <w:tcBorders>
              <w:bottom w:val="single" w:sz="4" w:space="0" w:color="auto"/>
            </w:tcBorders>
            <w:vAlign w:val="center"/>
          </w:tcPr>
          <w:p w14:paraId="504EBB4E" w14:textId="77777777" w:rsidR="00E83DE0" w:rsidRDefault="00E83DE0" w:rsidP="00351E73">
            <w:pPr>
              <w:pStyle w:val="SingleTxtG"/>
              <w:keepNext/>
              <w:keepLines/>
              <w:tabs>
                <w:tab w:val="left" w:pos="0"/>
              </w:tabs>
              <w:ind w:left="0" w:right="0"/>
              <w:jc w:val="center"/>
              <w:rPr>
                <w:lang w:val="en-US"/>
              </w:rPr>
            </w:pPr>
          </w:p>
        </w:tc>
        <w:tc>
          <w:tcPr>
            <w:tcW w:w="709" w:type="dxa"/>
            <w:vMerge/>
            <w:tcBorders>
              <w:bottom w:val="single" w:sz="4" w:space="0" w:color="auto"/>
            </w:tcBorders>
            <w:vAlign w:val="center"/>
          </w:tcPr>
          <w:p w14:paraId="77748B74" w14:textId="77777777" w:rsidR="00E83DE0" w:rsidRDefault="00E83DE0" w:rsidP="00351E73">
            <w:pPr>
              <w:pStyle w:val="SingleTxtG"/>
              <w:keepNext/>
              <w:keepLines/>
              <w:ind w:left="0" w:right="0"/>
              <w:jc w:val="center"/>
              <w:rPr>
                <w:lang w:val="en-US"/>
              </w:rPr>
            </w:pPr>
          </w:p>
        </w:tc>
        <w:tc>
          <w:tcPr>
            <w:tcW w:w="709" w:type="dxa"/>
            <w:vMerge/>
            <w:tcBorders>
              <w:bottom w:val="single" w:sz="4" w:space="0" w:color="auto"/>
            </w:tcBorders>
            <w:vAlign w:val="center"/>
          </w:tcPr>
          <w:p w14:paraId="4D16E577" w14:textId="77777777" w:rsidR="00E83DE0" w:rsidRDefault="00E83DE0" w:rsidP="00351E73">
            <w:pPr>
              <w:pStyle w:val="SingleTxtG"/>
              <w:keepNext/>
              <w:keepLines/>
              <w:ind w:left="0" w:right="0"/>
              <w:jc w:val="center"/>
              <w:rPr>
                <w:lang w:val="en-US"/>
              </w:rPr>
            </w:pPr>
          </w:p>
        </w:tc>
        <w:tc>
          <w:tcPr>
            <w:tcW w:w="850" w:type="dxa"/>
            <w:gridSpan w:val="2"/>
            <w:vMerge/>
            <w:tcBorders>
              <w:bottom w:val="single" w:sz="4" w:space="0" w:color="auto"/>
            </w:tcBorders>
            <w:vAlign w:val="center"/>
          </w:tcPr>
          <w:p w14:paraId="026DD7AE" w14:textId="77777777" w:rsidR="00E83DE0" w:rsidRDefault="00E83DE0" w:rsidP="00351E73">
            <w:pPr>
              <w:pStyle w:val="SingleTxtG"/>
              <w:keepNext/>
              <w:keepLines/>
              <w:ind w:left="0" w:right="0"/>
              <w:jc w:val="center"/>
              <w:rPr>
                <w:lang w:val="en-US"/>
              </w:rPr>
            </w:pPr>
          </w:p>
        </w:tc>
        <w:tc>
          <w:tcPr>
            <w:tcW w:w="993" w:type="dxa"/>
            <w:tcBorders>
              <w:bottom w:val="single" w:sz="4" w:space="0" w:color="auto"/>
            </w:tcBorders>
            <w:vAlign w:val="center"/>
          </w:tcPr>
          <w:p w14:paraId="4AF7F2B2" w14:textId="77777777" w:rsidR="00E83DE0" w:rsidRDefault="006C4575" w:rsidP="00351E73">
            <w:pPr>
              <w:pStyle w:val="SingleTxtG"/>
              <w:keepNext/>
              <w:keepLines/>
              <w:tabs>
                <w:tab w:val="left" w:pos="0"/>
              </w:tabs>
              <w:ind w:left="0" w:right="0"/>
              <w:jc w:val="center"/>
              <w:rPr>
                <w:lang w:val="en-US"/>
              </w:rPr>
            </w:pPr>
            <w:r>
              <w:rPr>
                <w:lang w:val="en-US"/>
              </w:rPr>
              <w:t>Packing instruction</w:t>
            </w:r>
          </w:p>
        </w:tc>
        <w:tc>
          <w:tcPr>
            <w:tcW w:w="992" w:type="dxa"/>
            <w:tcBorders>
              <w:bottom w:val="single" w:sz="4" w:space="0" w:color="auto"/>
            </w:tcBorders>
            <w:vAlign w:val="center"/>
          </w:tcPr>
          <w:p w14:paraId="25267142" w14:textId="77777777" w:rsidR="00E83DE0" w:rsidRDefault="006C4575" w:rsidP="00351E73">
            <w:pPr>
              <w:pStyle w:val="SingleTxtG"/>
              <w:keepNext/>
              <w:keepLines/>
              <w:tabs>
                <w:tab w:val="left" w:pos="0"/>
              </w:tabs>
              <w:ind w:left="0" w:right="0"/>
              <w:jc w:val="center"/>
              <w:rPr>
                <w:lang w:val="en-US"/>
              </w:rPr>
            </w:pPr>
            <w:r>
              <w:rPr>
                <w:lang w:val="en-US"/>
              </w:rPr>
              <w:t>Special packing provisions</w:t>
            </w:r>
          </w:p>
        </w:tc>
        <w:tc>
          <w:tcPr>
            <w:tcW w:w="992" w:type="dxa"/>
            <w:tcBorders>
              <w:bottom w:val="single" w:sz="4" w:space="0" w:color="auto"/>
            </w:tcBorders>
            <w:vAlign w:val="center"/>
          </w:tcPr>
          <w:p w14:paraId="4ED3AC3F" w14:textId="77777777" w:rsidR="00E83DE0" w:rsidRDefault="006C4575" w:rsidP="00351E73">
            <w:pPr>
              <w:pStyle w:val="SingleTxtG"/>
              <w:keepNext/>
              <w:keepLines/>
              <w:ind w:left="0" w:right="0"/>
              <w:jc w:val="center"/>
              <w:rPr>
                <w:lang w:val="en-US"/>
              </w:rPr>
            </w:pPr>
            <w:r>
              <w:rPr>
                <w:lang w:val="en-US"/>
              </w:rPr>
              <w:t>Instructions</w:t>
            </w:r>
          </w:p>
        </w:tc>
        <w:tc>
          <w:tcPr>
            <w:tcW w:w="992" w:type="dxa"/>
            <w:tcBorders>
              <w:bottom w:val="single" w:sz="4" w:space="0" w:color="auto"/>
            </w:tcBorders>
            <w:vAlign w:val="center"/>
          </w:tcPr>
          <w:p w14:paraId="2983BA5D" w14:textId="77777777" w:rsidR="00E83DE0" w:rsidRDefault="006C4575" w:rsidP="00351E73">
            <w:pPr>
              <w:pStyle w:val="SingleTxtG"/>
              <w:keepNext/>
              <w:keepLines/>
              <w:ind w:left="0" w:right="0"/>
              <w:jc w:val="center"/>
              <w:rPr>
                <w:lang w:val="en-US"/>
              </w:rPr>
            </w:pPr>
            <w:r>
              <w:rPr>
                <w:lang w:val="en-US"/>
              </w:rPr>
              <w:t>Special provisions</w:t>
            </w:r>
          </w:p>
        </w:tc>
      </w:tr>
      <w:tr w:rsidR="00E83DE0" w14:paraId="4FA42110" w14:textId="77777777">
        <w:tc>
          <w:tcPr>
            <w:tcW w:w="427" w:type="dxa"/>
          </w:tcPr>
          <w:p w14:paraId="0B66A6F5" w14:textId="77777777" w:rsidR="00E83DE0" w:rsidRDefault="006C4575">
            <w:pPr>
              <w:pStyle w:val="SingleTxtG"/>
              <w:ind w:left="0" w:right="19"/>
              <w:jc w:val="center"/>
              <w:rPr>
                <w:lang w:val="en-US"/>
              </w:rPr>
            </w:pPr>
            <w:r>
              <w:rPr>
                <w:lang w:val="en-US"/>
              </w:rPr>
              <w:t>(1)</w:t>
            </w:r>
          </w:p>
        </w:tc>
        <w:tc>
          <w:tcPr>
            <w:tcW w:w="1416" w:type="dxa"/>
          </w:tcPr>
          <w:p w14:paraId="7C1FBBC6" w14:textId="77777777" w:rsidR="00E83DE0" w:rsidRDefault="006C4575">
            <w:pPr>
              <w:pStyle w:val="SingleTxtG"/>
              <w:ind w:left="0" w:right="19"/>
              <w:jc w:val="center"/>
              <w:rPr>
                <w:lang w:val="en-US"/>
              </w:rPr>
            </w:pPr>
            <w:r>
              <w:rPr>
                <w:lang w:val="en-US"/>
              </w:rPr>
              <w:t>(2)</w:t>
            </w:r>
          </w:p>
        </w:tc>
        <w:tc>
          <w:tcPr>
            <w:tcW w:w="708" w:type="dxa"/>
          </w:tcPr>
          <w:p w14:paraId="687392AA" w14:textId="77777777" w:rsidR="00E83DE0" w:rsidRDefault="006C4575">
            <w:pPr>
              <w:pStyle w:val="SingleTxtG"/>
              <w:ind w:left="0" w:right="19"/>
              <w:jc w:val="center"/>
              <w:rPr>
                <w:lang w:val="en-US"/>
              </w:rPr>
            </w:pPr>
            <w:r>
              <w:rPr>
                <w:lang w:val="en-US"/>
              </w:rPr>
              <w:t>(3)</w:t>
            </w:r>
          </w:p>
        </w:tc>
        <w:tc>
          <w:tcPr>
            <w:tcW w:w="567" w:type="dxa"/>
          </w:tcPr>
          <w:p w14:paraId="34CE67CA" w14:textId="77777777" w:rsidR="00E83DE0" w:rsidRDefault="006C4575">
            <w:pPr>
              <w:pStyle w:val="SingleTxtG"/>
              <w:ind w:left="0" w:right="19"/>
              <w:jc w:val="center"/>
              <w:rPr>
                <w:lang w:val="en-US"/>
              </w:rPr>
            </w:pPr>
            <w:r>
              <w:rPr>
                <w:lang w:val="en-US"/>
              </w:rPr>
              <w:t>(4)</w:t>
            </w:r>
          </w:p>
        </w:tc>
        <w:tc>
          <w:tcPr>
            <w:tcW w:w="709" w:type="dxa"/>
          </w:tcPr>
          <w:p w14:paraId="6D7076AA" w14:textId="77777777" w:rsidR="00E83DE0" w:rsidRDefault="006C4575">
            <w:pPr>
              <w:pStyle w:val="SingleTxtG"/>
              <w:ind w:left="0" w:right="19"/>
              <w:jc w:val="center"/>
              <w:rPr>
                <w:lang w:val="en-US"/>
              </w:rPr>
            </w:pPr>
            <w:r>
              <w:rPr>
                <w:lang w:val="en-US"/>
              </w:rPr>
              <w:t>(5)</w:t>
            </w:r>
          </w:p>
        </w:tc>
        <w:tc>
          <w:tcPr>
            <w:tcW w:w="709" w:type="dxa"/>
          </w:tcPr>
          <w:p w14:paraId="0E854023" w14:textId="77777777" w:rsidR="00E83DE0" w:rsidRDefault="006C4575">
            <w:pPr>
              <w:pStyle w:val="SingleTxtG"/>
              <w:ind w:left="0" w:right="19"/>
              <w:jc w:val="center"/>
              <w:rPr>
                <w:lang w:val="en-US"/>
              </w:rPr>
            </w:pPr>
            <w:r>
              <w:rPr>
                <w:lang w:val="en-US"/>
              </w:rPr>
              <w:t>(6)</w:t>
            </w:r>
          </w:p>
        </w:tc>
        <w:tc>
          <w:tcPr>
            <w:tcW w:w="425" w:type="dxa"/>
          </w:tcPr>
          <w:p w14:paraId="28FA333E" w14:textId="77777777" w:rsidR="00E83DE0" w:rsidRDefault="006C4575">
            <w:pPr>
              <w:pStyle w:val="SingleTxtG"/>
              <w:ind w:left="0" w:right="19"/>
              <w:jc w:val="center"/>
              <w:rPr>
                <w:lang w:val="en-US"/>
              </w:rPr>
            </w:pPr>
            <w:r>
              <w:rPr>
                <w:lang w:val="en-US"/>
              </w:rPr>
              <w:t>(7a)</w:t>
            </w:r>
          </w:p>
        </w:tc>
        <w:tc>
          <w:tcPr>
            <w:tcW w:w="425" w:type="dxa"/>
          </w:tcPr>
          <w:p w14:paraId="218C91AA" w14:textId="77777777" w:rsidR="00E83DE0" w:rsidRDefault="006C4575">
            <w:pPr>
              <w:pStyle w:val="SingleTxtG"/>
              <w:ind w:left="0" w:right="19"/>
              <w:jc w:val="center"/>
              <w:rPr>
                <w:lang w:val="en-US"/>
              </w:rPr>
            </w:pPr>
            <w:r>
              <w:rPr>
                <w:lang w:val="en-US"/>
              </w:rPr>
              <w:t>(7b)</w:t>
            </w:r>
          </w:p>
        </w:tc>
        <w:tc>
          <w:tcPr>
            <w:tcW w:w="993" w:type="dxa"/>
          </w:tcPr>
          <w:p w14:paraId="28BCECD1" w14:textId="77777777" w:rsidR="00E83DE0" w:rsidRDefault="006C4575">
            <w:pPr>
              <w:pStyle w:val="SingleTxtG"/>
              <w:ind w:left="0" w:right="19"/>
              <w:jc w:val="center"/>
              <w:rPr>
                <w:lang w:val="en-US"/>
              </w:rPr>
            </w:pPr>
            <w:r>
              <w:rPr>
                <w:lang w:val="en-US"/>
              </w:rPr>
              <w:t>(8)</w:t>
            </w:r>
          </w:p>
        </w:tc>
        <w:tc>
          <w:tcPr>
            <w:tcW w:w="992" w:type="dxa"/>
          </w:tcPr>
          <w:p w14:paraId="72D5E165" w14:textId="77777777" w:rsidR="00E83DE0" w:rsidRDefault="006C4575">
            <w:pPr>
              <w:pStyle w:val="SingleTxtG"/>
              <w:ind w:left="0" w:right="19"/>
              <w:jc w:val="center"/>
              <w:rPr>
                <w:lang w:val="en-US"/>
              </w:rPr>
            </w:pPr>
            <w:r>
              <w:rPr>
                <w:lang w:val="en-US"/>
              </w:rPr>
              <w:t>(9)</w:t>
            </w:r>
          </w:p>
        </w:tc>
        <w:tc>
          <w:tcPr>
            <w:tcW w:w="992" w:type="dxa"/>
          </w:tcPr>
          <w:p w14:paraId="1234C6DF" w14:textId="77777777" w:rsidR="00E83DE0" w:rsidRDefault="006C4575">
            <w:pPr>
              <w:pStyle w:val="SingleTxtG"/>
              <w:ind w:left="0" w:right="19"/>
              <w:jc w:val="center"/>
              <w:rPr>
                <w:lang w:val="en-US"/>
              </w:rPr>
            </w:pPr>
            <w:r>
              <w:rPr>
                <w:lang w:val="en-US"/>
              </w:rPr>
              <w:t>(10)</w:t>
            </w:r>
          </w:p>
        </w:tc>
        <w:tc>
          <w:tcPr>
            <w:tcW w:w="992" w:type="dxa"/>
          </w:tcPr>
          <w:p w14:paraId="0DBE1123" w14:textId="77777777" w:rsidR="00E83DE0" w:rsidRDefault="006C4575">
            <w:pPr>
              <w:pStyle w:val="SingleTxtG"/>
              <w:ind w:left="0" w:right="19"/>
              <w:jc w:val="center"/>
              <w:rPr>
                <w:lang w:val="en-US"/>
              </w:rPr>
            </w:pPr>
            <w:r>
              <w:rPr>
                <w:lang w:val="en-US"/>
              </w:rPr>
              <w:t>(11)</w:t>
            </w:r>
          </w:p>
        </w:tc>
      </w:tr>
      <w:tr w:rsidR="00E83DE0" w14:paraId="73E0BE86" w14:textId="77777777">
        <w:tc>
          <w:tcPr>
            <w:tcW w:w="427" w:type="dxa"/>
            <w:tcBorders>
              <w:bottom w:val="single" w:sz="4" w:space="0" w:color="auto"/>
            </w:tcBorders>
          </w:tcPr>
          <w:p w14:paraId="6695493D" w14:textId="77777777" w:rsidR="00E83DE0" w:rsidRDefault="006C4575">
            <w:pPr>
              <w:pStyle w:val="SingleTxtG"/>
              <w:ind w:left="0" w:right="19"/>
              <w:jc w:val="center"/>
              <w:rPr>
                <w:lang w:val="en-US"/>
              </w:rPr>
            </w:pPr>
            <w:r>
              <w:rPr>
                <w:sz w:val="16"/>
                <w:szCs w:val="16"/>
                <w:u w:val="single"/>
              </w:rPr>
              <w:t>35</w:t>
            </w:r>
            <w:r>
              <w:rPr>
                <w:rFonts w:hint="eastAsia"/>
                <w:sz w:val="16"/>
                <w:szCs w:val="16"/>
                <w:u w:val="single"/>
              </w:rPr>
              <w:t>XX</w:t>
            </w:r>
          </w:p>
        </w:tc>
        <w:tc>
          <w:tcPr>
            <w:tcW w:w="1416" w:type="dxa"/>
            <w:tcBorders>
              <w:bottom w:val="single" w:sz="4" w:space="0" w:color="auto"/>
            </w:tcBorders>
          </w:tcPr>
          <w:p w14:paraId="08278E9E" w14:textId="77777777" w:rsidR="00E83DE0" w:rsidRDefault="006C4575">
            <w:pPr>
              <w:pStyle w:val="SingleTxtG"/>
              <w:ind w:left="0" w:right="19"/>
              <w:jc w:val="center"/>
              <w:rPr>
                <w:lang w:val="en-US"/>
              </w:rPr>
            </w:pPr>
            <w:bookmarkStart w:id="1" w:name="_Hlk79052969"/>
            <w:r w:rsidRPr="00AA7D8B">
              <w:rPr>
                <w:rFonts w:hint="eastAsia"/>
                <w:sz w:val="16"/>
                <w:szCs w:val="16"/>
                <w:u w:val="single"/>
                <w:lang w:val="en-US"/>
              </w:rPr>
              <w:t>BATTERIES,WET</w:t>
            </w:r>
            <w:r w:rsidRPr="00AA7D8B">
              <w:rPr>
                <w:rFonts w:asciiTheme="minorEastAsia" w:hAnsiTheme="minorEastAsia" w:hint="eastAsia"/>
                <w:sz w:val="16"/>
                <w:szCs w:val="16"/>
                <w:u w:val="single"/>
                <w:lang w:val="en-US"/>
              </w:rPr>
              <w:t>,</w:t>
            </w:r>
            <w:r w:rsidRPr="00AA7D8B">
              <w:rPr>
                <w:rFonts w:hint="eastAsia"/>
                <w:sz w:val="16"/>
                <w:szCs w:val="16"/>
                <w:u w:val="single"/>
                <w:lang w:val="en-US"/>
              </w:rPr>
              <w:t>NON-SPILLABLE</w:t>
            </w:r>
            <w:r w:rsidRPr="00AA7D8B">
              <w:rPr>
                <w:sz w:val="16"/>
                <w:szCs w:val="16"/>
                <w:u w:val="single"/>
                <w:lang w:val="en-US"/>
              </w:rPr>
              <w:t xml:space="preserve"> INSTALLED IN </w:t>
            </w:r>
            <w:r w:rsidRPr="00AA7D8B">
              <w:rPr>
                <w:rFonts w:hint="eastAsia"/>
                <w:sz w:val="16"/>
                <w:szCs w:val="16"/>
                <w:u w:val="single"/>
                <w:lang w:val="en-US" w:eastAsia="zh-CN"/>
              </w:rPr>
              <w:t xml:space="preserve">CARGO </w:t>
            </w:r>
            <w:r w:rsidRPr="00AA7D8B">
              <w:rPr>
                <w:sz w:val="16"/>
                <w:szCs w:val="16"/>
                <w:u w:val="single"/>
                <w:lang w:val="en-US"/>
              </w:rPr>
              <w:t>TRANSPORT UNIT</w:t>
            </w:r>
            <w:bookmarkEnd w:id="1"/>
          </w:p>
        </w:tc>
        <w:tc>
          <w:tcPr>
            <w:tcW w:w="708" w:type="dxa"/>
            <w:tcBorders>
              <w:bottom w:val="single" w:sz="4" w:space="0" w:color="auto"/>
            </w:tcBorders>
          </w:tcPr>
          <w:p w14:paraId="7096F4A0" w14:textId="77777777" w:rsidR="00E83DE0" w:rsidRDefault="006C4575">
            <w:pPr>
              <w:pStyle w:val="SingleTxtG"/>
              <w:ind w:left="0" w:right="19"/>
              <w:jc w:val="center"/>
              <w:rPr>
                <w:lang w:val="en-US"/>
              </w:rPr>
            </w:pPr>
            <w:r>
              <w:rPr>
                <w:rFonts w:hint="eastAsia"/>
                <w:sz w:val="16"/>
                <w:szCs w:val="16"/>
                <w:u w:val="single"/>
                <w:lang w:eastAsia="zh-CN"/>
              </w:rPr>
              <w:t>8</w:t>
            </w:r>
          </w:p>
        </w:tc>
        <w:tc>
          <w:tcPr>
            <w:tcW w:w="567" w:type="dxa"/>
            <w:tcBorders>
              <w:bottom w:val="single" w:sz="4" w:space="0" w:color="auto"/>
            </w:tcBorders>
          </w:tcPr>
          <w:p w14:paraId="6A3384ED" w14:textId="77777777" w:rsidR="00E83DE0" w:rsidRDefault="00E83DE0">
            <w:pPr>
              <w:pStyle w:val="SingleTxtG"/>
              <w:ind w:left="0" w:right="19"/>
              <w:jc w:val="center"/>
              <w:rPr>
                <w:lang w:val="en-US"/>
              </w:rPr>
            </w:pPr>
          </w:p>
        </w:tc>
        <w:tc>
          <w:tcPr>
            <w:tcW w:w="709" w:type="dxa"/>
            <w:tcBorders>
              <w:bottom w:val="single" w:sz="4" w:space="0" w:color="auto"/>
            </w:tcBorders>
          </w:tcPr>
          <w:p w14:paraId="557F5A07" w14:textId="77777777" w:rsidR="00E83DE0" w:rsidRDefault="00E83DE0">
            <w:pPr>
              <w:pStyle w:val="SingleTxtG"/>
              <w:ind w:left="0" w:right="19"/>
              <w:jc w:val="center"/>
              <w:rPr>
                <w:lang w:val="en-US"/>
              </w:rPr>
            </w:pPr>
          </w:p>
        </w:tc>
        <w:tc>
          <w:tcPr>
            <w:tcW w:w="709" w:type="dxa"/>
            <w:tcBorders>
              <w:bottom w:val="single" w:sz="4" w:space="0" w:color="auto"/>
            </w:tcBorders>
          </w:tcPr>
          <w:p w14:paraId="11ADA7E5" w14:textId="77777777" w:rsidR="00E83DE0" w:rsidRDefault="006C4575">
            <w:pPr>
              <w:pStyle w:val="SingleTxtG"/>
              <w:ind w:left="0" w:right="19"/>
              <w:jc w:val="center"/>
              <w:rPr>
                <w:lang w:val="en-US"/>
              </w:rPr>
            </w:pPr>
            <w:r>
              <w:rPr>
                <w:sz w:val="16"/>
                <w:szCs w:val="16"/>
                <w:u w:val="single"/>
                <w:lang w:eastAsia="nb-NO"/>
              </w:rPr>
              <w:t>XXX</w:t>
            </w:r>
            <w:r>
              <w:rPr>
                <w:sz w:val="16"/>
                <w:szCs w:val="16"/>
                <w:u w:val="single"/>
                <w:lang w:eastAsia="nb-NO"/>
              </w:rPr>
              <w:br/>
            </w:r>
          </w:p>
        </w:tc>
        <w:tc>
          <w:tcPr>
            <w:tcW w:w="425" w:type="dxa"/>
            <w:tcBorders>
              <w:bottom w:val="single" w:sz="4" w:space="0" w:color="auto"/>
            </w:tcBorders>
          </w:tcPr>
          <w:p w14:paraId="4E0EBE81" w14:textId="77777777" w:rsidR="00E83DE0" w:rsidRDefault="006C4575">
            <w:pPr>
              <w:pStyle w:val="SingleTxtG"/>
              <w:ind w:left="0" w:right="19"/>
              <w:jc w:val="center"/>
              <w:rPr>
                <w:lang w:val="en-US"/>
              </w:rPr>
            </w:pPr>
            <w:r>
              <w:rPr>
                <w:sz w:val="16"/>
                <w:szCs w:val="16"/>
                <w:u w:val="single"/>
              </w:rPr>
              <w:t>0</w:t>
            </w:r>
          </w:p>
        </w:tc>
        <w:tc>
          <w:tcPr>
            <w:tcW w:w="425" w:type="dxa"/>
            <w:tcBorders>
              <w:bottom w:val="single" w:sz="4" w:space="0" w:color="auto"/>
            </w:tcBorders>
          </w:tcPr>
          <w:p w14:paraId="26AF2B30" w14:textId="77777777" w:rsidR="00E83DE0" w:rsidRDefault="006C4575">
            <w:pPr>
              <w:pStyle w:val="SingleTxtG"/>
              <w:ind w:left="0" w:right="19"/>
              <w:jc w:val="center"/>
              <w:rPr>
                <w:lang w:val="en-US"/>
              </w:rPr>
            </w:pPr>
            <w:r>
              <w:rPr>
                <w:rFonts w:hint="eastAsia"/>
                <w:sz w:val="16"/>
                <w:szCs w:val="16"/>
                <w:u w:val="single"/>
              </w:rPr>
              <w:t>E</w:t>
            </w:r>
            <w:r>
              <w:rPr>
                <w:sz w:val="16"/>
                <w:szCs w:val="16"/>
                <w:u w:val="single"/>
              </w:rPr>
              <w:t>0</w:t>
            </w:r>
          </w:p>
        </w:tc>
        <w:tc>
          <w:tcPr>
            <w:tcW w:w="993" w:type="dxa"/>
            <w:tcBorders>
              <w:bottom w:val="single" w:sz="4" w:space="0" w:color="auto"/>
            </w:tcBorders>
          </w:tcPr>
          <w:p w14:paraId="29189F7D" w14:textId="77777777" w:rsidR="00E83DE0" w:rsidRDefault="00E83DE0">
            <w:pPr>
              <w:pStyle w:val="SingleTxtG"/>
              <w:ind w:left="0" w:right="19"/>
              <w:jc w:val="center"/>
              <w:rPr>
                <w:lang w:val="en-US"/>
              </w:rPr>
            </w:pPr>
          </w:p>
        </w:tc>
        <w:tc>
          <w:tcPr>
            <w:tcW w:w="992" w:type="dxa"/>
            <w:tcBorders>
              <w:bottom w:val="single" w:sz="4" w:space="0" w:color="auto"/>
            </w:tcBorders>
          </w:tcPr>
          <w:p w14:paraId="30AB4A17" w14:textId="77777777" w:rsidR="00E83DE0" w:rsidRDefault="00E83DE0">
            <w:pPr>
              <w:pStyle w:val="SingleTxtG"/>
              <w:ind w:left="0" w:right="19"/>
              <w:jc w:val="center"/>
              <w:rPr>
                <w:lang w:val="en-US"/>
              </w:rPr>
            </w:pPr>
          </w:p>
        </w:tc>
        <w:tc>
          <w:tcPr>
            <w:tcW w:w="992" w:type="dxa"/>
            <w:tcBorders>
              <w:bottom w:val="single" w:sz="4" w:space="0" w:color="auto"/>
            </w:tcBorders>
          </w:tcPr>
          <w:p w14:paraId="3646195E" w14:textId="77777777" w:rsidR="00E83DE0" w:rsidRDefault="00E83DE0">
            <w:pPr>
              <w:pStyle w:val="SingleTxtG"/>
              <w:ind w:left="0" w:right="19"/>
              <w:jc w:val="center"/>
              <w:rPr>
                <w:lang w:val="en-US"/>
              </w:rPr>
            </w:pPr>
          </w:p>
        </w:tc>
        <w:tc>
          <w:tcPr>
            <w:tcW w:w="992" w:type="dxa"/>
            <w:tcBorders>
              <w:bottom w:val="single" w:sz="4" w:space="0" w:color="auto"/>
            </w:tcBorders>
          </w:tcPr>
          <w:p w14:paraId="3A47E9CA" w14:textId="77777777" w:rsidR="00E83DE0" w:rsidRDefault="00E83DE0">
            <w:pPr>
              <w:pStyle w:val="SingleTxtG"/>
              <w:ind w:left="0" w:right="19"/>
              <w:jc w:val="center"/>
              <w:rPr>
                <w:lang w:val="en-US"/>
              </w:rPr>
            </w:pPr>
          </w:p>
        </w:tc>
      </w:tr>
    </w:tbl>
    <w:p w14:paraId="0FFA1A36" w14:textId="5A5AC47A" w:rsidR="00E83DE0" w:rsidRDefault="006C4575">
      <w:pPr>
        <w:pStyle w:val="SingleTxtG"/>
        <w:numPr>
          <w:ilvl w:val="0"/>
          <w:numId w:val="14"/>
        </w:numPr>
        <w:spacing w:before="120"/>
        <w:ind w:left="1134" w:firstLine="0"/>
        <w:rPr>
          <w:lang w:val="en-US"/>
        </w:rPr>
      </w:pPr>
      <w:r>
        <w:rPr>
          <w:rFonts w:hint="eastAsia"/>
          <w:lang w:val="en-US"/>
        </w:rPr>
        <w:t>In Chapter 3.3, add a new special provision XXX</w:t>
      </w:r>
      <w:r w:rsidR="008357B2">
        <w:rPr>
          <w:rFonts w:hint="eastAsia"/>
          <w:lang w:val="en-US"/>
        </w:rPr>
        <w:t xml:space="preserve"> </w:t>
      </w:r>
      <w:r w:rsidR="008357B2">
        <w:rPr>
          <w:lang w:val="en-US"/>
        </w:rPr>
        <w:t>(similar to</w:t>
      </w:r>
      <w:r>
        <w:rPr>
          <w:rFonts w:hint="eastAsia"/>
          <w:lang w:val="en-US"/>
        </w:rPr>
        <w:t xml:space="preserve"> special provision 38</w:t>
      </w:r>
      <w:r w:rsidR="008357B2">
        <w:rPr>
          <w:lang w:val="en-US"/>
        </w:rPr>
        <w:t>9)</w:t>
      </w:r>
      <w:r w:rsidR="004345CE">
        <w:rPr>
          <w:lang w:val="en-US"/>
        </w:rPr>
        <w:t xml:space="preserve"> as follows</w:t>
      </w:r>
      <w:r>
        <w:rPr>
          <w:rFonts w:hint="eastAsia"/>
          <w:lang w:val="en-US"/>
        </w:rPr>
        <w:t>:</w:t>
      </w:r>
    </w:p>
    <w:p w14:paraId="2E3B559E" w14:textId="77777777" w:rsidR="00E65991" w:rsidRDefault="007F27DF">
      <w:pPr>
        <w:pStyle w:val="SingleTxtG"/>
        <w:rPr>
          <w:u w:val="single"/>
          <w:lang w:val="en-US"/>
        </w:rPr>
      </w:pPr>
      <w:r w:rsidRPr="000B21F7">
        <w:rPr>
          <w:lang w:val="en-US"/>
        </w:rPr>
        <w:t>“</w:t>
      </w:r>
      <w:r w:rsidR="006C4575">
        <w:rPr>
          <w:u w:val="single"/>
          <w:lang w:val="en-US"/>
        </w:rPr>
        <w:t>XXX</w:t>
      </w:r>
      <w:r w:rsidR="004345CE">
        <w:rPr>
          <w:u w:val="single"/>
          <w:lang w:val="en-US"/>
        </w:rPr>
        <w:tab/>
      </w:r>
      <w:r w:rsidR="006C4575">
        <w:rPr>
          <w:u w:val="single"/>
          <w:lang w:val="en-US"/>
        </w:rPr>
        <w:t>This entry applies only to batteries (wet, non-spillable) installed in a cargo transport unit and designed only as an energy storage system. Batteries can be considered as non-spillable provided that they are capable of withstanding the vibration and pressure differential tests described in special provision 238 (a), without leakage of battery fluid.</w:t>
      </w:r>
    </w:p>
    <w:p w14:paraId="08CC4317" w14:textId="799D9A74" w:rsidR="00E83DE0" w:rsidRDefault="006C4575">
      <w:pPr>
        <w:pStyle w:val="SingleTxtG"/>
        <w:rPr>
          <w:u w:val="single"/>
          <w:lang w:val="en-US"/>
        </w:rPr>
      </w:pPr>
      <w:r>
        <w:rPr>
          <w:u w:val="single"/>
          <w:lang w:val="en-US"/>
        </w:rPr>
        <w:t xml:space="preserve">The batteries shall be securely attached to the interior structure of the cargo transport unit (e.g., by means of placement in racks, cabinets, etc.) in such a manner as to prevent short circuits, accidental operation, and significant movement relative to the cargo transport unit under the shocks, loadings and vibrations normally incident to transport. Dangerous goods necessary for the safe and proper operation of the cargo transport unit (e.g. fire extinguishing systems and air conditioning systems), shall be properly secured to or installed in the cargo transport unit and are not otherwise subject to these Regulations. Dangerous goods not necessary for the safe and proper operation of the cargo transport unit shall not be transported within the cargo transport unit. </w:t>
      </w:r>
    </w:p>
    <w:p w14:paraId="1F36890C" w14:textId="77777777" w:rsidR="00E83DE0" w:rsidRDefault="006C4575">
      <w:pPr>
        <w:pStyle w:val="SingleTxtG"/>
        <w:rPr>
          <w:u w:val="single"/>
          <w:lang w:val="en-US"/>
        </w:rPr>
      </w:pPr>
      <w:r>
        <w:rPr>
          <w:u w:val="single"/>
          <w:lang w:val="en-US"/>
        </w:rPr>
        <w:t>The batteries inside the cargo transport unit are not subject to marking or labelling requirements. The cargo transport unit shall display the UN number in accordance with 5.3.2.1.2 and be placarded on two opposing sides in accordance with 5.3.1.1.2.</w:t>
      </w:r>
    </w:p>
    <w:p w14:paraId="0A3453F9" w14:textId="2156C863" w:rsidR="00E83DE0" w:rsidRDefault="006C4575">
      <w:pPr>
        <w:pStyle w:val="SingleTxtG"/>
        <w:rPr>
          <w:u w:val="single"/>
          <w:lang w:val="en-US"/>
        </w:rPr>
      </w:pPr>
      <w:r>
        <w:rPr>
          <w:u w:val="single"/>
          <w:lang w:val="en-US"/>
        </w:rPr>
        <w:t xml:space="preserve">If wet, non-spillable batteries installed in a cargo transport unit meet all the requirements of special provision 238, the cargo transport units </w:t>
      </w:r>
      <w:r w:rsidR="00BD6515" w:rsidRPr="00BD6515">
        <w:rPr>
          <w:u w:val="single"/>
          <w:lang w:val="en-US"/>
        </w:rPr>
        <w:t>are not subject to other provisions of these Regulations</w:t>
      </w:r>
      <w:r>
        <w:rPr>
          <w:u w:val="single"/>
          <w:lang w:val="en-US"/>
        </w:rPr>
        <w:t>.</w:t>
      </w:r>
      <w:r w:rsidR="007F27DF" w:rsidRPr="000B21F7">
        <w:rPr>
          <w:lang w:val="en-US"/>
        </w:rPr>
        <w:t>”</w:t>
      </w:r>
    </w:p>
    <w:p w14:paraId="14863D4B" w14:textId="77777777" w:rsidR="00E83DE0" w:rsidRDefault="006C4575">
      <w:pPr>
        <w:suppressAutoHyphens w:val="0"/>
        <w:spacing w:line="240" w:lineRule="auto"/>
        <w:rPr>
          <w:lang w:val="en-US"/>
        </w:rPr>
      </w:pPr>
      <w:r>
        <w:rPr>
          <w:lang w:val="en-US"/>
        </w:rPr>
        <w:br w:type="page"/>
      </w:r>
    </w:p>
    <w:p w14:paraId="7CEA24CF" w14:textId="77777777" w:rsidR="00E83DE0" w:rsidRPr="00AA7D8B" w:rsidRDefault="006C4575">
      <w:pPr>
        <w:pStyle w:val="HChG"/>
        <w:rPr>
          <w:lang w:val="en-US"/>
        </w:rPr>
      </w:pPr>
      <w:r w:rsidRPr="00AA7D8B">
        <w:rPr>
          <w:lang w:val="en-US"/>
        </w:rPr>
        <w:tab/>
        <w:t>Annex I</w:t>
      </w:r>
    </w:p>
    <w:p w14:paraId="3D930CBD" w14:textId="77777777" w:rsidR="00E83DE0" w:rsidRDefault="006C4575">
      <w:pPr>
        <w:pStyle w:val="HChG"/>
        <w:spacing w:before="240" w:after="0"/>
        <w:rPr>
          <w:lang w:val="en-US"/>
        </w:rPr>
      </w:pPr>
      <w:r w:rsidRPr="00AA7D8B">
        <w:rPr>
          <w:lang w:val="en-US"/>
        </w:rPr>
        <w:tab/>
      </w:r>
      <w:r w:rsidRPr="00AA7D8B">
        <w:rPr>
          <w:lang w:val="en-US"/>
        </w:rPr>
        <w:tab/>
        <w:t>Overall structure of the CTUs:</w:t>
      </w:r>
    </w:p>
    <w:p w14:paraId="4D5C8C18" w14:textId="77777777" w:rsidR="00E83DE0" w:rsidRDefault="006C4575">
      <w:pPr>
        <w:ind w:leftChars="472" w:left="944"/>
      </w:pPr>
      <w:r>
        <w:rPr>
          <w:noProof/>
          <w:lang w:val="en-US" w:eastAsia="zh-CN"/>
        </w:rPr>
        <w:drawing>
          <wp:inline distT="0" distB="0" distL="0" distR="0" wp14:anchorId="18FF805B" wp14:editId="1CEBDC02">
            <wp:extent cx="3829050" cy="41211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35680" cy="4128552"/>
                    </a:xfrm>
                    <a:prstGeom prst="rect">
                      <a:avLst/>
                    </a:prstGeom>
                  </pic:spPr>
                </pic:pic>
              </a:graphicData>
            </a:graphic>
          </wp:inline>
        </w:drawing>
      </w:r>
    </w:p>
    <w:p w14:paraId="727761F6" w14:textId="275D8389" w:rsidR="00E83DE0" w:rsidRDefault="006C4575">
      <w:pPr>
        <w:pStyle w:val="HChG"/>
        <w:spacing w:before="240" w:after="0"/>
        <w:ind w:leftChars="100" w:left="200" w:firstLineChars="332" w:firstLine="933"/>
        <w:rPr>
          <w:lang w:eastAsia="zh-CN"/>
        </w:rPr>
      </w:pPr>
      <w:r>
        <w:t>Devices and batteries</w:t>
      </w:r>
    </w:p>
    <w:p w14:paraId="68F61420" w14:textId="77777777" w:rsidR="00E83DE0" w:rsidRDefault="006C4575">
      <w:pPr>
        <w:pStyle w:val="SingleTxtG"/>
        <w:rPr>
          <w:u w:val="single"/>
          <w:lang w:val="fr-CH"/>
        </w:rPr>
      </w:pPr>
      <w:r>
        <w:rPr>
          <w:noProof/>
          <w:lang w:val="en-US" w:eastAsia="zh-CN"/>
        </w:rPr>
        <w:drawing>
          <wp:inline distT="0" distB="0" distL="0" distR="0" wp14:anchorId="1F63EE01" wp14:editId="57AE5575">
            <wp:extent cx="2143125" cy="32035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stretch>
                      <a:fillRect/>
                    </a:stretch>
                  </pic:blipFill>
                  <pic:spPr>
                    <a:xfrm>
                      <a:off x="0" y="0"/>
                      <a:ext cx="2159874" cy="3229060"/>
                    </a:xfrm>
                    <a:prstGeom prst="rect">
                      <a:avLst/>
                    </a:prstGeom>
                  </pic:spPr>
                </pic:pic>
              </a:graphicData>
            </a:graphic>
          </wp:inline>
        </w:drawing>
      </w:r>
    </w:p>
    <w:p w14:paraId="436EEFE8" w14:textId="2FC28BB5" w:rsidR="00E83DE0" w:rsidRDefault="006C4575">
      <w:pPr>
        <w:pStyle w:val="HChG"/>
        <w:spacing w:before="240" w:after="0"/>
        <w:ind w:leftChars="100" w:left="200" w:firstLineChars="332" w:firstLine="933"/>
        <w:rPr>
          <w:lang w:eastAsia="zh-CN"/>
        </w:rPr>
      </w:pPr>
      <w:r>
        <w:t>Fire suppression (UN</w:t>
      </w:r>
      <w:r w:rsidR="000B21F7">
        <w:rPr>
          <w:lang w:val="fr-CH"/>
        </w:rPr>
        <w:t xml:space="preserve"> </w:t>
      </w:r>
      <w:r>
        <w:t>1044)</w:t>
      </w:r>
    </w:p>
    <w:p w14:paraId="11F680C9" w14:textId="77777777" w:rsidR="00E83DE0" w:rsidRDefault="006C4575">
      <w:pPr>
        <w:pStyle w:val="SingleTxtG"/>
        <w:rPr>
          <w:u w:val="single"/>
          <w:lang w:val="fr-CH"/>
        </w:rPr>
      </w:pPr>
      <w:r>
        <w:rPr>
          <w:noProof/>
          <w:lang w:val="en-US" w:eastAsia="zh-CN"/>
        </w:rPr>
        <w:drawing>
          <wp:inline distT="0" distB="0" distL="0" distR="0" wp14:anchorId="56115314" wp14:editId="71ACFD7B">
            <wp:extent cx="2476500" cy="37166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2490715" cy="3738234"/>
                    </a:xfrm>
                    <a:prstGeom prst="rect">
                      <a:avLst/>
                    </a:prstGeom>
                  </pic:spPr>
                </pic:pic>
              </a:graphicData>
            </a:graphic>
          </wp:inline>
        </w:drawing>
      </w:r>
    </w:p>
    <w:p w14:paraId="38B748E8" w14:textId="55766E54" w:rsidR="00E83DE0" w:rsidRDefault="006C4575">
      <w:pPr>
        <w:pStyle w:val="HChG"/>
        <w:spacing w:before="240" w:after="0"/>
        <w:ind w:leftChars="100" w:left="200" w:firstLineChars="332" w:firstLine="933"/>
        <w:rPr>
          <w:lang w:eastAsia="zh-CN"/>
        </w:rPr>
      </w:pPr>
      <w:r>
        <w:t>Conditioning systems (UN</w:t>
      </w:r>
      <w:r w:rsidR="000B21F7">
        <w:rPr>
          <w:lang w:val="fr-CH"/>
        </w:rPr>
        <w:t xml:space="preserve"> </w:t>
      </w:r>
      <w:r>
        <w:t>2857)</w:t>
      </w:r>
    </w:p>
    <w:p w14:paraId="6A74B45C" w14:textId="77777777" w:rsidR="00E83DE0" w:rsidRDefault="006C4575">
      <w:pPr>
        <w:pStyle w:val="SingleTxtG"/>
        <w:rPr>
          <w:u w:val="single"/>
          <w:lang w:val="fr-CH"/>
        </w:rPr>
      </w:pPr>
      <w:r>
        <w:rPr>
          <w:noProof/>
          <w:lang w:val="en-US" w:eastAsia="zh-CN"/>
        </w:rPr>
        <w:drawing>
          <wp:inline distT="0" distB="0" distL="0" distR="0" wp14:anchorId="14854203" wp14:editId="574216F9">
            <wp:extent cx="2476500" cy="37439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2493413" cy="3769791"/>
                    </a:xfrm>
                    <a:prstGeom prst="rect">
                      <a:avLst/>
                    </a:prstGeom>
                  </pic:spPr>
                </pic:pic>
              </a:graphicData>
            </a:graphic>
          </wp:inline>
        </w:drawing>
      </w:r>
    </w:p>
    <w:p w14:paraId="1A382396" w14:textId="77777777" w:rsidR="00E83DE0" w:rsidRDefault="00E83DE0">
      <w:pPr>
        <w:suppressAutoHyphens w:val="0"/>
        <w:spacing w:line="240" w:lineRule="auto"/>
      </w:pPr>
    </w:p>
    <w:p w14:paraId="76B9F620" w14:textId="77777777" w:rsidR="00E83DE0" w:rsidRDefault="00E83DE0">
      <w:pPr>
        <w:suppressAutoHyphens w:val="0"/>
        <w:spacing w:line="240" w:lineRule="auto"/>
      </w:pPr>
    </w:p>
    <w:p w14:paraId="57241226" w14:textId="77777777" w:rsidR="00E83DE0" w:rsidRPr="00AA7D8B" w:rsidRDefault="006C4575">
      <w:pPr>
        <w:pStyle w:val="HChG"/>
        <w:spacing w:before="120" w:after="120"/>
        <w:rPr>
          <w:lang w:val="en-US"/>
        </w:rPr>
      </w:pPr>
      <w:r>
        <w:tab/>
      </w:r>
      <w:bookmarkStart w:id="2" w:name="_Hlk84932152"/>
      <w:r w:rsidRPr="00AA7D8B">
        <w:rPr>
          <w:lang w:val="en-US"/>
        </w:rPr>
        <w:t>Annex II</w:t>
      </w:r>
      <w:bookmarkEnd w:id="2"/>
    </w:p>
    <w:p w14:paraId="1DD924A2" w14:textId="48CFA8C5" w:rsidR="00E83DE0" w:rsidRDefault="006C4575" w:rsidP="002A4D1B">
      <w:pPr>
        <w:pStyle w:val="HChG"/>
        <w:spacing w:before="240" w:after="0"/>
        <w:ind w:leftChars="567" w:right="567" w:firstLine="0"/>
        <w:rPr>
          <w:lang w:val="en-US"/>
        </w:rPr>
      </w:pPr>
      <w:r w:rsidRPr="00AA7D8B">
        <w:rPr>
          <w:lang w:val="en-US"/>
        </w:rPr>
        <w:t>EmS codes of UN</w:t>
      </w:r>
      <w:r w:rsidR="00956488">
        <w:rPr>
          <w:lang w:val="en-US"/>
        </w:rPr>
        <w:t xml:space="preserve"> </w:t>
      </w:r>
      <w:r w:rsidRPr="00AA7D8B">
        <w:rPr>
          <w:lang w:val="en-US"/>
        </w:rPr>
        <w:t>3536 and UN</w:t>
      </w:r>
      <w:r w:rsidR="00956488">
        <w:rPr>
          <w:lang w:val="en-US"/>
        </w:rPr>
        <w:t xml:space="preserve"> </w:t>
      </w:r>
      <w:r w:rsidRPr="00AA7D8B">
        <w:rPr>
          <w:lang w:val="en-US"/>
        </w:rPr>
        <w:t>2800 contained in the Dangerous Goods List in IMDG Code</w:t>
      </w:r>
    </w:p>
    <w:p w14:paraId="3FA05AB8" w14:textId="05C512B3" w:rsidR="00956488" w:rsidRDefault="00956488" w:rsidP="00956488">
      <w:pPr>
        <w:rPr>
          <w:lang w:val="en-US"/>
        </w:rPr>
      </w:pPr>
    </w:p>
    <w:tbl>
      <w:tblPr>
        <w:tblStyle w:val="TableGrid"/>
        <w:tblpPr w:leftFromText="180" w:rightFromText="180" w:vertAnchor="text" w:horzAnchor="margin" w:tblpXSpec="center" w:tblpY="47"/>
        <w:tblW w:w="5886" w:type="pct"/>
        <w:tblLayout w:type="fixed"/>
        <w:tblLook w:val="04A0" w:firstRow="1" w:lastRow="0" w:firstColumn="1" w:lastColumn="0" w:noHBand="0" w:noVBand="1"/>
      </w:tblPr>
      <w:tblGrid>
        <w:gridCol w:w="502"/>
        <w:gridCol w:w="2197"/>
        <w:gridCol w:w="707"/>
        <w:gridCol w:w="995"/>
        <w:gridCol w:w="850"/>
        <w:gridCol w:w="855"/>
        <w:gridCol w:w="988"/>
        <w:gridCol w:w="852"/>
        <w:gridCol w:w="993"/>
        <w:gridCol w:w="988"/>
        <w:gridCol w:w="281"/>
        <w:gridCol w:w="848"/>
        <w:gridCol w:w="279"/>
      </w:tblGrid>
      <w:tr w:rsidR="002D5755" w14:paraId="08539F1C" w14:textId="77777777" w:rsidTr="002D5755">
        <w:tc>
          <w:tcPr>
            <w:tcW w:w="221" w:type="pct"/>
            <w:vMerge w:val="restart"/>
            <w:vAlign w:val="center"/>
          </w:tcPr>
          <w:p w14:paraId="7CD9F5B3" w14:textId="77777777" w:rsidR="002D5755" w:rsidRDefault="002D5755" w:rsidP="002D5755">
            <w:pPr>
              <w:jc w:val="center"/>
              <w:rPr>
                <w:lang w:val="zh-CN" w:eastAsia="zh-CN"/>
              </w:rPr>
            </w:pPr>
            <w:r>
              <w:rPr>
                <w:rFonts w:hint="eastAsia"/>
                <w:lang w:val="zh-CN" w:eastAsia="zh-CN"/>
              </w:rPr>
              <w:t>U</w:t>
            </w:r>
            <w:r>
              <w:rPr>
                <w:lang w:val="zh-CN" w:eastAsia="zh-CN"/>
              </w:rPr>
              <w:t>N</w:t>
            </w:r>
          </w:p>
          <w:p w14:paraId="50B3D56E" w14:textId="77777777" w:rsidR="002D5755" w:rsidRDefault="002D5755" w:rsidP="002D5755">
            <w:pPr>
              <w:jc w:val="center"/>
              <w:rPr>
                <w:lang w:val="zh-CN" w:eastAsia="zh-CN"/>
              </w:rPr>
            </w:pPr>
            <w:r>
              <w:rPr>
                <w:rFonts w:hint="eastAsia"/>
                <w:lang w:val="zh-CN" w:eastAsia="zh-CN"/>
              </w:rPr>
              <w:t>No</w:t>
            </w:r>
            <w:r>
              <w:rPr>
                <w:lang w:val="zh-CN" w:eastAsia="zh-CN"/>
              </w:rPr>
              <w:t>.</w:t>
            </w:r>
          </w:p>
          <w:p w14:paraId="1E0FAB1D" w14:textId="77777777" w:rsidR="002D5755" w:rsidRDefault="002D5755" w:rsidP="002D5755">
            <w:pPr>
              <w:jc w:val="center"/>
              <w:rPr>
                <w:lang w:val="zh-CN" w:eastAsia="zh-CN"/>
              </w:rPr>
            </w:pPr>
            <w:r>
              <w:rPr>
                <w:rFonts w:hint="eastAsia"/>
                <w:lang w:val="zh-CN" w:eastAsia="zh-CN"/>
              </w:rPr>
              <w:t>(</w:t>
            </w:r>
            <w:r>
              <w:rPr>
                <w:lang w:val="zh-CN" w:eastAsia="zh-CN"/>
              </w:rPr>
              <w:t>1)</w:t>
            </w:r>
          </w:p>
        </w:tc>
        <w:tc>
          <w:tcPr>
            <w:tcW w:w="969" w:type="pct"/>
            <w:vMerge w:val="restart"/>
            <w:vAlign w:val="center"/>
          </w:tcPr>
          <w:p w14:paraId="5A243C51" w14:textId="77777777" w:rsidR="002D5755" w:rsidRDefault="002D5755" w:rsidP="002D5755">
            <w:pPr>
              <w:jc w:val="center"/>
              <w:rPr>
                <w:lang w:val="zh-CN" w:eastAsia="zh-CN"/>
              </w:rPr>
            </w:pPr>
            <w:r>
              <w:rPr>
                <w:rFonts w:hint="eastAsia"/>
                <w:lang w:val="zh-CN" w:eastAsia="zh-CN"/>
              </w:rPr>
              <w:t>P</w:t>
            </w:r>
            <w:r>
              <w:rPr>
                <w:lang w:val="zh-CN" w:eastAsia="zh-CN"/>
              </w:rPr>
              <w:t>roper shipping name(PSN)</w:t>
            </w:r>
          </w:p>
          <w:p w14:paraId="3B2AE5E3" w14:textId="77777777" w:rsidR="002D5755" w:rsidRDefault="002D5755" w:rsidP="002D5755">
            <w:pPr>
              <w:jc w:val="center"/>
              <w:rPr>
                <w:lang w:val="zh-CN" w:eastAsia="zh-CN"/>
              </w:rPr>
            </w:pPr>
            <w:r>
              <w:rPr>
                <w:rFonts w:hint="eastAsia"/>
                <w:lang w:val="zh-CN" w:eastAsia="zh-CN"/>
              </w:rPr>
              <w:t>(</w:t>
            </w:r>
            <w:r>
              <w:rPr>
                <w:lang w:val="zh-CN" w:eastAsia="zh-CN"/>
              </w:rPr>
              <w:t>2)</w:t>
            </w:r>
          </w:p>
          <w:p w14:paraId="77C215F8" w14:textId="77777777" w:rsidR="002D5755" w:rsidRDefault="002D5755" w:rsidP="002D5755">
            <w:pPr>
              <w:jc w:val="center"/>
              <w:rPr>
                <w:lang w:val="zh-CN" w:eastAsia="zh-CN"/>
              </w:rPr>
            </w:pPr>
            <w:r>
              <w:rPr>
                <w:rFonts w:hint="eastAsia"/>
                <w:lang w:val="zh-CN" w:eastAsia="zh-CN"/>
              </w:rPr>
              <w:t>3</w:t>
            </w:r>
            <w:r>
              <w:rPr>
                <w:lang w:val="zh-CN" w:eastAsia="zh-CN"/>
              </w:rPr>
              <w:t>.1.2</w:t>
            </w:r>
          </w:p>
        </w:tc>
        <w:tc>
          <w:tcPr>
            <w:tcW w:w="312" w:type="pct"/>
            <w:vMerge w:val="restart"/>
            <w:vAlign w:val="center"/>
          </w:tcPr>
          <w:p w14:paraId="6BD1C97F" w14:textId="77777777" w:rsidR="002D5755" w:rsidRDefault="002D5755" w:rsidP="002D5755">
            <w:pPr>
              <w:jc w:val="center"/>
              <w:rPr>
                <w:lang w:val="zh-CN" w:eastAsia="zh-CN"/>
              </w:rPr>
            </w:pPr>
            <w:r>
              <w:rPr>
                <w:rFonts w:hint="eastAsia"/>
                <w:lang w:val="zh-CN" w:eastAsia="zh-CN"/>
              </w:rPr>
              <w:t>C</w:t>
            </w:r>
            <w:r>
              <w:rPr>
                <w:lang w:val="zh-CN" w:eastAsia="zh-CN"/>
              </w:rPr>
              <w:t>lass or division</w:t>
            </w:r>
          </w:p>
          <w:p w14:paraId="6A2BF775" w14:textId="77777777" w:rsidR="002D5755" w:rsidRDefault="002D5755" w:rsidP="002D5755">
            <w:pPr>
              <w:jc w:val="center"/>
              <w:rPr>
                <w:lang w:val="zh-CN" w:eastAsia="zh-CN"/>
              </w:rPr>
            </w:pPr>
            <w:r>
              <w:rPr>
                <w:rFonts w:hint="eastAsia"/>
                <w:lang w:val="zh-CN" w:eastAsia="zh-CN"/>
              </w:rPr>
              <w:t>(</w:t>
            </w:r>
            <w:r>
              <w:rPr>
                <w:lang w:val="zh-CN" w:eastAsia="zh-CN"/>
              </w:rPr>
              <w:t>3)</w:t>
            </w:r>
          </w:p>
          <w:p w14:paraId="33C13A1E" w14:textId="77777777" w:rsidR="002D5755" w:rsidRDefault="002D5755" w:rsidP="002D5755">
            <w:pPr>
              <w:jc w:val="center"/>
              <w:rPr>
                <w:lang w:val="zh-CN" w:eastAsia="zh-CN"/>
              </w:rPr>
            </w:pPr>
            <w:r>
              <w:rPr>
                <w:rFonts w:hint="eastAsia"/>
                <w:lang w:val="zh-CN" w:eastAsia="zh-CN"/>
              </w:rPr>
              <w:t>2</w:t>
            </w:r>
            <w:r>
              <w:rPr>
                <w:lang w:val="zh-CN" w:eastAsia="zh-CN"/>
              </w:rPr>
              <w:t>.0</w:t>
            </w:r>
          </w:p>
        </w:tc>
        <w:tc>
          <w:tcPr>
            <w:tcW w:w="439" w:type="pct"/>
            <w:vMerge w:val="restart"/>
            <w:vAlign w:val="center"/>
          </w:tcPr>
          <w:p w14:paraId="16DF58FB" w14:textId="77777777" w:rsidR="002D5755" w:rsidRDefault="002D5755" w:rsidP="002D5755">
            <w:pPr>
              <w:jc w:val="center"/>
              <w:rPr>
                <w:lang w:val="zh-CN" w:eastAsia="zh-CN"/>
              </w:rPr>
            </w:pPr>
            <w:r>
              <w:rPr>
                <w:rFonts w:hint="eastAsia"/>
                <w:lang w:val="zh-CN" w:eastAsia="zh-CN"/>
              </w:rPr>
              <w:t>S</w:t>
            </w:r>
            <w:r>
              <w:rPr>
                <w:lang w:val="zh-CN" w:eastAsia="zh-CN"/>
              </w:rPr>
              <w:t>ubsidiary</w:t>
            </w:r>
            <w:r>
              <w:rPr>
                <w:rFonts w:hint="eastAsia"/>
                <w:lang w:val="zh-CN" w:eastAsia="zh-CN"/>
              </w:rPr>
              <w:t xml:space="preserve"> </w:t>
            </w:r>
            <w:r>
              <w:rPr>
                <w:lang w:val="zh-CN" w:eastAsia="zh-CN"/>
              </w:rPr>
              <w:t>hazard(s)</w:t>
            </w:r>
          </w:p>
          <w:p w14:paraId="116564FC" w14:textId="77777777" w:rsidR="002D5755" w:rsidRDefault="002D5755" w:rsidP="002D5755">
            <w:pPr>
              <w:jc w:val="center"/>
              <w:rPr>
                <w:lang w:val="zh-CN" w:eastAsia="zh-CN"/>
              </w:rPr>
            </w:pPr>
            <w:r>
              <w:rPr>
                <w:lang w:val="zh-CN" w:eastAsia="zh-CN"/>
              </w:rPr>
              <w:t>(4)</w:t>
            </w:r>
          </w:p>
          <w:p w14:paraId="79DFDC2E" w14:textId="77777777" w:rsidR="002D5755" w:rsidRDefault="002D5755" w:rsidP="002D5755">
            <w:pPr>
              <w:jc w:val="center"/>
              <w:rPr>
                <w:lang w:val="zh-CN" w:eastAsia="zh-CN"/>
              </w:rPr>
            </w:pPr>
            <w:r>
              <w:rPr>
                <w:rFonts w:hint="eastAsia"/>
                <w:lang w:val="zh-CN" w:eastAsia="zh-CN"/>
              </w:rPr>
              <w:t>2</w:t>
            </w:r>
            <w:r>
              <w:rPr>
                <w:lang w:val="zh-CN" w:eastAsia="zh-CN"/>
              </w:rPr>
              <w:t>.0</w:t>
            </w:r>
          </w:p>
        </w:tc>
        <w:tc>
          <w:tcPr>
            <w:tcW w:w="375" w:type="pct"/>
            <w:vMerge w:val="restart"/>
            <w:vAlign w:val="center"/>
          </w:tcPr>
          <w:p w14:paraId="1C0EB93D" w14:textId="77777777" w:rsidR="002D5755" w:rsidRDefault="002D5755" w:rsidP="002D5755">
            <w:pPr>
              <w:jc w:val="center"/>
              <w:rPr>
                <w:lang w:val="zh-CN" w:eastAsia="zh-CN"/>
              </w:rPr>
            </w:pPr>
            <w:r>
              <w:rPr>
                <w:rFonts w:hint="eastAsia"/>
                <w:lang w:val="zh-CN" w:eastAsia="zh-CN"/>
              </w:rPr>
              <w:t>P</w:t>
            </w:r>
            <w:r>
              <w:rPr>
                <w:lang w:val="zh-CN" w:eastAsia="zh-CN"/>
              </w:rPr>
              <w:t>acking</w:t>
            </w:r>
          </w:p>
          <w:p w14:paraId="7BE51B9E" w14:textId="77777777" w:rsidR="002D5755" w:rsidRDefault="002D5755" w:rsidP="002D5755">
            <w:pPr>
              <w:jc w:val="center"/>
              <w:rPr>
                <w:lang w:val="zh-CN" w:eastAsia="zh-CN"/>
              </w:rPr>
            </w:pPr>
            <w:r>
              <w:rPr>
                <w:lang w:val="zh-CN" w:eastAsia="zh-CN"/>
              </w:rPr>
              <w:t>Group</w:t>
            </w:r>
          </w:p>
          <w:p w14:paraId="1F618106" w14:textId="77777777" w:rsidR="002D5755" w:rsidRDefault="002D5755" w:rsidP="002D5755">
            <w:pPr>
              <w:jc w:val="center"/>
              <w:rPr>
                <w:lang w:val="zh-CN" w:eastAsia="zh-CN"/>
              </w:rPr>
            </w:pPr>
            <w:r>
              <w:rPr>
                <w:rFonts w:hint="eastAsia"/>
                <w:lang w:val="zh-CN" w:eastAsia="zh-CN"/>
              </w:rPr>
              <w:t>(</w:t>
            </w:r>
            <w:r>
              <w:rPr>
                <w:lang w:val="zh-CN" w:eastAsia="zh-CN"/>
              </w:rPr>
              <w:t>5)</w:t>
            </w:r>
          </w:p>
          <w:p w14:paraId="7A9F8A22" w14:textId="77777777" w:rsidR="002D5755" w:rsidRDefault="002D5755" w:rsidP="002D5755">
            <w:pPr>
              <w:jc w:val="center"/>
              <w:rPr>
                <w:lang w:val="zh-CN" w:eastAsia="zh-CN"/>
              </w:rPr>
            </w:pPr>
            <w:r>
              <w:rPr>
                <w:rFonts w:hint="eastAsia"/>
                <w:lang w:val="zh-CN" w:eastAsia="zh-CN"/>
              </w:rPr>
              <w:t>2</w:t>
            </w:r>
            <w:r>
              <w:rPr>
                <w:lang w:val="zh-CN" w:eastAsia="zh-CN"/>
              </w:rPr>
              <w:t>.0.1.13</w:t>
            </w:r>
          </w:p>
        </w:tc>
        <w:tc>
          <w:tcPr>
            <w:tcW w:w="377" w:type="pct"/>
            <w:vMerge w:val="restart"/>
            <w:vAlign w:val="center"/>
          </w:tcPr>
          <w:p w14:paraId="55833B14" w14:textId="77777777" w:rsidR="002D5755" w:rsidRDefault="002D5755" w:rsidP="002D5755">
            <w:pPr>
              <w:jc w:val="center"/>
              <w:rPr>
                <w:lang w:val="zh-CN" w:eastAsia="zh-CN"/>
              </w:rPr>
            </w:pPr>
            <w:r>
              <w:rPr>
                <w:rFonts w:hint="eastAsia"/>
                <w:lang w:val="zh-CN" w:eastAsia="zh-CN"/>
              </w:rPr>
              <w:t>S</w:t>
            </w:r>
            <w:r>
              <w:rPr>
                <w:lang w:val="zh-CN" w:eastAsia="zh-CN"/>
              </w:rPr>
              <w:t>pecial provisions</w:t>
            </w:r>
          </w:p>
          <w:p w14:paraId="267E4A81" w14:textId="77777777" w:rsidR="002D5755" w:rsidRDefault="002D5755" w:rsidP="002D5755">
            <w:pPr>
              <w:jc w:val="center"/>
              <w:rPr>
                <w:lang w:val="zh-CN" w:eastAsia="zh-CN"/>
              </w:rPr>
            </w:pPr>
            <w:r>
              <w:rPr>
                <w:rFonts w:hint="eastAsia"/>
                <w:lang w:val="zh-CN" w:eastAsia="zh-CN"/>
              </w:rPr>
              <w:t>(</w:t>
            </w:r>
            <w:r>
              <w:rPr>
                <w:lang w:val="zh-CN" w:eastAsia="zh-CN"/>
              </w:rPr>
              <w:t>6)</w:t>
            </w:r>
          </w:p>
          <w:p w14:paraId="55FD0157" w14:textId="77777777" w:rsidR="002D5755" w:rsidRDefault="002D5755" w:rsidP="002D5755">
            <w:pPr>
              <w:jc w:val="center"/>
              <w:rPr>
                <w:lang w:val="zh-CN" w:eastAsia="zh-CN"/>
              </w:rPr>
            </w:pPr>
            <w:r>
              <w:rPr>
                <w:rFonts w:hint="eastAsia"/>
                <w:lang w:val="zh-CN" w:eastAsia="zh-CN"/>
              </w:rPr>
              <w:t>3</w:t>
            </w:r>
            <w:r>
              <w:rPr>
                <w:lang w:val="zh-CN" w:eastAsia="zh-CN"/>
              </w:rPr>
              <w:t>.3</w:t>
            </w:r>
          </w:p>
        </w:tc>
        <w:tc>
          <w:tcPr>
            <w:tcW w:w="812" w:type="pct"/>
            <w:gridSpan w:val="2"/>
            <w:vAlign w:val="center"/>
          </w:tcPr>
          <w:p w14:paraId="66295592" w14:textId="77777777" w:rsidR="002D5755" w:rsidRPr="00AA7D8B" w:rsidRDefault="002D5755" w:rsidP="002D5755">
            <w:pPr>
              <w:jc w:val="center"/>
              <w:rPr>
                <w:lang w:val="en-US"/>
              </w:rPr>
            </w:pPr>
            <w:r w:rsidRPr="00AA7D8B">
              <w:rPr>
                <w:rFonts w:hint="eastAsia"/>
                <w:lang w:val="en-US" w:eastAsia="zh-CN"/>
              </w:rPr>
              <w:t>L</w:t>
            </w:r>
            <w:r w:rsidRPr="00AA7D8B">
              <w:rPr>
                <w:lang w:val="en-US" w:eastAsia="zh-CN"/>
              </w:rPr>
              <w:t>imited and excepted quantity provisions</w:t>
            </w:r>
          </w:p>
        </w:tc>
        <w:tc>
          <w:tcPr>
            <w:tcW w:w="874" w:type="pct"/>
            <w:gridSpan w:val="2"/>
            <w:vAlign w:val="center"/>
          </w:tcPr>
          <w:p w14:paraId="5AC4C29D" w14:textId="77777777" w:rsidR="002D5755" w:rsidRDefault="002D5755" w:rsidP="002D5755">
            <w:pPr>
              <w:jc w:val="center"/>
              <w:rPr>
                <w:lang w:val="zh-CN"/>
              </w:rPr>
            </w:pPr>
            <w:r>
              <w:rPr>
                <w:rFonts w:hint="eastAsia"/>
                <w:lang w:val="zh-CN" w:eastAsia="zh-CN"/>
              </w:rPr>
              <w:t>P</w:t>
            </w:r>
            <w:r>
              <w:rPr>
                <w:lang w:val="zh-CN" w:eastAsia="zh-CN"/>
              </w:rPr>
              <w:t>acking</w:t>
            </w:r>
          </w:p>
        </w:tc>
        <w:tc>
          <w:tcPr>
            <w:tcW w:w="124" w:type="pct"/>
            <w:vMerge w:val="restart"/>
            <w:vAlign w:val="center"/>
          </w:tcPr>
          <w:p w14:paraId="496AF58C" w14:textId="77777777" w:rsidR="002D5755" w:rsidRDefault="002D5755" w:rsidP="002D5755">
            <w:pPr>
              <w:jc w:val="center"/>
              <w:rPr>
                <w:lang w:val="zh-CN" w:eastAsia="zh-CN"/>
              </w:rPr>
            </w:pPr>
            <w:r>
              <w:rPr>
                <w:lang w:val="zh-CN" w:eastAsia="zh-CN"/>
              </w:rPr>
              <w:t>…</w:t>
            </w:r>
          </w:p>
        </w:tc>
        <w:tc>
          <w:tcPr>
            <w:tcW w:w="374" w:type="pct"/>
            <w:vMerge w:val="restart"/>
            <w:vAlign w:val="center"/>
          </w:tcPr>
          <w:p w14:paraId="275AE702" w14:textId="77777777" w:rsidR="002D5755" w:rsidRDefault="002D5755" w:rsidP="002D5755">
            <w:pPr>
              <w:jc w:val="center"/>
              <w:rPr>
                <w:b/>
                <w:bCs/>
                <w:lang w:val="zh-CN" w:eastAsia="zh-CN"/>
              </w:rPr>
            </w:pPr>
            <w:r>
              <w:rPr>
                <w:rFonts w:hint="eastAsia"/>
                <w:b/>
                <w:bCs/>
                <w:lang w:val="zh-CN" w:eastAsia="zh-CN"/>
              </w:rPr>
              <w:t>E</w:t>
            </w:r>
            <w:r>
              <w:rPr>
                <w:b/>
                <w:bCs/>
                <w:lang w:val="zh-CN" w:eastAsia="zh-CN"/>
              </w:rPr>
              <w:t>mS</w:t>
            </w:r>
          </w:p>
          <w:p w14:paraId="655D07D3" w14:textId="77777777" w:rsidR="002D5755" w:rsidRDefault="002D5755" w:rsidP="002D5755">
            <w:pPr>
              <w:jc w:val="center"/>
              <w:rPr>
                <w:b/>
                <w:bCs/>
                <w:lang w:val="zh-CN" w:eastAsia="zh-CN"/>
              </w:rPr>
            </w:pPr>
            <w:r>
              <w:rPr>
                <w:rFonts w:hint="eastAsia"/>
                <w:b/>
                <w:bCs/>
                <w:lang w:val="zh-CN" w:eastAsia="zh-CN"/>
              </w:rPr>
              <w:t>(</w:t>
            </w:r>
            <w:r>
              <w:rPr>
                <w:b/>
                <w:bCs/>
                <w:lang w:val="zh-CN" w:eastAsia="zh-CN"/>
              </w:rPr>
              <w:t>15)</w:t>
            </w:r>
          </w:p>
          <w:p w14:paraId="3D020A29" w14:textId="77777777" w:rsidR="002D5755" w:rsidRDefault="002D5755" w:rsidP="002D5755">
            <w:pPr>
              <w:jc w:val="center"/>
              <w:rPr>
                <w:b/>
                <w:bCs/>
                <w:lang w:val="zh-CN" w:eastAsia="zh-CN"/>
              </w:rPr>
            </w:pPr>
            <w:r>
              <w:rPr>
                <w:rFonts w:hint="eastAsia"/>
                <w:b/>
                <w:bCs/>
                <w:lang w:val="zh-CN" w:eastAsia="zh-CN"/>
              </w:rPr>
              <w:t>5</w:t>
            </w:r>
            <w:r>
              <w:rPr>
                <w:b/>
                <w:bCs/>
                <w:lang w:val="zh-CN" w:eastAsia="zh-CN"/>
              </w:rPr>
              <w:t>.4.3.2</w:t>
            </w:r>
          </w:p>
          <w:p w14:paraId="124C9EF0" w14:textId="77777777" w:rsidR="002D5755" w:rsidRDefault="002D5755" w:rsidP="002D5755">
            <w:pPr>
              <w:jc w:val="center"/>
              <w:rPr>
                <w:b/>
                <w:bCs/>
                <w:lang w:val="zh-CN" w:eastAsia="zh-CN"/>
              </w:rPr>
            </w:pPr>
            <w:r>
              <w:rPr>
                <w:rFonts w:hint="eastAsia"/>
                <w:b/>
                <w:bCs/>
                <w:lang w:val="zh-CN" w:eastAsia="zh-CN"/>
              </w:rPr>
              <w:t>7</w:t>
            </w:r>
            <w:r>
              <w:rPr>
                <w:b/>
                <w:bCs/>
                <w:lang w:val="zh-CN" w:eastAsia="zh-CN"/>
              </w:rPr>
              <w:t>.8</w:t>
            </w:r>
          </w:p>
        </w:tc>
        <w:tc>
          <w:tcPr>
            <w:tcW w:w="124" w:type="pct"/>
            <w:vMerge w:val="restart"/>
            <w:vAlign w:val="center"/>
          </w:tcPr>
          <w:p w14:paraId="207A2113" w14:textId="77777777" w:rsidR="002D5755" w:rsidRDefault="002D5755" w:rsidP="002D5755">
            <w:pPr>
              <w:jc w:val="center"/>
              <w:rPr>
                <w:lang w:val="zh-CN"/>
              </w:rPr>
            </w:pPr>
            <w:r>
              <w:rPr>
                <w:lang w:val="zh-CN" w:eastAsia="zh-CN"/>
              </w:rPr>
              <w:t>…</w:t>
            </w:r>
          </w:p>
        </w:tc>
      </w:tr>
      <w:tr w:rsidR="002D5755" w14:paraId="65E6BAC5" w14:textId="77777777" w:rsidTr="002D5755">
        <w:tc>
          <w:tcPr>
            <w:tcW w:w="221" w:type="pct"/>
            <w:vMerge/>
            <w:vAlign w:val="center"/>
          </w:tcPr>
          <w:p w14:paraId="0B0BBA69" w14:textId="77777777" w:rsidR="002D5755" w:rsidRDefault="002D5755" w:rsidP="002D5755">
            <w:pPr>
              <w:jc w:val="center"/>
              <w:rPr>
                <w:lang w:val="zh-CN"/>
              </w:rPr>
            </w:pPr>
          </w:p>
        </w:tc>
        <w:tc>
          <w:tcPr>
            <w:tcW w:w="969" w:type="pct"/>
            <w:vMerge/>
            <w:vAlign w:val="center"/>
          </w:tcPr>
          <w:p w14:paraId="5BFAFB53" w14:textId="77777777" w:rsidR="002D5755" w:rsidRDefault="002D5755" w:rsidP="002D5755">
            <w:pPr>
              <w:jc w:val="center"/>
              <w:rPr>
                <w:lang w:val="zh-CN"/>
              </w:rPr>
            </w:pPr>
          </w:p>
        </w:tc>
        <w:tc>
          <w:tcPr>
            <w:tcW w:w="312" w:type="pct"/>
            <w:vMerge/>
            <w:vAlign w:val="center"/>
          </w:tcPr>
          <w:p w14:paraId="46888D4C" w14:textId="77777777" w:rsidR="002D5755" w:rsidRDefault="002D5755" w:rsidP="002D5755">
            <w:pPr>
              <w:jc w:val="center"/>
              <w:rPr>
                <w:lang w:val="zh-CN"/>
              </w:rPr>
            </w:pPr>
          </w:p>
        </w:tc>
        <w:tc>
          <w:tcPr>
            <w:tcW w:w="439" w:type="pct"/>
            <w:vMerge/>
            <w:vAlign w:val="center"/>
          </w:tcPr>
          <w:p w14:paraId="7FA176E5" w14:textId="77777777" w:rsidR="002D5755" w:rsidRDefault="002D5755" w:rsidP="002D5755">
            <w:pPr>
              <w:jc w:val="center"/>
              <w:rPr>
                <w:lang w:val="zh-CN"/>
              </w:rPr>
            </w:pPr>
          </w:p>
        </w:tc>
        <w:tc>
          <w:tcPr>
            <w:tcW w:w="375" w:type="pct"/>
            <w:vMerge/>
            <w:vAlign w:val="center"/>
          </w:tcPr>
          <w:p w14:paraId="705B2AAC" w14:textId="77777777" w:rsidR="002D5755" w:rsidRDefault="002D5755" w:rsidP="002D5755">
            <w:pPr>
              <w:jc w:val="center"/>
              <w:rPr>
                <w:lang w:val="zh-CN"/>
              </w:rPr>
            </w:pPr>
          </w:p>
        </w:tc>
        <w:tc>
          <w:tcPr>
            <w:tcW w:w="377" w:type="pct"/>
            <w:vMerge/>
            <w:vAlign w:val="center"/>
          </w:tcPr>
          <w:p w14:paraId="7480EF82" w14:textId="77777777" w:rsidR="002D5755" w:rsidRDefault="002D5755" w:rsidP="002D5755">
            <w:pPr>
              <w:jc w:val="center"/>
              <w:rPr>
                <w:lang w:val="zh-CN"/>
              </w:rPr>
            </w:pPr>
          </w:p>
        </w:tc>
        <w:tc>
          <w:tcPr>
            <w:tcW w:w="436" w:type="pct"/>
            <w:vAlign w:val="center"/>
          </w:tcPr>
          <w:p w14:paraId="11714524" w14:textId="77777777" w:rsidR="002D5755" w:rsidRDefault="002D5755" w:rsidP="002D5755">
            <w:pPr>
              <w:jc w:val="center"/>
              <w:rPr>
                <w:lang w:val="zh-CN" w:eastAsia="zh-CN"/>
              </w:rPr>
            </w:pPr>
            <w:r>
              <w:rPr>
                <w:rFonts w:hint="eastAsia"/>
                <w:lang w:val="zh-CN" w:eastAsia="zh-CN"/>
              </w:rPr>
              <w:t>L</w:t>
            </w:r>
            <w:r>
              <w:rPr>
                <w:lang w:val="zh-CN" w:eastAsia="zh-CN"/>
              </w:rPr>
              <w:t>imited quantities</w:t>
            </w:r>
          </w:p>
          <w:p w14:paraId="417633BF" w14:textId="77777777" w:rsidR="002D5755" w:rsidRDefault="002D5755" w:rsidP="002D5755">
            <w:pPr>
              <w:jc w:val="center"/>
              <w:rPr>
                <w:lang w:val="zh-CN" w:eastAsia="zh-CN"/>
              </w:rPr>
            </w:pPr>
            <w:r>
              <w:rPr>
                <w:rFonts w:hint="eastAsia"/>
                <w:lang w:val="zh-CN" w:eastAsia="zh-CN"/>
              </w:rPr>
              <w:t>(</w:t>
            </w:r>
            <w:r>
              <w:rPr>
                <w:lang w:val="zh-CN" w:eastAsia="zh-CN"/>
              </w:rPr>
              <w:t>7a)</w:t>
            </w:r>
          </w:p>
          <w:p w14:paraId="6EABECAB" w14:textId="77777777" w:rsidR="002D5755" w:rsidRDefault="002D5755" w:rsidP="002D5755">
            <w:pPr>
              <w:jc w:val="center"/>
              <w:rPr>
                <w:lang w:val="zh-CN" w:eastAsia="zh-CN"/>
              </w:rPr>
            </w:pPr>
            <w:r>
              <w:rPr>
                <w:rFonts w:hint="eastAsia"/>
                <w:lang w:val="zh-CN" w:eastAsia="zh-CN"/>
              </w:rPr>
              <w:t>3</w:t>
            </w:r>
            <w:r>
              <w:rPr>
                <w:lang w:val="zh-CN" w:eastAsia="zh-CN"/>
              </w:rPr>
              <w:t>.4</w:t>
            </w:r>
          </w:p>
        </w:tc>
        <w:tc>
          <w:tcPr>
            <w:tcW w:w="376" w:type="pct"/>
            <w:vAlign w:val="center"/>
          </w:tcPr>
          <w:p w14:paraId="54A3447F" w14:textId="77777777" w:rsidR="002D5755" w:rsidRDefault="002D5755" w:rsidP="002D5755">
            <w:pPr>
              <w:jc w:val="center"/>
              <w:rPr>
                <w:lang w:val="zh-CN" w:eastAsia="zh-CN"/>
              </w:rPr>
            </w:pPr>
            <w:r>
              <w:rPr>
                <w:lang w:val="zh-CN" w:eastAsia="zh-CN"/>
              </w:rPr>
              <w:t>Excepted quantities</w:t>
            </w:r>
          </w:p>
          <w:p w14:paraId="16879707" w14:textId="77777777" w:rsidR="002D5755" w:rsidRDefault="002D5755" w:rsidP="002D5755">
            <w:pPr>
              <w:jc w:val="center"/>
              <w:rPr>
                <w:lang w:val="zh-CN" w:eastAsia="zh-CN"/>
              </w:rPr>
            </w:pPr>
            <w:r>
              <w:rPr>
                <w:rFonts w:hint="eastAsia"/>
                <w:lang w:val="zh-CN" w:eastAsia="zh-CN"/>
              </w:rPr>
              <w:t>(</w:t>
            </w:r>
            <w:r>
              <w:rPr>
                <w:lang w:val="zh-CN" w:eastAsia="zh-CN"/>
              </w:rPr>
              <w:t>7b)</w:t>
            </w:r>
          </w:p>
          <w:p w14:paraId="6AB9A7AE" w14:textId="77777777" w:rsidR="002D5755" w:rsidRDefault="002D5755" w:rsidP="002D5755">
            <w:pPr>
              <w:jc w:val="center"/>
              <w:rPr>
                <w:lang w:val="zh-CN" w:eastAsia="zh-CN"/>
              </w:rPr>
            </w:pPr>
            <w:r>
              <w:rPr>
                <w:rFonts w:hint="eastAsia"/>
                <w:lang w:val="zh-CN" w:eastAsia="zh-CN"/>
              </w:rPr>
              <w:t>3</w:t>
            </w:r>
            <w:r>
              <w:rPr>
                <w:lang w:val="zh-CN" w:eastAsia="zh-CN"/>
              </w:rPr>
              <w:t>.5</w:t>
            </w:r>
          </w:p>
        </w:tc>
        <w:tc>
          <w:tcPr>
            <w:tcW w:w="438" w:type="pct"/>
            <w:vAlign w:val="center"/>
          </w:tcPr>
          <w:p w14:paraId="6F62AAA1" w14:textId="77777777" w:rsidR="002D5755" w:rsidRDefault="002D5755" w:rsidP="002D5755">
            <w:pPr>
              <w:jc w:val="center"/>
              <w:rPr>
                <w:lang w:val="zh-CN" w:eastAsia="zh-CN"/>
              </w:rPr>
            </w:pPr>
            <w:r>
              <w:rPr>
                <w:rFonts w:hint="eastAsia"/>
                <w:lang w:val="zh-CN" w:eastAsia="zh-CN"/>
              </w:rPr>
              <w:t>I</w:t>
            </w:r>
            <w:r>
              <w:rPr>
                <w:lang w:val="zh-CN" w:eastAsia="zh-CN"/>
              </w:rPr>
              <w:t>nstructions</w:t>
            </w:r>
          </w:p>
          <w:p w14:paraId="3738DC53" w14:textId="77777777" w:rsidR="002D5755" w:rsidRDefault="002D5755" w:rsidP="002D5755">
            <w:pPr>
              <w:jc w:val="center"/>
              <w:rPr>
                <w:lang w:val="zh-CN" w:eastAsia="zh-CN"/>
              </w:rPr>
            </w:pPr>
            <w:r>
              <w:rPr>
                <w:rFonts w:hint="eastAsia"/>
                <w:lang w:val="zh-CN" w:eastAsia="zh-CN"/>
              </w:rPr>
              <w:t>(</w:t>
            </w:r>
            <w:r>
              <w:rPr>
                <w:lang w:val="zh-CN" w:eastAsia="zh-CN"/>
              </w:rPr>
              <w:t>8)</w:t>
            </w:r>
          </w:p>
          <w:p w14:paraId="1B691D1E" w14:textId="77777777" w:rsidR="002D5755" w:rsidRDefault="002D5755" w:rsidP="002D5755">
            <w:pPr>
              <w:jc w:val="center"/>
              <w:rPr>
                <w:lang w:val="zh-CN" w:eastAsia="zh-CN"/>
              </w:rPr>
            </w:pPr>
            <w:r>
              <w:rPr>
                <w:rFonts w:hint="eastAsia"/>
                <w:lang w:val="zh-CN" w:eastAsia="zh-CN"/>
              </w:rPr>
              <w:t>4</w:t>
            </w:r>
            <w:r>
              <w:rPr>
                <w:lang w:val="zh-CN" w:eastAsia="zh-CN"/>
              </w:rPr>
              <w:t>.1.4</w:t>
            </w:r>
          </w:p>
        </w:tc>
        <w:tc>
          <w:tcPr>
            <w:tcW w:w="436" w:type="pct"/>
            <w:vAlign w:val="center"/>
          </w:tcPr>
          <w:p w14:paraId="2A8ECDE2" w14:textId="77777777" w:rsidR="002D5755" w:rsidRDefault="002D5755" w:rsidP="002D5755">
            <w:pPr>
              <w:jc w:val="center"/>
              <w:rPr>
                <w:lang w:val="zh-CN" w:eastAsia="zh-CN"/>
              </w:rPr>
            </w:pPr>
            <w:r>
              <w:rPr>
                <w:rFonts w:hint="eastAsia"/>
                <w:lang w:val="zh-CN" w:eastAsia="zh-CN"/>
              </w:rPr>
              <w:t>P</w:t>
            </w:r>
            <w:r>
              <w:rPr>
                <w:lang w:val="zh-CN" w:eastAsia="zh-CN"/>
              </w:rPr>
              <w:t>rovisions</w:t>
            </w:r>
          </w:p>
          <w:p w14:paraId="437D239A" w14:textId="77777777" w:rsidR="002D5755" w:rsidRDefault="002D5755" w:rsidP="002D5755">
            <w:pPr>
              <w:jc w:val="center"/>
              <w:rPr>
                <w:lang w:val="zh-CN" w:eastAsia="zh-CN"/>
              </w:rPr>
            </w:pPr>
            <w:r>
              <w:rPr>
                <w:rFonts w:hint="eastAsia"/>
                <w:lang w:val="zh-CN" w:eastAsia="zh-CN"/>
              </w:rPr>
              <w:t>(</w:t>
            </w:r>
            <w:r>
              <w:rPr>
                <w:lang w:val="zh-CN" w:eastAsia="zh-CN"/>
              </w:rPr>
              <w:t>9)</w:t>
            </w:r>
          </w:p>
          <w:p w14:paraId="32CBB63E" w14:textId="77777777" w:rsidR="002D5755" w:rsidRDefault="002D5755" w:rsidP="002D5755">
            <w:pPr>
              <w:jc w:val="center"/>
              <w:rPr>
                <w:lang w:val="zh-CN" w:eastAsia="zh-CN"/>
              </w:rPr>
            </w:pPr>
            <w:r>
              <w:rPr>
                <w:rFonts w:hint="eastAsia"/>
                <w:lang w:val="zh-CN" w:eastAsia="zh-CN"/>
              </w:rPr>
              <w:t>4</w:t>
            </w:r>
            <w:r>
              <w:rPr>
                <w:lang w:val="zh-CN" w:eastAsia="zh-CN"/>
              </w:rPr>
              <w:t>.1.4</w:t>
            </w:r>
          </w:p>
        </w:tc>
        <w:tc>
          <w:tcPr>
            <w:tcW w:w="124" w:type="pct"/>
            <w:vMerge/>
            <w:vAlign w:val="center"/>
          </w:tcPr>
          <w:p w14:paraId="4C1B468F" w14:textId="77777777" w:rsidR="002D5755" w:rsidRDefault="002D5755" w:rsidP="002D5755">
            <w:pPr>
              <w:jc w:val="center"/>
              <w:rPr>
                <w:lang w:val="zh-CN" w:eastAsia="zh-CN"/>
              </w:rPr>
            </w:pPr>
          </w:p>
        </w:tc>
        <w:tc>
          <w:tcPr>
            <w:tcW w:w="374" w:type="pct"/>
            <w:vMerge/>
            <w:vAlign w:val="center"/>
          </w:tcPr>
          <w:p w14:paraId="4D6EB437" w14:textId="77777777" w:rsidR="002D5755" w:rsidRDefault="002D5755" w:rsidP="002D5755">
            <w:pPr>
              <w:jc w:val="center"/>
              <w:rPr>
                <w:b/>
                <w:bCs/>
                <w:lang w:val="zh-CN"/>
              </w:rPr>
            </w:pPr>
          </w:p>
        </w:tc>
        <w:tc>
          <w:tcPr>
            <w:tcW w:w="124" w:type="pct"/>
            <w:vMerge/>
            <w:vAlign w:val="center"/>
          </w:tcPr>
          <w:p w14:paraId="2B047AC6" w14:textId="77777777" w:rsidR="002D5755" w:rsidRDefault="002D5755" w:rsidP="002D5755">
            <w:pPr>
              <w:jc w:val="center"/>
              <w:rPr>
                <w:lang w:val="zh-CN"/>
              </w:rPr>
            </w:pPr>
          </w:p>
        </w:tc>
      </w:tr>
      <w:tr w:rsidR="002D5755" w14:paraId="3B32E98B" w14:textId="77777777" w:rsidTr="002D5755">
        <w:tc>
          <w:tcPr>
            <w:tcW w:w="221" w:type="pct"/>
            <w:vAlign w:val="center"/>
          </w:tcPr>
          <w:p w14:paraId="5F980449" w14:textId="77777777" w:rsidR="002D5755" w:rsidRDefault="002D5755" w:rsidP="002D5755">
            <w:pPr>
              <w:jc w:val="center"/>
              <w:rPr>
                <w:lang w:val="zh-CN" w:eastAsia="zh-CN"/>
              </w:rPr>
            </w:pPr>
            <w:r>
              <w:rPr>
                <w:rFonts w:hint="eastAsia"/>
                <w:lang w:val="zh-CN" w:eastAsia="zh-CN"/>
              </w:rPr>
              <w:t>2</w:t>
            </w:r>
            <w:r>
              <w:rPr>
                <w:lang w:val="zh-CN" w:eastAsia="zh-CN"/>
              </w:rPr>
              <w:t>800</w:t>
            </w:r>
          </w:p>
        </w:tc>
        <w:tc>
          <w:tcPr>
            <w:tcW w:w="969" w:type="pct"/>
            <w:vAlign w:val="center"/>
          </w:tcPr>
          <w:p w14:paraId="65E953DC" w14:textId="77777777" w:rsidR="002D5755" w:rsidRPr="00AA7D8B" w:rsidRDefault="002D5755" w:rsidP="002D5755">
            <w:pPr>
              <w:jc w:val="both"/>
              <w:rPr>
                <w:lang w:val="en-US" w:eastAsia="zh-CN"/>
              </w:rPr>
            </w:pPr>
            <w:r w:rsidRPr="00AA7D8B">
              <w:rPr>
                <w:rFonts w:hint="eastAsia"/>
                <w:lang w:val="en-US" w:eastAsia="zh-CN"/>
              </w:rPr>
              <w:t>B</w:t>
            </w:r>
            <w:r w:rsidRPr="00AA7D8B">
              <w:rPr>
                <w:lang w:val="en-US" w:eastAsia="zh-CN"/>
              </w:rPr>
              <w:t>ATTERIES,WET,</w:t>
            </w:r>
          </w:p>
          <w:p w14:paraId="43431BFA" w14:textId="77777777" w:rsidR="002D5755" w:rsidRPr="00AA7D8B" w:rsidRDefault="002D5755" w:rsidP="002D5755">
            <w:pPr>
              <w:jc w:val="both"/>
              <w:rPr>
                <w:lang w:val="en-US" w:eastAsia="zh-CN"/>
              </w:rPr>
            </w:pPr>
            <w:r w:rsidRPr="00AA7D8B">
              <w:rPr>
                <w:rFonts w:hint="eastAsia"/>
                <w:lang w:val="en-US" w:eastAsia="zh-CN"/>
              </w:rPr>
              <w:t>N</w:t>
            </w:r>
            <w:r w:rsidRPr="00AA7D8B">
              <w:rPr>
                <w:lang w:val="en-US" w:eastAsia="zh-CN"/>
              </w:rPr>
              <w:t>ON-SPILLABLE, electric storage</w:t>
            </w:r>
          </w:p>
        </w:tc>
        <w:tc>
          <w:tcPr>
            <w:tcW w:w="312" w:type="pct"/>
            <w:vAlign w:val="center"/>
          </w:tcPr>
          <w:p w14:paraId="009525BC" w14:textId="77777777" w:rsidR="002D5755" w:rsidRDefault="002D5755" w:rsidP="002D5755">
            <w:pPr>
              <w:jc w:val="center"/>
              <w:rPr>
                <w:lang w:val="zh-CN" w:eastAsia="zh-CN"/>
              </w:rPr>
            </w:pPr>
            <w:r>
              <w:rPr>
                <w:rFonts w:hint="eastAsia"/>
                <w:lang w:val="zh-CN" w:eastAsia="zh-CN"/>
              </w:rPr>
              <w:t>8</w:t>
            </w:r>
          </w:p>
        </w:tc>
        <w:tc>
          <w:tcPr>
            <w:tcW w:w="439" w:type="pct"/>
            <w:vAlign w:val="center"/>
          </w:tcPr>
          <w:p w14:paraId="74D53D97" w14:textId="77777777" w:rsidR="002D5755" w:rsidRDefault="002D5755" w:rsidP="002D5755">
            <w:pPr>
              <w:jc w:val="center"/>
              <w:rPr>
                <w:lang w:val="zh-CN" w:eastAsia="zh-CN"/>
              </w:rPr>
            </w:pPr>
            <w:r>
              <w:rPr>
                <w:rFonts w:hint="eastAsia"/>
                <w:lang w:val="zh-CN" w:eastAsia="zh-CN"/>
              </w:rPr>
              <w:t>-</w:t>
            </w:r>
          </w:p>
        </w:tc>
        <w:tc>
          <w:tcPr>
            <w:tcW w:w="375" w:type="pct"/>
            <w:vAlign w:val="center"/>
          </w:tcPr>
          <w:p w14:paraId="33A8AEB6" w14:textId="77777777" w:rsidR="002D5755" w:rsidRDefault="002D5755" w:rsidP="002D5755">
            <w:pPr>
              <w:jc w:val="center"/>
              <w:rPr>
                <w:lang w:val="zh-CN" w:eastAsia="zh-CN"/>
              </w:rPr>
            </w:pPr>
            <w:r>
              <w:rPr>
                <w:rFonts w:hint="eastAsia"/>
                <w:lang w:val="zh-CN" w:eastAsia="zh-CN"/>
              </w:rPr>
              <w:t>-</w:t>
            </w:r>
          </w:p>
        </w:tc>
        <w:tc>
          <w:tcPr>
            <w:tcW w:w="377" w:type="pct"/>
            <w:vAlign w:val="center"/>
          </w:tcPr>
          <w:p w14:paraId="69434DDD" w14:textId="77777777" w:rsidR="002D5755" w:rsidRDefault="002D5755" w:rsidP="002D5755">
            <w:pPr>
              <w:jc w:val="center"/>
              <w:rPr>
                <w:lang w:val="zh-CN" w:eastAsia="zh-CN"/>
              </w:rPr>
            </w:pPr>
            <w:r>
              <w:rPr>
                <w:rFonts w:hint="eastAsia"/>
                <w:lang w:val="zh-CN" w:eastAsia="zh-CN"/>
              </w:rPr>
              <w:t>2</w:t>
            </w:r>
            <w:r>
              <w:rPr>
                <w:lang w:val="zh-CN" w:eastAsia="zh-CN"/>
              </w:rPr>
              <w:t>38</w:t>
            </w:r>
          </w:p>
        </w:tc>
        <w:tc>
          <w:tcPr>
            <w:tcW w:w="436" w:type="pct"/>
            <w:vAlign w:val="center"/>
          </w:tcPr>
          <w:p w14:paraId="560EF7A4" w14:textId="77777777" w:rsidR="002D5755" w:rsidRDefault="002D5755" w:rsidP="002D5755">
            <w:pPr>
              <w:jc w:val="center"/>
              <w:rPr>
                <w:lang w:val="zh-CN" w:eastAsia="zh-CN"/>
              </w:rPr>
            </w:pPr>
            <w:r>
              <w:rPr>
                <w:rFonts w:hint="eastAsia"/>
                <w:lang w:val="zh-CN" w:eastAsia="zh-CN"/>
              </w:rPr>
              <w:t>1</w:t>
            </w:r>
            <w:r>
              <w:rPr>
                <w:lang w:val="zh-CN" w:eastAsia="zh-CN"/>
              </w:rPr>
              <w:t>L</w:t>
            </w:r>
          </w:p>
        </w:tc>
        <w:tc>
          <w:tcPr>
            <w:tcW w:w="376" w:type="pct"/>
            <w:vAlign w:val="center"/>
          </w:tcPr>
          <w:p w14:paraId="173F3F0C" w14:textId="77777777" w:rsidR="002D5755" w:rsidRDefault="002D5755" w:rsidP="002D5755">
            <w:pPr>
              <w:jc w:val="center"/>
              <w:rPr>
                <w:lang w:val="zh-CN" w:eastAsia="zh-CN"/>
              </w:rPr>
            </w:pPr>
            <w:r>
              <w:rPr>
                <w:rFonts w:hint="eastAsia"/>
                <w:lang w:val="zh-CN" w:eastAsia="zh-CN"/>
              </w:rPr>
              <w:t>E</w:t>
            </w:r>
            <w:r>
              <w:rPr>
                <w:lang w:val="zh-CN" w:eastAsia="zh-CN"/>
              </w:rPr>
              <w:t>0</w:t>
            </w:r>
          </w:p>
        </w:tc>
        <w:tc>
          <w:tcPr>
            <w:tcW w:w="438" w:type="pct"/>
            <w:vAlign w:val="center"/>
          </w:tcPr>
          <w:p w14:paraId="70627B7C" w14:textId="77777777" w:rsidR="002D5755" w:rsidRDefault="002D5755" w:rsidP="002D5755">
            <w:pPr>
              <w:jc w:val="center"/>
              <w:rPr>
                <w:lang w:val="zh-CN" w:eastAsia="zh-CN"/>
              </w:rPr>
            </w:pPr>
            <w:r>
              <w:rPr>
                <w:rFonts w:hint="eastAsia"/>
                <w:lang w:val="zh-CN" w:eastAsia="zh-CN"/>
              </w:rPr>
              <w:t>P</w:t>
            </w:r>
            <w:r>
              <w:rPr>
                <w:lang w:val="zh-CN" w:eastAsia="zh-CN"/>
              </w:rPr>
              <w:t>003</w:t>
            </w:r>
          </w:p>
        </w:tc>
        <w:tc>
          <w:tcPr>
            <w:tcW w:w="436" w:type="pct"/>
            <w:vAlign w:val="center"/>
          </w:tcPr>
          <w:p w14:paraId="0D2832DF" w14:textId="77777777" w:rsidR="002D5755" w:rsidRDefault="002D5755" w:rsidP="002D5755">
            <w:pPr>
              <w:jc w:val="center"/>
              <w:rPr>
                <w:lang w:val="zh-CN" w:eastAsia="zh-CN"/>
              </w:rPr>
            </w:pPr>
            <w:r>
              <w:rPr>
                <w:rFonts w:hint="eastAsia"/>
                <w:lang w:val="zh-CN" w:eastAsia="zh-CN"/>
              </w:rPr>
              <w:t>P</w:t>
            </w:r>
            <w:r>
              <w:rPr>
                <w:lang w:val="zh-CN" w:eastAsia="zh-CN"/>
              </w:rPr>
              <w:t>P16</w:t>
            </w:r>
          </w:p>
        </w:tc>
        <w:tc>
          <w:tcPr>
            <w:tcW w:w="124" w:type="pct"/>
            <w:vAlign w:val="center"/>
          </w:tcPr>
          <w:p w14:paraId="5A343B00" w14:textId="77777777" w:rsidR="002D5755" w:rsidRDefault="002D5755" w:rsidP="002D5755">
            <w:pPr>
              <w:jc w:val="center"/>
              <w:rPr>
                <w:lang w:val="zh-CN" w:eastAsia="zh-CN"/>
              </w:rPr>
            </w:pPr>
            <w:r>
              <w:rPr>
                <w:lang w:val="zh-CN" w:eastAsia="zh-CN"/>
              </w:rPr>
              <w:t>…</w:t>
            </w:r>
          </w:p>
        </w:tc>
        <w:tc>
          <w:tcPr>
            <w:tcW w:w="374" w:type="pct"/>
            <w:vAlign w:val="center"/>
          </w:tcPr>
          <w:p w14:paraId="20C84C5D" w14:textId="77777777" w:rsidR="002D5755" w:rsidRDefault="002D5755" w:rsidP="002D5755">
            <w:pPr>
              <w:jc w:val="center"/>
              <w:rPr>
                <w:b/>
                <w:bCs/>
                <w:lang w:val="zh-CN" w:eastAsia="zh-CN"/>
              </w:rPr>
            </w:pPr>
            <w:r>
              <w:rPr>
                <w:rFonts w:hint="eastAsia"/>
                <w:b/>
                <w:bCs/>
                <w:lang w:val="zh-CN" w:eastAsia="zh-CN"/>
              </w:rPr>
              <w:t>F</w:t>
            </w:r>
            <w:r>
              <w:rPr>
                <w:b/>
                <w:bCs/>
                <w:lang w:val="zh-CN" w:eastAsia="zh-CN"/>
              </w:rPr>
              <w:t>-A, S-B</w:t>
            </w:r>
          </w:p>
        </w:tc>
        <w:tc>
          <w:tcPr>
            <w:tcW w:w="124" w:type="pct"/>
            <w:vAlign w:val="center"/>
          </w:tcPr>
          <w:p w14:paraId="3F264BB3" w14:textId="77777777" w:rsidR="002D5755" w:rsidRDefault="002D5755" w:rsidP="002D5755">
            <w:pPr>
              <w:jc w:val="center"/>
              <w:rPr>
                <w:lang w:val="zh-CN"/>
              </w:rPr>
            </w:pPr>
            <w:r>
              <w:rPr>
                <w:lang w:val="zh-CN" w:eastAsia="zh-CN"/>
              </w:rPr>
              <w:t>…</w:t>
            </w:r>
          </w:p>
        </w:tc>
      </w:tr>
      <w:tr w:rsidR="002D5755" w14:paraId="6F958540" w14:textId="77777777" w:rsidTr="002D5755">
        <w:tc>
          <w:tcPr>
            <w:tcW w:w="221" w:type="pct"/>
            <w:vAlign w:val="center"/>
          </w:tcPr>
          <w:p w14:paraId="2B365955" w14:textId="77777777" w:rsidR="002D5755" w:rsidRDefault="002D5755" w:rsidP="002D5755">
            <w:pPr>
              <w:jc w:val="center"/>
              <w:rPr>
                <w:lang w:val="zh-CN" w:eastAsia="zh-CN"/>
              </w:rPr>
            </w:pPr>
            <w:r>
              <w:rPr>
                <w:rFonts w:hint="eastAsia"/>
                <w:lang w:val="zh-CN" w:eastAsia="zh-CN"/>
              </w:rPr>
              <w:t>3</w:t>
            </w:r>
            <w:r>
              <w:rPr>
                <w:lang w:val="zh-CN" w:eastAsia="zh-CN"/>
              </w:rPr>
              <w:t>536</w:t>
            </w:r>
          </w:p>
        </w:tc>
        <w:tc>
          <w:tcPr>
            <w:tcW w:w="969" w:type="pct"/>
            <w:vAlign w:val="center"/>
          </w:tcPr>
          <w:p w14:paraId="5F0DD191" w14:textId="77777777" w:rsidR="002D5755" w:rsidRPr="00AA7D8B" w:rsidRDefault="002D5755" w:rsidP="002D5755">
            <w:pPr>
              <w:rPr>
                <w:lang w:val="en-US" w:eastAsia="zh-CN"/>
              </w:rPr>
            </w:pPr>
            <w:r w:rsidRPr="00AA7D8B">
              <w:rPr>
                <w:rFonts w:hint="eastAsia"/>
                <w:lang w:val="en-US" w:eastAsia="zh-CN"/>
              </w:rPr>
              <w:t>L</w:t>
            </w:r>
            <w:r w:rsidRPr="00AA7D8B">
              <w:rPr>
                <w:lang w:val="en-US" w:eastAsia="zh-CN"/>
              </w:rPr>
              <w:t>ITHIUM BATTERIES INSTALLED IN CARGO TRANSPORT UNIT lithium ion batteries or lithium metal batteries</w:t>
            </w:r>
          </w:p>
        </w:tc>
        <w:tc>
          <w:tcPr>
            <w:tcW w:w="312" w:type="pct"/>
            <w:vAlign w:val="center"/>
          </w:tcPr>
          <w:p w14:paraId="302D90A7" w14:textId="77777777" w:rsidR="002D5755" w:rsidRDefault="002D5755" w:rsidP="002D5755">
            <w:pPr>
              <w:jc w:val="center"/>
              <w:rPr>
                <w:lang w:val="zh-CN" w:eastAsia="zh-CN"/>
              </w:rPr>
            </w:pPr>
            <w:r>
              <w:rPr>
                <w:rFonts w:hint="eastAsia"/>
                <w:lang w:val="zh-CN" w:eastAsia="zh-CN"/>
              </w:rPr>
              <w:t>9</w:t>
            </w:r>
          </w:p>
        </w:tc>
        <w:tc>
          <w:tcPr>
            <w:tcW w:w="439" w:type="pct"/>
            <w:vAlign w:val="center"/>
          </w:tcPr>
          <w:p w14:paraId="5F131C80" w14:textId="77777777" w:rsidR="002D5755" w:rsidRDefault="002D5755" w:rsidP="002D5755">
            <w:pPr>
              <w:jc w:val="center"/>
              <w:rPr>
                <w:lang w:val="zh-CN" w:eastAsia="zh-CN"/>
              </w:rPr>
            </w:pPr>
            <w:r>
              <w:rPr>
                <w:rFonts w:hint="eastAsia"/>
                <w:lang w:val="zh-CN" w:eastAsia="zh-CN"/>
              </w:rPr>
              <w:t>-</w:t>
            </w:r>
          </w:p>
        </w:tc>
        <w:tc>
          <w:tcPr>
            <w:tcW w:w="375" w:type="pct"/>
            <w:vAlign w:val="center"/>
          </w:tcPr>
          <w:p w14:paraId="7B393F6D" w14:textId="77777777" w:rsidR="002D5755" w:rsidRDefault="002D5755" w:rsidP="002D5755">
            <w:pPr>
              <w:jc w:val="center"/>
              <w:rPr>
                <w:lang w:val="zh-CN" w:eastAsia="zh-CN"/>
              </w:rPr>
            </w:pPr>
            <w:r>
              <w:rPr>
                <w:rFonts w:hint="eastAsia"/>
                <w:lang w:val="zh-CN" w:eastAsia="zh-CN"/>
              </w:rPr>
              <w:t>-</w:t>
            </w:r>
          </w:p>
        </w:tc>
        <w:tc>
          <w:tcPr>
            <w:tcW w:w="377" w:type="pct"/>
            <w:vAlign w:val="center"/>
          </w:tcPr>
          <w:p w14:paraId="5E432C23" w14:textId="77777777" w:rsidR="002D5755" w:rsidRDefault="002D5755" w:rsidP="002D5755">
            <w:pPr>
              <w:jc w:val="center"/>
              <w:rPr>
                <w:lang w:val="zh-CN" w:eastAsia="zh-CN"/>
              </w:rPr>
            </w:pPr>
            <w:r>
              <w:rPr>
                <w:rFonts w:hint="eastAsia"/>
                <w:lang w:val="zh-CN" w:eastAsia="zh-CN"/>
              </w:rPr>
              <w:t>3</w:t>
            </w:r>
            <w:r>
              <w:rPr>
                <w:lang w:val="zh-CN" w:eastAsia="zh-CN"/>
              </w:rPr>
              <w:t>89</w:t>
            </w:r>
          </w:p>
        </w:tc>
        <w:tc>
          <w:tcPr>
            <w:tcW w:w="436" w:type="pct"/>
            <w:vAlign w:val="center"/>
          </w:tcPr>
          <w:p w14:paraId="52011826" w14:textId="77777777" w:rsidR="002D5755" w:rsidRDefault="002D5755" w:rsidP="002D5755">
            <w:pPr>
              <w:jc w:val="center"/>
              <w:rPr>
                <w:lang w:val="zh-CN" w:eastAsia="zh-CN"/>
              </w:rPr>
            </w:pPr>
            <w:r>
              <w:rPr>
                <w:rFonts w:hint="eastAsia"/>
                <w:lang w:val="zh-CN" w:eastAsia="zh-CN"/>
              </w:rPr>
              <w:t>0</w:t>
            </w:r>
          </w:p>
        </w:tc>
        <w:tc>
          <w:tcPr>
            <w:tcW w:w="376" w:type="pct"/>
            <w:vAlign w:val="center"/>
          </w:tcPr>
          <w:p w14:paraId="0F08570E" w14:textId="77777777" w:rsidR="002D5755" w:rsidRDefault="002D5755" w:rsidP="002D5755">
            <w:pPr>
              <w:jc w:val="center"/>
              <w:rPr>
                <w:lang w:val="zh-CN" w:eastAsia="zh-CN"/>
              </w:rPr>
            </w:pPr>
            <w:r>
              <w:rPr>
                <w:rFonts w:hint="eastAsia"/>
                <w:lang w:val="zh-CN" w:eastAsia="zh-CN"/>
              </w:rPr>
              <w:t>E</w:t>
            </w:r>
            <w:r>
              <w:rPr>
                <w:lang w:val="zh-CN" w:eastAsia="zh-CN"/>
              </w:rPr>
              <w:t>0</w:t>
            </w:r>
          </w:p>
        </w:tc>
        <w:tc>
          <w:tcPr>
            <w:tcW w:w="438" w:type="pct"/>
            <w:vAlign w:val="center"/>
          </w:tcPr>
          <w:p w14:paraId="4E00611E" w14:textId="77777777" w:rsidR="002D5755" w:rsidRDefault="002D5755" w:rsidP="002D5755">
            <w:pPr>
              <w:jc w:val="center"/>
              <w:rPr>
                <w:lang w:val="zh-CN" w:eastAsia="zh-CN"/>
              </w:rPr>
            </w:pPr>
            <w:r>
              <w:rPr>
                <w:rFonts w:hint="eastAsia"/>
                <w:lang w:val="zh-CN" w:eastAsia="zh-CN"/>
              </w:rPr>
              <w:t>-</w:t>
            </w:r>
          </w:p>
        </w:tc>
        <w:tc>
          <w:tcPr>
            <w:tcW w:w="436" w:type="pct"/>
            <w:vAlign w:val="center"/>
          </w:tcPr>
          <w:p w14:paraId="7F9A9C1A" w14:textId="77777777" w:rsidR="002D5755" w:rsidRDefault="002D5755" w:rsidP="002D5755">
            <w:pPr>
              <w:jc w:val="center"/>
              <w:rPr>
                <w:lang w:val="zh-CN" w:eastAsia="zh-CN"/>
              </w:rPr>
            </w:pPr>
            <w:r>
              <w:rPr>
                <w:rFonts w:hint="eastAsia"/>
                <w:lang w:val="zh-CN" w:eastAsia="zh-CN"/>
              </w:rPr>
              <w:t>-</w:t>
            </w:r>
          </w:p>
        </w:tc>
        <w:tc>
          <w:tcPr>
            <w:tcW w:w="124" w:type="pct"/>
            <w:vAlign w:val="center"/>
          </w:tcPr>
          <w:p w14:paraId="69639A56" w14:textId="77777777" w:rsidR="002D5755" w:rsidRDefault="002D5755" w:rsidP="002D5755">
            <w:pPr>
              <w:jc w:val="center"/>
              <w:rPr>
                <w:lang w:val="zh-CN" w:eastAsia="zh-CN"/>
              </w:rPr>
            </w:pPr>
            <w:r>
              <w:rPr>
                <w:lang w:val="zh-CN" w:eastAsia="zh-CN"/>
              </w:rPr>
              <w:t>…</w:t>
            </w:r>
          </w:p>
        </w:tc>
        <w:tc>
          <w:tcPr>
            <w:tcW w:w="374" w:type="pct"/>
            <w:vAlign w:val="center"/>
          </w:tcPr>
          <w:p w14:paraId="2D24D00D" w14:textId="77777777" w:rsidR="002D5755" w:rsidRDefault="002D5755" w:rsidP="002D5755">
            <w:pPr>
              <w:jc w:val="center"/>
              <w:rPr>
                <w:b/>
                <w:bCs/>
                <w:lang w:val="zh-CN" w:eastAsia="zh-CN"/>
              </w:rPr>
            </w:pPr>
            <w:r>
              <w:rPr>
                <w:rFonts w:hint="eastAsia"/>
                <w:b/>
                <w:bCs/>
                <w:lang w:val="zh-CN" w:eastAsia="zh-CN"/>
              </w:rPr>
              <w:t>F</w:t>
            </w:r>
            <w:r>
              <w:rPr>
                <w:b/>
                <w:bCs/>
                <w:lang w:val="zh-CN" w:eastAsia="zh-CN"/>
              </w:rPr>
              <w:t>-A, S-I</w:t>
            </w:r>
          </w:p>
        </w:tc>
        <w:tc>
          <w:tcPr>
            <w:tcW w:w="124" w:type="pct"/>
            <w:vAlign w:val="center"/>
          </w:tcPr>
          <w:p w14:paraId="784E5165" w14:textId="77777777" w:rsidR="002D5755" w:rsidRDefault="002D5755" w:rsidP="002D5755">
            <w:pPr>
              <w:jc w:val="center"/>
              <w:rPr>
                <w:lang w:val="zh-CN"/>
              </w:rPr>
            </w:pPr>
            <w:r>
              <w:rPr>
                <w:lang w:val="zh-CN" w:eastAsia="zh-CN"/>
              </w:rPr>
              <w:t>…</w:t>
            </w:r>
          </w:p>
        </w:tc>
      </w:tr>
    </w:tbl>
    <w:p w14:paraId="746B05EF" w14:textId="2C2938E1" w:rsidR="00956488" w:rsidRDefault="00956488" w:rsidP="00956488">
      <w:pPr>
        <w:rPr>
          <w:lang w:val="en-US"/>
        </w:rPr>
      </w:pPr>
    </w:p>
    <w:p w14:paraId="4477D259" w14:textId="5625E84D" w:rsidR="002D5755" w:rsidRDefault="002D5755">
      <w:pPr>
        <w:suppressAutoHyphens w:val="0"/>
        <w:spacing w:line="240" w:lineRule="auto"/>
        <w:rPr>
          <w:lang w:val="en-US"/>
        </w:rPr>
      </w:pPr>
      <w:r>
        <w:rPr>
          <w:lang w:val="en-US"/>
        </w:rPr>
        <w:br w:type="page"/>
      </w:r>
    </w:p>
    <w:p w14:paraId="7ED8B77B" w14:textId="6734A768" w:rsidR="00E83DE0" w:rsidRDefault="006C4575" w:rsidP="002A4D1B">
      <w:pPr>
        <w:pStyle w:val="HChG"/>
        <w:spacing w:before="240" w:after="0"/>
        <w:ind w:leftChars="567" w:firstLine="0"/>
        <w:rPr>
          <w:lang w:val="en-US"/>
        </w:rPr>
      </w:pPr>
      <w:r w:rsidRPr="00AA7D8B">
        <w:rPr>
          <w:lang w:val="en-US"/>
        </w:rPr>
        <w:t>Descriptions of the EmS codes on spill emergency measures given in the EmS Guide</w:t>
      </w:r>
    </w:p>
    <w:p w14:paraId="50BD713B" w14:textId="6205D7A7" w:rsidR="002D5755" w:rsidRDefault="002D5755" w:rsidP="002D5755">
      <w:pPr>
        <w:rPr>
          <w:lang w:val="en-US"/>
        </w:rPr>
      </w:pPr>
    </w:p>
    <w:p w14:paraId="152EFE22" w14:textId="2B58CDE5" w:rsidR="002D5755" w:rsidRDefault="002D5755" w:rsidP="00B00F70">
      <w:pPr>
        <w:jc w:val="center"/>
        <w:rPr>
          <w:lang w:val="en-US"/>
        </w:rPr>
      </w:pPr>
      <w:r>
        <w:rPr>
          <w:rFonts w:hint="eastAsia"/>
          <w:noProof/>
          <w:lang w:val="en-US" w:eastAsia="zh-CN"/>
        </w:rPr>
        <w:drawing>
          <wp:inline distT="0" distB="0" distL="0" distR="0" wp14:anchorId="08DF81A4" wp14:editId="738C4DE5">
            <wp:extent cx="5283094" cy="6750966"/>
            <wp:effectExtent l="19050" t="19050" r="13335"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rotWithShape="1">
                    <a:blip r:embed="rId16">
                      <a:extLst>
                        <a:ext uri="{28A0092B-C50C-407E-A947-70E740481C1C}">
                          <a14:useLocalDpi xmlns:a14="http://schemas.microsoft.com/office/drawing/2010/main" val="0"/>
                        </a:ext>
                      </a:extLst>
                    </a:blip>
                    <a:srcRect t="854" b="-1"/>
                    <a:stretch/>
                  </pic:blipFill>
                  <pic:spPr bwMode="auto">
                    <a:xfrm>
                      <a:off x="0" y="0"/>
                      <a:ext cx="5336099" cy="681869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03E2FE" w14:textId="3B3E6357" w:rsidR="00E83DE0" w:rsidRDefault="00E83DE0" w:rsidP="002D5755">
      <w:pPr>
        <w:suppressAutoHyphens w:val="0"/>
        <w:spacing w:line="240" w:lineRule="auto"/>
      </w:pPr>
    </w:p>
    <w:p w14:paraId="6375E2B0" w14:textId="3C865653" w:rsidR="002D5755" w:rsidRDefault="002D5755">
      <w:pPr>
        <w:suppressAutoHyphens w:val="0"/>
        <w:spacing w:line="240" w:lineRule="auto"/>
      </w:pPr>
      <w:r>
        <w:br w:type="page"/>
      </w:r>
    </w:p>
    <w:p w14:paraId="08AA8692" w14:textId="77777777" w:rsidR="002D5755" w:rsidRDefault="002D5755" w:rsidP="002D5755">
      <w:pPr>
        <w:suppressAutoHyphens w:val="0"/>
        <w:spacing w:line="240" w:lineRule="auto"/>
      </w:pPr>
    </w:p>
    <w:p w14:paraId="3F28071C" w14:textId="77777777" w:rsidR="00E83DE0" w:rsidRDefault="006C4575">
      <w:pPr>
        <w:suppressAutoHyphens w:val="0"/>
        <w:spacing w:line="240" w:lineRule="auto"/>
        <w:jc w:val="center"/>
        <w:rPr>
          <w:snapToGrid w:val="0"/>
          <w:sz w:val="22"/>
        </w:rPr>
      </w:pPr>
      <w:r>
        <w:rPr>
          <w:rFonts w:hint="eastAsia"/>
          <w:noProof/>
          <w:lang w:val="en-US" w:eastAsia="zh-CN"/>
        </w:rPr>
        <w:drawing>
          <wp:inline distT="0" distB="0" distL="0" distR="0" wp14:anchorId="31440C7B" wp14:editId="048498B4">
            <wp:extent cx="5163020" cy="3644487"/>
            <wp:effectExtent l="19050" t="19050" r="19050"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29689" cy="3691548"/>
                    </a:xfrm>
                    <a:prstGeom prst="rect">
                      <a:avLst/>
                    </a:prstGeom>
                    <a:ln>
                      <a:solidFill>
                        <a:schemeClr val="tx1"/>
                      </a:solidFill>
                    </a:ln>
                  </pic:spPr>
                </pic:pic>
              </a:graphicData>
            </a:graphic>
          </wp:inline>
        </w:drawing>
      </w:r>
    </w:p>
    <w:p w14:paraId="7DA59908" w14:textId="77777777" w:rsidR="00E83DE0" w:rsidRDefault="006C4575">
      <w:pPr>
        <w:spacing w:before="240"/>
        <w:jc w:val="center"/>
        <w:rPr>
          <w:u w:val="single"/>
        </w:rPr>
      </w:pPr>
      <w:r>
        <w:rPr>
          <w:u w:val="single"/>
        </w:rPr>
        <w:tab/>
      </w:r>
      <w:r>
        <w:rPr>
          <w:u w:val="single"/>
        </w:rPr>
        <w:tab/>
      </w:r>
      <w:r>
        <w:rPr>
          <w:u w:val="single"/>
        </w:rPr>
        <w:tab/>
      </w:r>
    </w:p>
    <w:p w14:paraId="54ECBC45" w14:textId="77777777" w:rsidR="00E83DE0" w:rsidRDefault="00E83DE0">
      <w:pPr>
        <w:rPr>
          <w:lang w:val="en-US"/>
        </w:rPr>
      </w:pPr>
    </w:p>
    <w:sectPr w:rsidR="00E83DE0">
      <w:headerReference w:type="even" r:id="rId18"/>
      <w:headerReference w:type="default" r:id="rId19"/>
      <w:footerReference w:type="even" r:id="rId20"/>
      <w:footerReference w:type="default" r:id="rId21"/>
      <w:headerReference w:type="first" r:id="rId22"/>
      <w:footerReference w:type="first" r:id="rId23"/>
      <w:footnotePr>
        <w:numRestart w:val="eachSect"/>
      </w:footnotePr>
      <w:endnotePr>
        <w:numFmt w:val="decimal"/>
      </w:endnotePr>
      <w:type w:val="oddPage"/>
      <w:pgSz w:w="11907" w:h="16840"/>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4DAF1" w14:textId="77777777" w:rsidR="00C2438A" w:rsidRDefault="00C2438A">
      <w:pPr>
        <w:spacing w:line="240" w:lineRule="auto"/>
      </w:pPr>
    </w:p>
  </w:endnote>
  <w:endnote w:type="continuationSeparator" w:id="0">
    <w:p w14:paraId="1B9EA688" w14:textId="77777777" w:rsidR="00C2438A" w:rsidRDefault="00C243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rPr>
      <w:id w:val="486445050"/>
      <w:docPartObj>
        <w:docPartGallery w:val="AutoText"/>
      </w:docPartObj>
    </w:sdtPr>
    <w:sdtEndPr/>
    <w:sdtContent>
      <w:p w14:paraId="081FAE87" w14:textId="77777777" w:rsidR="00E83DE0" w:rsidRDefault="006C4575">
        <w:pPr>
          <w:pStyle w:val="Footer"/>
          <w:rPr>
            <w:b/>
            <w:bCs/>
          </w:rPr>
        </w:pPr>
        <w:r>
          <w:rPr>
            <w:b/>
            <w:bCs/>
          </w:rPr>
          <w:fldChar w:fldCharType="begin"/>
        </w:r>
        <w:r>
          <w:rPr>
            <w:b/>
            <w:bCs/>
          </w:rPr>
          <w:instrText xml:space="preserve"> PAGE   \* MERGEFORMAT </w:instrText>
        </w:r>
        <w:r>
          <w:rPr>
            <w:b/>
            <w:bCs/>
          </w:rPr>
          <w:fldChar w:fldCharType="separate"/>
        </w:r>
        <w:r>
          <w:rPr>
            <w:b/>
            <w:bCs/>
          </w:rPr>
          <w:t>2</w:t>
        </w:r>
        <w:r>
          <w:rPr>
            <w:b/>
            <w:bCs/>
          </w:rPr>
          <w:fldChar w:fldCharType="end"/>
        </w:r>
      </w:p>
    </w:sdtContent>
  </w:sdt>
  <w:p w14:paraId="427719E1" w14:textId="77777777" w:rsidR="00E83DE0" w:rsidRDefault="00E83D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rPr>
      <w:id w:val="-139571590"/>
      <w:docPartObj>
        <w:docPartGallery w:val="AutoText"/>
      </w:docPartObj>
    </w:sdtPr>
    <w:sdtEndPr/>
    <w:sdtContent>
      <w:p w14:paraId="2882ADD4" w14:textId="77777777" w:rsidR="00E83DE0" w:rsidRDefault="006C4575">
        <w:pPr>
          <w:pStyle w:val="Footer"/>
          <w:jc w:val="right"/>
          <w:rPr>
            <w:b/>
            <w:bCs/>
          </w:rPr>
        </w:pPr>
        <w:r>
          <w:rPr>
            <w:b/>
            <w:bCs/>
          </w:rPr>
          <w:fldChar w:fldCharType="begin"/>
        </w:r>
        <w:r>
          <w:rPr>
            <w:b/>
            <w:bCs/>
          </w:rPr>
          <w:instrText xml:space="preserve"> PAGE   \* MERGEFORMAT </w:instrText>
        </w:r>
        <w:r>
          <w:rPr>
            <w:b/>
            <w:bCs/>
          </w:rPr>
          <w:fldChar w:fldCharType="separate"/>
        </w:r>
        <w:r>
          <w:rPr>
            <w:b/>
            <w:bCs/>
          </w:rPr>
          <w:t>3</w:t>
        </w:r>
        <w:r>
          <w:rPr>
            <w:b/>
            <w:bCs/>
          </w:rPr>
          <w:fldChar w:fldCharType="end"/>
        </w:r>
      </w:p>
    </w:sdtContent>
  </w:sdt>
  <w:p w14:paraId="38535D7B" w14:textId="77777777" w:rsidR="00E83DE0" w:rsidRDefault="00E83D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rPr>
      <w:id w:val="1194575198"/>
      <w:docPartObj>
        <w:docPartGallery w:val="AutoText"/>
      </w:docPartObj>
    </w:sdtPr>
    <w:sdtEndPr/>
    <w:sdtContent>
      <w:p w14:paraId="056D037B" w14:textId="77777777" w:rsidR="00E83DE0" w:rsidRDefault="006C4575">
        <w:pPr>
          <w:pStyle w:val="Footer"/>
          <w:jc w:val="right"/>
          <w:rPr>
            <w:b/>
            <w:bCs/>
          </w:rPr>
        </w:pPr>
        <w:r>
          <w:rPr>
            <w:b/>
            <w:bCs/>
          </w:rPr>
          <w:fldChar w:fldCharType="begin"/>
        </w:r>
        <w:r>
          <w:rPr>
            <w:b/>
            <w:bCs/>
          </w:rPr>
          <w:instrText>PAGE   \* MERGEFORMAT</w:instrText>
        </w:r>
        <w:r>
          <w:rPr>
            <w:b/>
            <w:bCs/>
          </w:rPr>
          <w:fldChar w:fldCharType="separate"/>
        </w:r>
        <w:r>
          <w:rPr>
            <w:b/>
            <w:bCs/>
          </w:rPr>
          <w:t>1</w:t>
        </w:r>
        <w:r>
          <w:rPr>
            <w:b/>
            <w:bCs/>
          </w:rPr>
          <w:fldChar w:fldCharType="end"/>
        </w:r>
      </w:p>
    </w:sdtContent>
  </w:sdt>
  <w:p w14:paraId="422B2993" w14:textId="77777777" w:rsidR="00E83DE0" w:rsidRDefault="00E83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5AE42" w14:textId="77777777" w:rsidR="00C2438A" w:rsidRDefault="00C2438A">
      <w:pPr>
        <w:spacing w:line="240" w:lineRule="auto"/>
      </w:pPr>
    </w:p>
  </w:footnote>
  <w:footnote w:type="continuationSeparator" w:id="0">
    <w:p w14:paraId="3D14C7E2" w14:textId="77777777" w:rsidR="00C2438A" w:rsidRDefault="00C2438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79407" w14:textId="5E97A67A" w:rsidR="00E83DE0" w:rsidRDefault="006C4575">
    <w:pPr>
      <w:pBdr>
        <w:bottom w:val="single" w:sz="4" w:space="1" w:color="auto"/>
      </w:pBdr>
      <w:rPr>
        <w:b/>
        <w:bCs/>
        <w:sz w:val="18"/>
        <w:szCs w:val="18"/>
      </w:rPr>
    </w:pPr>
    <w:r>
      <w:rPr>
        <w:b/>
        <w:bCs/>
        <w:noProof/>
        <w:sz w:val="18"/>
        <w:szCs w:val="18"/>
        <w:lang w:val="en-US" w:eastAsia="zh-CN"/>
      </w:rPr>
      <mc:AlternateContent>
        <mc:Choice Requires="wps">
          <w:drawing>
            <wp:anchor distT="0" distB="0" distL="114300" distR="114300" simplePos="0" relativeHeight="251656704" behindDoc="0" locked="0" layoutInCell="1" allowOverlap="1" wp14:anchorId="4077373A" wp14:editId="388E7B6C">
              <wp:simplePos x="0" y="0"/>
              <wp:positionH relativeFrom="page">
                <wp:posOffset>9935845</wp:posOffset>
              </wp:positionH>
              <wp:positionV relativeFrom="margin">
                <wp:posOffset>0</wp:posOffset>
              </wp:positionV>
              <wp:extent cx="215900" cy="6120130"/>
              <wp:effectExtent l="0" t="0" r="0" b="0"/>
              <wp:wrapNone/>
              <wp:docPr id="1"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wps:spPr>
                    <wps:txbx>
                      <w:txbxContent>
                        <w:p w14:paraId="791672CF" w14:textId="77777777" w:rsidR="00E83DE0" w:rsidRDefault="006C4575">
                          <w:pPr>
                            <w:pStyle w:val="Header"/>
                            <w:rPr>
                              <w:lang w:val="nl-NL"/>
                            </w:rPr>
                          </w:pPr>
                          <w:r>
                            <w:rPr>
                              <w:lang w:val="nl-NL"/>
                            </w:rPr>
                            <w:t>UN/SCETDG/58/INF.8</w:t>
                          </w:r>
                        </w:p>
                        <w:p w14:paraId="6D3F5660" w14:textId="77777777" w:rsidR="00E83DE0" w:rsidRDefault="00E83DE0"/>
                      </w:txbxContent>
                    </wps:txbx>
                    <wps:bodyPr rot="0" spcFirstLastPara="0" vertOverflow="overflow" horzOverflow="overflow" vert="vert" wrap="square" lIns="0" tIns="0" rIns="0" bIns="0" numCol="1" spcCol="0" rtlCol="0" fromWordArt="0" anchor="t" anchorCtr="0" forceAA="0" compatLnSpc="1">
                      <a:noAutofit/>
                    </wps:bodyPr>
                  </wps:wsp>
                </a:graphicData>
              </a:graphic>
            </wp:anchor>
          </w:drawing>
        </mc:Choice>
        <mc:Fallback>
          <w:pict>
            <v:shapetype w14:anchorId="4077373A" id="_x0000_t202" coordsize="21600,21600" o:spt="202" path="m,l,21600r21600,l21600,xe">
              <v:stroke joinstyle="miter"/>
              <v:path gradientshapeok="t" o:connecttype="rect"/>
            </v:shapetype>
            <v:shape id="Text Box 1" o:spid="_x0000_s1026" type="#_x0000_t202" style="position:absolute;margin-left:782.35pt;margin-top:0;width:17pt;height:481.9pt;z-index:25165670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" fillcolor="#4f81bd [3204]" stroked="f" strokeweight=".5pt">
              <v:fill opacity="0"/>
              <v:stroke joinstyle="round"/>
              <v:textbox style="layout-flow:vertical" inset="0,0,0,0">
                <w:txbxContent>
                  <w:p w14:paraId="791672CF" w14:textId="77777777" w:rsidR="00E83DE0" w:rsidRDefault="006C4575">
                    <w:pPr>
                      <w:pStyle w:val="Header"/>
                      <w:rPr>
                        <w:lang w:val="nl-NL"/>
                      </w:rPr>
                    </w:pPr>
                    <w:r>
                      <w:rPr>
                        <w:lang w:val="nl-NL"/>
                      </w:rPr>
                      <w:t>UN/SCETDG/58/INF.8</w:t>
                    </w:r>
                  </w:p>
                  <w:p w14:paraId="6D3F5660" w14:textId="77777777" w:rsidR="00E83DE0" w:rsidRDefault="00E83DE0"/>
                </w:txbxContent>
              </v:textbox>
              <w10:wrap anchorx="page" anchory="margin"/>
            </v:shape>
          </w:pict>
        </mc:Fallback>
      </mc:AlternateContent>
    </w:r>
    <w:r>
      <w:rPr>
        <w:b/>
        <w:bCs/>
        <w:sz w:val="18"/>
        <w:szCs w:val="18"/>
      </w:rPr>
      <w:t>UN/SCETDG/5</w:t>
    </w:r>
    <w:r>
      <w:rPr>
        <w:rFonts w:hint="eastAsia"/>
        <w:b/>
        <w:bCs/>
        <w:sz w:val="18"/>
        <w:szCs w:val="18"/>
        <w:lang w:eastAsia="zh-CN"/>
      </w:rPr>
      <w:t>9</w:t>
    </w:r>
    <w:r>
      <w:rPr>
        <w:b/>
        <w:bCs/>
        <w:sz w:val="18"/>
        <w:szCs w:val="18"/>
      </w:rPr>
      <w:t>/INF.</w:t>
    </w:r>
    <w:r w:rsidR="005657D3">
      <w:rPr>
        <w:b/>
        <w:bCs/>
        <w:sz w:val="18"/>
        <w:szCs w:val="18"/>
      </w:rPr>
      <w:t>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4BDCB" w14:textId="278B7020" w:rsidR="00E83DE0" w:rsidRDefault="006C4575">
    <w:pPr>
      <w:pBdr>
        <w:bottom w:val="single" w:sz="4" w:space="1" w:color="auto"/>
      </w:pBdr>
      <w:jc w:val="right"/>
      <w:rPr>
        <w:b/>
        <w:bCs/>
        <w:sz w:val="18"/>
        <w:szCs w:val="18"/>
      </w:rPr>
    </w:pPr>
    <w:r>
      <w:rPr>
        <w:b/>
        <w:bCs/>
        <w:noProof/>
        <w:sz w:val="18"/>
        <w:szCs w:val="18"/>
        <w:lang w:val="en-US" w:eastAsia="zh-CN"/>
      </w:rPr>
      <mc:AlternateContent>
        <mc:Choice Requires="wps">
          <w:drawing>
            <wp:anchor distT="0" distB="0" distL="114300" distR="114300" simplePos="0" relativeHeight="251657728" behindDoc="0" locked="0" layoutInCell="1" allowOverlap="1" wp14:anchorId="4D219F6C" wp14:editId="1DEDCD20">
              <wp:simplePos x="0" y="0"/>
              <wp:positionH relativeFrom="page">
                <wp:posOffset>9935845</wp:posOffset>
              </wp:positionH>
              <wp:positionV relativeFrom="margin">
                <wp:posOffset>0</wp:posOffset>
              </wp:positionV>
              <wp:extent cx="215900" cy="612013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wps:spPr>
                    <wps:txbx>
                      <w:txbxContent>
                        <w:p w14:paraId="32DFC836" w14:textId="77777777" w:rsidR="00E83DE0" w:rsidRDefault="006C4575">
                          <w:pPr>
                            <w:pStyle w:val="Header"/>
                            <w:rPr>
                              <w:lang w:val="nl-NL"/>
                            </w:rPr>
                          </w:pPr>
                          <w:r>
                            <w:rPr>
                              <w:lang w:val="nl-NL"/>
                            </w:rPr>
                            <w:t>UN/SCETDG/58/INF.8</w:t>
                          </w:r>
                        </w:p>
                        <w:p w14:paraId="4E1086A6" w14:textId="77777777" w:rsidR="00E83DE0" w:rsidRDefault="00E83DE0"/>
                      </w:txbxContent>
                    </wps:txbx>
                    <wps:bodyPr rot="0" spcFirstLastPara="0" vertOverflow="overflow" horzOverflow="overflow" vert="vert" wrap="square" lIns="0" tIns="0" rIns="0" bIns="0" numCol="1" spcCol="0" rtlCol="0" fromWordArt="0" anchor="t" anchorCtr="0" forceAA="0" compatLnSpc="1">
                      <a:noAutofit/>
                    </wps:bodyPr>
                  </wps:wsp>
                </a:graphicData>
              </a:graphic>
            </wp:anchor>
          </w:drawing>
        </mc:Choice>
        <mc:Fallback>
          <w:pict>
            <v:shapetype w14:anchorId="4D219F6C" id="_x0000_t202" coordsize="21600,21600" o:spt="202" path="m,l,21600r21600,l21600,xe">
              <v:stroke joinstyle="miter"/>
              <v:path gradientshapeok="t" o:connecttype="rect"/>
            </v:shapetype>
            <v:shape id="Text Box 27" o:spid="_x0000_s1027" type="#_x0000_t202" style="position:absolute;left:0;text-align:left;margin-left:782.35pt;margin-top:0;width:17pt;height:481.9pt;z-index:25165772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" fillcolor="#4f81bd [3204]" stroked="f" strokeweight=".5pt">
              <v:fill opacity="0"/>
              <v:stroke joinstyle="round"/>
              <v:textbox style="layout-flow:vertical" inset="0,0,0,0">
                <w:txbxContent>
                  <w:p w14:paraId="32DFC836" w14:textId="77777777" w:rsidR="00E83DE0" w:rsidRDefault="006C4575">
                    <w:pPr>
                      <w:pStyle w:val="Header"/>
                      <w:rPr>
                        <w:lang w:val="nl-NL"/>
                      </w:rPr>
                    </w:pPr>
                    <w:r>
                      <w:rPr>
                        <w:lang w:val="nl-NL"/>
                      </w:rPr>
                      <w:t>UN/SCETDG/58/INF.8</w:t>
                    </w:r>
                  </w:p>
                  <w:p w14:paraId="4E1086A6" w14:textId="77777777" w:rsidR="00E83DE0" w:rsidRDefault="00E83DE0"/>
                </w:txbxContent>
              </v:textbox>
              <w10:wrap anchorx="page" anchory="margin"/>
            </v:shape>
          </w:pict>
        </mc:Fallback>
      </mc:AlternateContent>
    </w:r>
    <w:r>
      <w:rPr>
        <w:b/>
        <w:bCs/>
        <w:sz w:val="18"/>
        <w:szCs w:val="18"/>
      </w:rPr>
      <w:t>UN/SCETDG/5</w:t>
    </w:r>
    <w:r>
      <w:rPr>
        <w:rFonts w:hint="eastAsia"/>
        <w:b/>
        <w:bCs/>
        <w:sz w:val="18"/>
        <w:szCs w:val="18"/>
        <w:lang w:eastAsia="zh-CN"/>
      </w:rPr>
      <w:t>9</w:t>
    </w:r>
    <w:r>
      <w:rPr>
        <w:b/>
        <w:bCs/>
        <w:sz w:val="18"/>
        <w:szCs w:val="18"/>
      </w:rPr>
      <w:t>/INF.</w:t>
    </w:r>
    <w:r w:rsidR="005657D3">
      <w:rPr>
        <w:b/>
        <w:bCs/>
        <w:sz w:val="18"/>
        <w:szCs w:val="18"/>
      </w:rPr>
      <w:t>22</w:t>
    </w:r>
  </w:p>
  <w:p w14:paraId="3A721E77" w14:textId="77777777" w:rsidR="00E83DE0" w:rsidRDefault="006C4575">
    <w:r>
      <w:rPr>
        <w:noProof/>
        <w:lang w:val="en-US" w:eastAsia="zh-CN"/>
      </w:rPr>
      <mc:AlternateContent>
        <mc:Choice Requires="wps">
          <w:drawing>
            <wp:anchor distT="0" distB="0" distL="114300" distR="114300" simplePos="0" relativeHeight="251658752" behindDoc="0" locked="0" layoutInCell="1" allowOverlap="1" wp14:anchorId="46E304C3" wp14:editId="0E3A9944">
              <wp:simplePos x="0" y="0"/>
              <wp:positionH relativeFrom="page">
                <wp:posOffset>9935845</wp:posOffset>
              </wp:positionH>
              <wp:positionV relativeFrom="margin">
                <wp:posOffset>0</wp:posOffset>
              </wp:positionV>
              <wp:extent cx="215900" cy="6120130"/>
              <wp:effectExtent l="0" t="0" r="0" b="0"/>
              <wp:wrapNone/>
              <wp:docPr id="6" name="Text Box 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a:noFill/>
                      </a:ln>
                    </wps:spPr>
                    <wps:txbx>
                      <w:txbxContent>
                        <w:p w14:paraId="0A69982F" w14:textId="77777777" w:rsidR="00E83DE0" w:rsidRDefault="006C4575">
                          <w:pPr>
                            <w:pStyle w:val="Header"/>
                            <w:jc w:val="right"/>
                          </w:pPr>
                          <w:r>
                            <w:t>UN/SCETDG/58/INF.8</w:t>
                          </w:r>
                        </w:p>
                        <w:p w14:paraId="10000025" w14:textId="77777777" w:rsidR="00E83DE0" w:rsidRDefault="00E83DE0"/>
                        <w:p w14:paraId="6B124057" w14:textId="77777777" w:rsidR="00E83DE0" w:rsidRDefault="00E83DE0"/>
                        <w:p w14:paraId="363B2C96" w14:textId="77777777" w:rsidR="00E83DE0" w:rsidRDefault="00E83DE0"/>
                      </w:txbxContent>
                    </wps:txbx>
                    <wps:bodyPr rot="0" spcFirstLastPara="0" vertOverflow="overflow" horzOverflow="overflow" vert="vert" wrap="square" lIns="0" tIns="0" rIns="0" bIns="0" numCol="1" spcCol="0" rtlCol="0" fromWordArt="0" anchor="t" anchorCtr="0" forceAA="0" compatLnSpc="1">
                      <a:noAutofit/>
                    </wps:bodyPr>
                  </wps:wsp>
                </a:graphicData>
              </a:graphic>
            </wp:anchor>
          </w:drawing>
        </mc:Choice>
        <mc:Fallback>
          <w:pict>
            <v:shape w14:anchorId="46E304C3" id="Text Box 6" o:spid="_x0000_s1028" type="#_x0000_t202" style="position:absolute;margin-left:782.35pt;margin-top:0;width:17pt;height:481.9pt;z-index:25165875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" fillcolor="#4f81bd [3204]" stroked="f" strokeweight=".5pt">
              <v:fill opacity="0"/>
              <v:textbox style="layout-flow:vertical" inset="0,0,0,0">
                <w:txbxContent>
                  <w:p w14:paraId="0A69982F" w14:textId="77777777" w:rsidR="00E83DE0" w:rsidRDefault="006C4575">
                    <w:pPr>
                      <w:pStyle w:val="Header"/>
                      <w:jc w:val="right"/>
                    </w:pPr>
                    <w:r>
                      <w:t>UN/SCETDG/58/INF.8</w:t>
                    </w:r>
                  </w:p>
                  <w:p w14:paraId="10000025" w14:textId="77777777" w:rsidR="00E83DE0" w:rsidRDefault="00E83DE0"/>
                  <w:p w14:paraId="6B124057" w14:textId="77777777" w:rsidR="00E83DE0" w:rsidRDefault="00E83DE0"/>
                  <w:p w14:paraId="363B2C96" w14:textId="77777777" w:rsidR="00E83DE0" w:rsidRDefault="00E83DE0"/>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DBD4F" w14:textId="77777777" w:rsidR="00E83DE0" w:rsidRDefault="00E83DE0">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0D954887"/>
    <w:multiLevelType w:val="multilevel"/>
    <w:tmpl w:val="0D954887"/>
    <w:lvl w:ilvl="0">
      <w:start w:val="1"/>
      <w:numFmt w:val="decimal"/>
      <w:pStyle w:val="ParNoG"/>
      <w:lvlText w:val="%1."/>
      <w:lvlJc w:val="left"/>
      <w:pPr>
        <w:tabs>
          <w:tab w:val="left" w:pos="1701"/>
        </w:tabs>
        <w:ind w:left="1134" w:firstLine="0"/>
      </w:pPr>
      <w:rPr>
        <w:rFonts w:ascii="Times New Roman" w:hAnsi="Times New Roman" w:hint="default"/>
        <w:b w:val="0"/>
        <w:i w:val="0"/>
        <w:sz w:val="2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49B6E3E"/>
    <w:multiLevelType w:val="multilevel"/>
    <w:tmpl w:val="349B6E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5925DC1"/>
    <w:multiLevelType w:val="multilevel"/>
    <w:tmpl w:val="65925DC1"/>
    <w:lvl w:ilvl="0">
      <w:start w:val="1"/>
      <w:numFmt w:val="bullet"/>
      <w:pStyle w:val="Bullet1G"/>
      <w:lvlText w:val="•"/>
      <w:lvlJc w:val="left"/>
      <w:pPr>
        <w:tabs>
          <w:tab w:val="left" w:pos="1701"/>
        </w:tabs>
        <w:ind w:left="1701" w:hanging="170"/>
      </w:pPr>
      <w:rPr>
        <w:rFonts w:ascii="Times New Roman" w:hAnsi="Times New Roman" w:cs="Times New Roman" w:hint="default"/>
        <w:b w:val="0"/>
        <w:i w:val="0"/>
        <w:sz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75E223DA"/>
    <w:multiLevelType w:val="multilevel"/>
    <w:tmpl w:val="75E223DA"/>
    <w:lvl w:ilvl="0">
      <w:start w:val="1"/>
      <w:numFmt w:val="bullet"/>
      <w:pStyle w:val="Bullet2G"/>
      <w:lvlText w:val="•"/>
      <w:lvlJc w:val="left"/>
      <w:pPr>
        <w:tabs>
          <w:tab w:val="left" w:pos="2268"/>
        </w:tabs>
        <w:ind w:left="2268" w:hanging="170"/>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2"/>
  </w:num>
  <w:num w:numId="12">
    <w:abstractNumId w:val="13"/>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drawingGridHorizontalOrigin w:val="1800"/>
  <w:drawingGridVerticalOrigin w:val="1440"/>
  <w:noPunctuationKerning/>
  <w:characterSpacingControl w:val="doNotCompress"/>
  <w:savePreviewPicture/>
  <w:footnotePr>
    <w:numRestart w:val="eachSect"/>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6CC"/>
    <w:rsid w:val="000019B8"/>
    <w:rsid w:val="00006E29"/>
    <w:rsid w:val="00006FAE"/>
    <w:rsid w:val="00012EB6"/>
    <w:rsid w:val="000133C5"/>
    <w:rsid w:val="00017D24"/>
    <w:rsid w:val="000216CC"/>
    <w:rsid w:val="000277D3"/>
    <w:rsid w:val="00033414"/>
    <w:rsid w:val="00033555"/>
    <w:rsid w:val="0003375D"/>
    <w:rsid w:val="00033B4E"/>
    <w:rsid w:val="00043180"/>
    <w:rsid w:val="0004370C"/>
    <w:rsid w:val="00045941"/>
    <w:rsid w:val="000504CE"/>
    <w:rsid w:val="00050922"/>
    <w:rsid w:val="00050F6B"/>
    <w:rsid w:val="00053492"/>
    <w:rsid w:val="000556F5"/>
    <w:rsid w:val="0005710C"/>
    <w:rsid w:val="000577F8"/>
    <w:rsid w:val="00057ABF"/>
    <w:rsid w:val="00062C84"/>
    <w:rsid w:val="00064402"/>
    <w:rsid w:val="00067E6D"/>
    <w:rsid w:val="00072C03"/>
    <w:rsid w:val="00072C8C"/>
    <w:rsid w:val="00073129"/>
    <w:rsid w:val="00075F99"/>
    <w:rsid w:val="00076A0A"/>
    <w:rsid w:val="0007744B"/>
    <w:rsid w:val="000828C8"/>
    <w:rsid w:val="00082CE1"/>
    <w:rsid w:val="00083598"/>
    <w:rsid w:val="00084632"/>
    <w:rsid w:val="00087152"/>
    <w:rsid w:val="00090CBF"/>
    <w:rsid w:val="00091046"/>
    <w:rsid w:val="00091419"/>
    <w:rsid w:val="00091CB3"/>
    <w:rsid w:val="0009268F"/>
    <w:rsid w:val="000931C0"/>
    <w:rsid w:val="00093B29"/>
    <w:rsid w:val="00094558"/>
    <w:rsid w:val="000A2236"/>
    <w:rsid w:val="000A35F2"/>
    <w:rsid w:val="000A3A48"/>
    <w:rsid w:val="000A4C38"/>
    <w:rsid w:val="000A4F3B"/>
    <w:rsid w:val="000B175B"/>
    <w:rsid w:val="000B21F7"/>
    <w:rsid w:val="000B3A0F"/>
    <w:rsid w:val="000B4919"/>
    <w:rsid w:val="000B6AD1"/>
    <w:rsid w:val="000B7AF2"/>
    <w:rsid w:val="000C1ED8"/>
    <w:rsid w:val="000C5D4B"/>
    <w:rsid w:val="000C6F83"/>
    <w:rsid w:val="000C717F"/>
    <w:rsid w:val="000D0B8F"/>
    <w:rsid w:val="000D316D"/>
    <w:rsid w:val="000D481F"/>
    <w:rsid w:val="000D6D97"/>
    <w:rsid w:val="000D7830"/>
    <w:rsid w:val="000E0415"/>
    <w:rsid w:val="000E25AF"/>
    <w:rsid w:val="000E772F"/>
    <w:rsid w:val="000F0347"/>
    <w:rsid w:val="000F24D4"/>
    <w:rsid w:val="000F52D6"/>
    <w:rsid w:val="000F6A20"/>
    <w:rsid w:val="001016F4"/>
    <w:rsid w:val="0010461A"/>
    <w:rsid w:val="0011038A"/>
    <w:rsid w:val="00115303"/>
    <w:rsid w:val="00117787"/>
    <w:rsid w:val="00117D0D"/>
    <w:rsid w:val="001207BB"/>
    <w:rsid w:val="00120B41"/>
    <w:rsid w:val="00121EB7"/>
    <w:rsid w:val="00123BFF"/>
    <w:rsid w:val="00124DB4"/>
    <w:rsid w:val="00126151"/>
    <w:rsid w:val="00131B10"/>
    <w:rsid w:val="00131D42"/>
    <w:rsid w:val="00133C50"/>
    <w:rsid w:val="001406F4"/>
    <w:rsid w:val="00140F48"/>
    <w:rsid w:val="001418B6"/>
    <w:rsid w:val="00146A01"/>
    <w:rsid w:val="001518B1"/>
    <w:rsid w:val="00161334"/>
    <w:rsid w:val="00161886"/>
    <w:rsid w:val="001633FB"/>
    <w:rsid w:val="00163A1B"/>
    <w:rsid w:val="00165735"/>
    <w:rsid w:val="00166FB6"/>
    <w:rsid w:val="00167786"/>
    <w:rsid w:val="0017489D"/>
    <w:rsid w:val="001802FD"/>
    <w:rsid w:val="00180633"/>
    <w:rsid w:val="00181019"/>
    <w:rsid w:val="0018162F"/>
    <w:rsid w:val="0018168F"/>
    <w:rsid w:val="001835BF"/>
    <w:rsid w:val="00184120"/>
    <w:rsid w:val="00184B86"/>
    <w:rsid w:val="00187513"/>
    <w:rsid w:val="001877D7"/>
    <w:rsid w:val="00193474"/>
    <w:rsid w:val="00195229"/>
    <w:rsid w:val="001A02A4"/>
    <w:rsid w:val="001A310D"/>
    <w:rsid w:val="001A53DD"/>
    <w:rsid w:val="001A7113"/>
    <w:rsid w:val="001B35EE"/>
    <w:rsid w:val="001B4B04"/>
    <w:rsid w:val="001B6B72"/>
    <w:rsid w:val="001B7A75"/>
    <w:rsid w:val="001C429D"/>
    <w:rsid w:val="001C6663"/>
    <w:rsid w:val="001C7895"/>
    <w:rsid w:val="001D02C3"/>
    <w:rsid w:val="001D26DF"/>
    <w:rsid w:val="001D2B6E"/>
    <w:rsid w:val="001D2FDC"/>
    <w:rsid w:val="001D3123"/>
    <w:rsid w:val="001D3A88"/>
    <w:rsid w:val="001D49F7"/>
    <w:rsid w:val="001D4B2D"/>
    <w:rsid w:val="001D4E70"/>
    <w:rsid w:val="001D678A"/>
    <w:rsid w:val="001D6948"/>
    <w:rsid w:val="001D74D0"/>
    <w:rsid w:val="001E435D"/>
    <w:rsid w:val="001E797C"/>
    <w:rsid w:val="001F2C99"/>
    <w:rsid w:val="002015A3"/>
    <w:rsid w:val="002062DE"/>
    <w:rsid w:val="00207304"/>
    <w:rsid w:val="0021193A"/>
    <w:rsid w:val="00211B12"/>
    <w:rsid w:val="00211B28"/>
    <w:rsid w:val="00211E0B"/>
    <w:rsid w:val="0021481D"/>
    <w:rsid w:val="00216B28"/>
    <w:rsid w:val="00221589"/>
    <w:rsid w:val="00221AC2"/>
    <w:rsid w:val="00224CD9"/>
    <w:rsid w:val="00226D7E"/>
    <w:rsid w:val="0022724D"/>
    <w:rsid w:val="002308F7"/>
    <w:rsid w:val="002309A7"/>
    <w:rsid w:val="00230EC8"/>
    <w:rsid w:val="0023231C"/>
    <w:rsid w:val="00235381"/>
    <w:rsid w:val="002363DF"/>
    <w:rsid w:val="00237785"/>
    <w:rsid w:val="00240F4A"/>
    <w:rsid w:val="00241178"/>
    <w:rsid w:val="00241466"/>
    <w:rsid w:val="002440E7"/>
    <w:rsid w:val="00244C52"/>
    <w:rsid w:val="00245792"/>
    <w:rsid w:val="00247570"/>
    <w:rsid w:val="00250078"/>
    <w:rsid w:val="00254330"/>
    <w:rsid w:val="00257C1E"/>
    <w:rsid w:val="00261B1B"/>
    <w:rsid w:val="00261B71"/>
    <w:rsid w:val="002621F5"/>
    <w:rsid w:val="002622A9"/>
    <w:rsid w:val="002708B5"/>
    <w:rsid w:val="002711B7"/>
    <w:rsid w:val="002725CA"/>
    <w:rsid w:val="00273A92"/>
    <w:rsid w:val="002744BE"/>
    <w:rsid w:val="002766A5"/>
    <w:rsid w:val="00277896"/>
    <w:rsid w:val="00280EB7"/>
    <w:rsid w:val="00281F8C"/>
    <w:rsid w:val="00282699"/>
    <w:rsid w:val="00290234"/>
    <w:rsid w:val="002905C1"/>
    <w:rsid w:val="00293E31"/>
    <w:rsid w:val="00294B51"/>
    <w:rsid w:val="00295C28"/>
    <w:rsid w:val="00295FEA"/>
    <w:rsid w:val="002976CF"/>
    <w:rsid w:val="0029796E"/>
    <w:rsid w:val="002A0BD2"/>
    <w:rsid w:val="002A18AB"/>
    <w:rsid w:val="002A4D1B"/>
    <w:rsid w:val="002A5B17"/>
    <w:rsid w:val="002A5B84"/>
    <w:rsid w:val="002B067A"/>
    <w:rsid w:val="002B1514"/>
    <w:rsid w:val="002B1CDA"/>
    <w:rsid w:val="002B59BB"/>
    <w:rsid w:val="002C0DA7"/>
    <w:rsid w:val="002C2E9A"/>
    <w:rsid w:val="002C7F25"/>
    <w:rsid w:val="002D2D04"/>
    <w:rsid w:val="002D44DB"/>
    <w:rsid w:val="002D4834"/>
    <w:rsid w:val="002D5755"/>
    <w:rsid w:val="002D5A85"/>
    <w:rsid w:val="002D5C7D"/>
    <w:rsid w:val="002E35BB"/>
    <w:rsid w:val="002F4CCA"/>
    <w:rsid w:val="002F68FD"/>
    <w:rsid w:val="00301284"/>
    <w:rsid w:val="003107FA"/>
    <w:rsid w:val="00313AC2"/>
    <w:rsid w:val="00313B8C"/>
    <w:rsid w:val="0031490D"/>
    <w:rsid w:val="00315D73"/>
    <w:rsid w:val="00316FF9"/>
    <w:rsid w:val="003173F6"/>
    <w:rsid w:val="00321716"/>
    <w:rsid w:val="003229D8"/>
    <w:rsid w:val="003244D9"/>
    <w:rsid w:val="00327D0A"/>
    <w:rsid w:val="00337A32"/>
    <w:rsid w:val="00340E2C"/>
    <w:rsid w:val="00350D6D"/>
    <w:rsid w:val="003517C3"/>
    <w:rsid w:val="00351E73"/>
    <w:rsid w:val="00355502"/>
    <w:rsid w:val="00356BC7"/>
    <w:rsid w:val="00357A20"/>
    <w:rsid w:val="00365AA6"/>
    <w:rsid w:val="00372F06"/>
    <w:rsid w:val="00374B43"/>
    <w:rsid w:val="00381752"/>
    <w:rsid w:val="00384A0B"/>
    <w:rsid w:val="00391647"/>
    <w:rsid w:val="00391A13"/>
    <w:rsid w:val="0039260F"/>
    <w:rsid w:val="0039277A"/>
    <w:rsid w:val="00393B99"/>
    <w:rsid w:val="00396F6A"/>
    <w:rsid w:val="003972E0"/>
    <w:rsid w:val="003A1EC2"/>
    <w:rsid w:val="003A52D7"/>
    <w:rsid w:val="003A5A16"/>
    <w:rsid w:val="003B0C98"/>
    <w:rsid w:val="003B236E"/>
    <w:rsid w:val="003B4EAD"/>
    <w:rsid w:val="003B5166"/>
    <w:rsid w:val="003C0657"/>
    <w:rsid w:val="003C18C9"/>
    <w:rsid w:val="003C2CC4"/>
    <w:rsid w:val="003C4369"/>
    <w:rsid w:val="003C655D"/>
    <w:rsid w:val="003D23B5"/>
    <w:rsid w:val="003D293B"/>
    <w:rsid w:val="003D4B23"/>
    <w:rsid w:val="003E6A6E"/>
    <w:rsid w:val="003F23A4"/>
    <w:rsid w:val="003F3A8A"/>
    <w:rsid w:val="003F54D8"/>
    <w:rsid w:val="003F55F9"/>
    <w:rsid w:val="003F5B52"/>
    <w:rsid w:val="00400408"/>
    <w:rsid w:val="004021B7"/>
    <w:rsid w:val="00403EC6"/>
    <w:rsid w:val="00406A80"/>
    <w:rsid w:val="00406CD4"/>
    <w:rsid w:val="004076AE"/>
    <w:rsid w:val="00410600"/>
    <w:rsid w:val="004108CE"/>
    <w:rsid w:val="004155D2"/>
    <w:rsid w:val="0041587F"/>
    <w:rsid w:val="00415B93"/>
    <w:rsid w:val="00415BB6"/>
    <w:rsid w:val="00417D37"/>
    <w:rsid w:val="00420F4B"/>
    <w:rsid w:val="004248D6"/>
    <w:rsid w:val="004257D4"/>
    <w:rsid w:val="00430086"/>
    <w:rsid w:val="00430918"/>
    <w:rsid w:val="004317D1"/>
    <w:rsid w:val="004325CB"/>
    <w:rsid w:val="004345CE"/>
    <w:rsid w:val="0043784D"/>
    <w:rsid w:val="00437F3F"/>
    <w:rsid w:val="00441BB4"/>
    <w:rsid w:val="00445B83"/>
    <w:rsid w:val="00446DE4"/>
    <w:rsid w:val="004526E8"/>
    <w:rsid w:val="00452D10"/>
    <w:rsid w:val="00454036"/>
    <w:rsid w:val="0045424D"/>
    <w:rsid w:val="004562AA"/>
    <w:rsid w:val="00460B22"/>
    <w:rsid w:val="004624DA"/>
    <w:rsid w:val="0046443A"/>
    <w:rsid w:val="004653B3"/>
    <w:rsid w:val="004654C4"/>
    <w:rsid w:val="004656A9"/>
    <w:rsid w:val="0046668F"/>
    <w:rsid w:val="0046773D"/>
    <w:rsid w:val="0046788D"/>
    <w:rsid w:val="004814C2"/>
    <w:rsid w:val="004822C0"/>
    <w:rsid w:val="0048304D"/>
    <w:rsid w:val="00484635"/>
    <w:rsid w:val="00484A9B"/>
    <w:rsid w:val="0049065C"/>
    <w:rsid w:val="0049211A"/>
    <w:rsid w:val="00492AF9"/>
    <w:rsid w:val="00494C77"/>
    <w:rsid w:val="00497291"/>
    <w:rsid w:val="00497711"/>
    <w:rsid w:val="004A004F"/>
    <w:rsid w:val="004A3C15"/>
    <w:rsid w:val="004A52F4"/>
    <w:rsid w:val="004B25F8"/>
    <w:rsid w:val="004B2C9D"/>
    <w:rsid w:val="004B5939"/>
    <w:rsid w:val="004B73D6"/>
    <w:rsid w:val="004B7537"/>
    <w:rsid w:val="004C39D0"/>
    <w:rsid w:val="004C3BC3"/>
    <w:rsid w:val="004C4F1A"/>
    <w:rsid w:val="004C6D6D"/>
    <w:rsid w:val="004E0C5D"/>
    <w:rsid w:val="004E2CEA"/>
    <w:rsid w:val="004E460D"/>
    <w:rsid w:val="004E5DE8"/>
    <w:rsid w:val="004F4240"/>
    <w:rsid w:val="004F6D33"/>
    <w:rsid w:val="004F6DF4"/>
    <w:rsid w:val="004F7738"/>
    <w:rsid w:val="004F77CD"/>
    <w:rsid w:val="005002DB"/>
    <w:rsid w:val="0050042A"/>
    <w:rsid w:val="00504855"/>
    <w:rsid w:val="00507CF1"/>
    <w:rsid w:val="005134A0"/>
    <w:rsid w:val="00522177"/>
    <w:rsid w:val="00526AFD"/>
    <w:rsid w:val="00527910"/>
    <w:rsid w:val="005318BF"/>
    <w:rsid w:val="00532D57"/>
    <w:rsid w:val="00533FD4"/>
    <w:rsid w:val="005420F2"/>
    <w:rsid w:val="00542505"/>
    <w:rsid w:val="005434D7"/>
    <w:rsid w:val="00547029"/>
    <w:rsid w:val="005470EF"/>
    <w:rsid w:val="005475D4"/>
    <w:rsid w:val="00552CEE"/>
    <w:rsid w:val="00555CDB"/>
    <w:rsid w:val="00555FEA"/>
    <w:rsid w:val="00556391"/>
    <w:rsid w:val="00561B6D"/>
    <w:rsid w:val="00562D45"/>
    <w:rsid w:val="005637A1"/>
    <w:rsid w:val="005657D3"/>
    <w:rsid w:val="0056615B"/>
    <w:rsid w:val="00567DFB"/>
    <w:rsid w:val="00571DAA"/>
    <w:rsid w:val="00572049"/>
    <w:rsid w:val="00572E93"/>
    <w:rsid w:val="0057353C"/>
    <w:rsid w:val="0058129D"/>
    <w:rsid w:val="00590144"/>
    <w:rsid w:val="005909D1"/>
    <w:rsid w:val="005910EC"/>
    <w:rsid w:val="0059131E"/>
    <w:rsid w:val="00593401"/>
    <w:rsid w:val="0059682C"/>
    <w:rsid w:val="00597048"/>
    <w:rsid w:val="00597372"/>
    <w:rsid w:val="005A3F48"/>
    <w:rsid w:val="005A6301"/>
    <w:rsid w:val="005A64DD"/>
    <w:rsid w:val="005B09F0"/>
    <w:rsid w:val="005B0CED"/>
    <w:rsid w:val="005B3DB3"/>
    <w:rsid w:val="005B528A"/>
    <w:rsid w:val="005B6088"/>
    <w:rsid w:val="005C12D2"/>
    <w:rsid w:val="005C3490"/>
    <w:rsid w:val="005C4CB5"/>
    <w:rsid w:val="005D0C6C"/>
    <w:rsid w:val="005D1BB4"/>
    <w:rsid w:val="005D2A88"/>
    <w:rsid w:val="005E010D"/>
    <w:rsid w:val="005E0BF6"/>
    <w:rsid w:val="005E0EB2"/>
    <w:rsid w:val="005E28E0"/>
    <w:rsid w:val="005E3563"/>
    <w:rsid w:val="005E3AAD"/>
    <w:rsid w:val="005E5946"/>
    <w:rsid w:val="005E64CA"/>
    <w:rsid w:val="005E75CA"/>
    <w:rsid w:val="005F3A39"/>
    <w:rsid w:val="005F5C2F"/>
    <w:rsid w:val="005F684E"/>
    <w:rsid w:val="005F6EEB"/>
    <w:rsid w:val="005F7BB1"/>
    <w:rsid w:val="00602490"/>
    <w:rsid w:val="00603E3C"/>
    <w:rsid w:val="0060567C"/>
    <w:rsid w:val="0060673A"/>
    <w:rsid w:val="00611DFE"/>
    <w:rsid w:val="00611FC4"/>
    <w:rsid w:val="00612812"/>
    <w:rsid w:val="006147E0"/>
    <w:rsid w:val="006176FB"/>
    <w:rsid w:val="006216A1"/>
    <w:rsid w:val="00626B06"/>
    <w:rsid w:val="006279AC"/>
    <w:rsid w:val="0063419C"/>
    <w:rsid w:val="00635381"/>
    <w:rsid w:val="00636986"/>
    <w:rsid w:val="00636F58"/>
    <w:rsid w:val="00637542"/>
    <w:rsid w:val="00640B26"/>
    <w:rsid w:val="00641194"/>
    <w:rsid w:val="00644689"/>
    <w:rsid w:val="00645A0B"/>
    <w:rsid w:val="006500BA"/>
    <w:rsid w:val="006506DB"/>
    <w:rsid w:val="0065465F"/>
    <w:rsid w:val="00661EBA"/>
    <w:rsid w:val="00662121"/>
    <w:rsid w:val="00662E09"/>
    <w:rsid w:val="0066373E"/>
    <w:rsid w:val="00670CF0"/>
    <w:rsid w:val="006719CA"/>
    <w:rsid w:val="006729AE"/>
    <w:rsid w:val="00675F87"/>
    <w:rsid w:val="00683BEF"/>
    <w:rsid w:val="0068461F"/>
    <w:rsid w:val="006870AE"/>
    <w:rsid w:val="00690CD6"/>
    <w:rsid w:val="0069410C"/>
    <w:rsid w:val="006A098A"/>
    <w:rsid w:val="006A3932"/>
    <w:rsid w:val="006A4684"/>
    <w:rsid w:val="006A53DC"/>
    <w:rsid w:val="006A63E3"/>
    <w:rsid w:val="006A7392"/>
    <w:rsid w:val="006B083A"/>
    <w:rsid w:val="006B1148"/>
    <w:rsid w:val="006B1C55"/>
    <w:rsid w:val="006C0D34"/>
    <w:rsid w:val="006C251B"/>
    <w:rsid w:val="006C2F7E"/>
    <w:rsid w:val="006C4575"/>
    <w:rsid w:val="006D091E"/>
    <w:rsid w:val="006D3560"/>
    <w:rsid w:val="006E3B65"/>
    <w:rsid w:val="006E4E78"/>
    <w:rsid w:val="006E564B"/>
    <w:rsid w:val="006E6B76"/>
    <w:rsid w:val="007025C0"/>
    <w:rsid w:val="007032D3"/>
    <w:rsid w:val="00707F04"/>
    <w:rsid w:val="00711498"/>
    <w:rsid w:val="00711637"/>
    <w:rsid w:val="0071184D"/>
    <w:rsid w:val="00714F4F"/>
    <w:rsid w:val="0071611E"/>
    <w:rsid w:val="00722EF8"/>
    <w:rsid w:val="0072632A"/>
    <w:rsid w:val="00727720"/>
    <w:rsid w:val="00734B63"/>
    <w:rsid w:val="00734F20"/>
    <w:rsid w:val="00736E6A"/>
    <w:rsid w:val="00741F59"/>
    <w:rsid w:val="007427C1"/>
    <w:rsid w:val="0074697D"/>
    <w:rsid w:val="007510F5"/>
    <w:rsid w:val="00754F09"/>
    <w:rsid w:val="00755EBE"/>
    <w:rsid w:val="0075661B"/>
    <w:rsid w:val="00757C56"/>
    <w:rsid w:val="00761619"/>
    <w:rsid w:val="0076177C"/>
    <w:rsid w:val="00763AE6"/>
    <w:rsid w:val="00763C33"/>
    <w:rsid w:val="00766322"/>
    <w:rsid w:val="007667EE"/>
    <w:rsid w:val="00767680"/>
    <w:rsid w:val="00770621"/>
    <w:rsid w:val="00770BCD"/>
    <w:rsid w:val="00771904"/>
    <w:rsid w:val="00773353"/>
    <w:rsid w:val="00773ED7"/>
    <w:rsid w:val="00774129"/>
    <w:rsid w:val="00774E8F"/>
    <w:rsid w:val="00774EAA"/>
    <w:rsid w:val="0077553A"/>
    <w:rsid w:val="00776C93"/>
    <w:rsid w:val="00777E41"/>
    <w:rsid w:val="0078123B"/>
    <w:rsid w:val="00781B57"/>
    <w:rsid w:val="00786434"/>
    <w:rsid w:val="00787007"/>
    <w:rsid w:val="00787961"/>
    <w:rsid w:val="00790791"/>
    <w:rsid w:val="00794292"/>
    <w:rsid w:val="00796F36"/>
    <w:rsid w:val="007A2CDB"/>
    <w:rsid w:val="007A334C"/>
    <w:rsid w:val="007A44D6"/>
    <w:rsid w:val="007A55B5"/>
    <w:rsid w:val="007A62EC"/>
    <w:rsid w:val="007A737C"/>
    <w:rsid w:val="007B06F2"/>
    <w:rsid w:val="007B1A7E"/>
    <w:rsid w:val="007B2BA8"/>
    <w:rsid w:val="007B4133"/>
    <w:rsid w:val="007B63C1"/>
    <w:rsid w:val="007B6BA5"/>
    <w:rsid w:val="007B7E1E"/>
    <w:rsid w:val="007C2C0D"/>
    <w:rsid w:val="007C3162"/>
    <w:rsid w:val="007C3390"/>
    <w:rsid w:val="007C45AA"/>
    <w:rsid w:val="007C4F4B"/>
    <w:rsid w:val="007C644D"/>
    <w:rsid w:val="007D1406"/>
    <w:rsid w:val="007D2AC1"/>
    <w:rsid w:val="007D384C"/>
    <w:rsid w:val="007D5760"/>
    <w:rsid w:val="007D6462"/>
    <w:rsid w:val="007D7BC6"/>
    <w:rsid w:val="007E277E"/>
    <w:rsid w:val="007E4BD3"/>
    <w:rsid w:val="007E54D2"/>
    <w:rsid w:val="007E5D7C"/>
    <w:rsid w:val="007F10BF"/>
    <w:rsid w:val="007F27DF"/>
    <w:rsid w:val="007F2A54"/>
    <w:rsid w:val="007F5104"/>
    <w:rsid w:val="007F6611"/>
    <w:rsid w:val="007F67C2"/>
    <w:rsid w:val="00800024"/>
    <w:rsid w:val="008008BF"/>
    <w:rsid w:val="008037A2"/>
    <w:rsid w:val="008071B7"/>
    <w:rsid w:val="008127DA"/>
    <w:rsid w:val="00816582"/>
    <w:rsid w:val="008175E9"/>
    <w:rsid w:val="00817954"/>
    <w:rsid w:val="0082011E"/>
    <w:rsid w:val="00820A2D"/>
    <w:rsid w:val="008242D7"/>
    <w:rsid w:val="008247E7"/>
    <w:rsid w:val="00826C09"/>
    <w:rsid w:val="0083043E"/>
    <w:rsid w:val="0083055C"/>
    <w:rsid w:val="0083069A"/>
    <w:rsid w:val="00832A1D"/>
    <w:rsid w:val="008330A1"/>
    <w:rsid w:val="00834479"/>
    <w:rsid w:val="008357B2"/>
    <w:rsid w:val="00836D65"/>
    <w:rsid w:val="00843AB2"/>
    <w:rsid w:val="00846809"/>
    <w:rsid w:val="00846900"/>
    <w:rsid w:val="00857789"/>
    <w:rsid w:val="0086107D"/>
    <w:rsid w:val="0086247E"/>
    <w:rsid w:val="00864251"/>
    <w:rsid w:val="00866808"/>
    <w:rsid w:val="00871FD5"/>
    <w:rsid w:val="00872FA8"/>
    <w:rsid w:val="00881213"/>
    <w:rsid w:val="008830CC"/>
    <w:rsid w:val="0089222D"/>
    <w:rsid w:val="00892591"/>
    <w:rsid w:val="008979B1"/>
    <w:rsid w:val="008A0B75"/>
    <w:rsid w:val="008A1542"/>
    <w:rsid w:val="008A490A"/>
    <w:rsid w:val="008A6B25"/>
    <w:rsid w:val="008A6C4F"/>
    <w:rsid w:val="008A7679"/>
    <w:rsid w:val="008A7AB3"/>
    <w:rsid w:val="008A7E0F"/>
    <w:rsid w:val="008B4836"/>
    <w:rsid w:val="008B65FB"/>
    <w:rsid w:val="008C3B3C"/>
    <w:rsid w:val="008C4283"/>
    <w:rsid w:val="008C6BEB"/>
    <w:rsid w:val="008C7033"/>
    <w:rsid w:val="008C74C3"/>
    <w:rsid w:val="008C755C"/>
    <w:rsid w:val="008C7BF7"/>
    <w:rsid w:val="008C7E9A"/>
    <w:rsid w:val="008D134F"/>
    <w:rsid w:val="008D34B2"/>
    <w:rsid w:val="008D3C75"/>
    <w:rsid w:val="008D50DE"/>
    <w:rsid w:val="008D6942"/>
    <w:rsid w:val="008E0E46"/>
    <w:rsid w:val="008E1DAE"/>
    <w:rsid w:val="008E295A"/>
    <w:rsid w:val="008E464A"/>
    <w:rsid w:val="008E49EC"/>
    <w:rsid w:val="008E78EC"/>
    <w:rsid w:val="008F2101"/>
    <w:rsid w:val="008F2D9A"/>
    <w:rsid w:val="008F44B8"/>
    <w:rsid w:val="008F504A"/>
    <w:rsid w:val="008F5C0B"/>
    <w:rsid w:val="0090092A"/>
    <w:rsid w:val="009045EE"/>
    <w:rsid w:val="00904EBC"/>
    <w:rsid w:val="0090535C"/>
    <w:rsid w:val="00906C3D"/>
    <w:rsid w:val="00912044"/>
    <w:rsid w:val="00923019"/>
    <w:rsid w:val="00924B63"/>
    <w:rsid w:val="0093487F"/>
    <w:rsid w:val="009363B6"/>
    <w:rsid w:val="00940036"/>
    <w:rsid w:val="00940F46"/>
    <w:rsid w:val="00941ECC"/>
    <w:rsid w:val="00941FFD"/>
    <w:rsid w:val="00945A5D"/>
    <w:rsid w:val="00946A0D"/>
    <w:rsid w:val="00950D42"/>
    <w:rsid w:val="009547DD"/>
    <w:rsid w:val="00955109"/>
    <w:rsid w:val="0095595D"/>
    <w:rsid w:val="00956488"/>
    <w:rsid w:val="00956AD7"/>
    <w:rsid w:val="0096156F"/>
    <w:rsid w:val="00963B67"/>
    <w:rsid w:val="00963CBA"/>
    <w:rsid w:val="00964682"/>
    <w:rsid w:val="00970059"/>
    <w:rsid w:val="009701ED"/>
    <w:rsid w:val="009710AB"/>
    <w:rsid w:val="00972A01"/>
    <w:rsid w:val="0097587F"/>
    <w:rsid w:val="00980BD7"/>
    <w:rsid w:val="00982F08"/>
    <w:rsid w:val="00984471"/>
    <w:rsid w:val="00985F37"/>
    <w:rsid w:val="009879EA"/>
    <w:rsid w:val="0099044A"/>
    <w:rsid w:val="009908A5"/>
    <w:rsid w:val="0099124E"/>
    <w:rsid w:val="00991261"/>
    <w:rsid w:val="00991CC2"/>
    <w:rsid w:val="009953D5"/>
    <w:rsid w:val="009A1D29"/>
    <w:rsid w:val="009A65D9"/>
    <w:rsid w:val="009C5690"/>
    <w:rsid w:val="009C6394"/>
    <w:rsid w:val="009D0E2A"/>
    <w:rsid w:val="009D0F0E"/>
    <w:rsid w:val="009D1AAE"/>
    <w:rsid w:val="009D634E"/>
    <w:rsid w:val="009E1560"/>
    <w:rsid w:val="009F0F06"/>
    <w:rsid w:val="009F10AB"/>
    <w:rsid w:val="009F1220"/>
    <w:rsid w:val="009F28BC"/>
    <w:rsid w:val="009F4FC5"/>
    <w:rsid w:val="00A002C1"/>
    <w:rsid w:val="00A0152E"/>
    <w:rsid w:val="00A11954"/>
    <w:rsid w:val="00A12B58"/>
    <w:rsid w:val="00A1427D"/>
    <w:rsid w:val="00A1790D"/>
    <w:rsid w:val="00A233BB"/>
    <w:rsid w:val="00A235F1"/>
    <w:rsid w:val="00A23F62"/>
    <w:rsid w:val="00A2460E"/>
    <w:rsid w:val="00A25372"/>
    <w:rsid w:val="00A34B00"/>
    <w:rsid w:val="00A35D0C"/>
    <w:rsid w:val="00A3777A"/>
    <w:rsid w:val="00A378DF"/>
    <w:rsid w:val="00A43D4D"/>
    <w:rsid w:val="00A44269"/>
    <w:rsid w:val="00A50077"/>
    <w:rsid w:val="00A5141D"/>
    <w:rsid w:val="00A53982"/>
    <w:rsid w:val="00A54CA8"/>
    <w:rsid w:val="00A559E2"/>
    <w:rsid w:val="00A60196"/>
    <w:rsid w:val="00A61585"/>
    <w:rsid w:val="00A6199C"/>
    <w:rsid w:val="00A61CB2"/>
    <w:rsid w:val="00A622AF"/>
    <w:rsid w:val="00A65F4A"/>
    <w:rsid w:val="00A66636"/>
    <w:rsid w:val="00A72F22"/>
    <w:rsid w:val="00A73472"/>
    <w:rsid w:val="00A736C0"/>
    <w:rsid w:val="00A744D7"/>
    <w:rsid w:val="00A748A6"/>
    <w:rsid w:val="00A74A46"/>
    <w:rsid w:val="00A75EC9"/>
    <w:rsid w:val="00A75F71"/>
    <w:rsid w:val="00A810D4"/>
    <w:rsid w:val="00A83451"/>
    <w:rsid w:val="00A83538"/>
    <w:rsid w:val="00A8523D"/>
    <w:rsid w:val="00A864F0"/>
    <w:rsid w:val="00A879A4"/>
    <w:rsid w:val="00A92248"/>
    <w:rsid w:val="00A9283B"/>
    <w:rsid w:val="00AA1D9A"/>
    <w:rsid w:val="00AA275E"/>
    <w:rsid w:val="00AA32EB"/>
    <w:rsid w:val="00AA7D8B"/>
    <w:rsid w:val="00AB1DA6"/>
    <w:rsid w:val="00AB382F"/>
    <w:rsid w:val="00AB4CF1"/>
    <w:rsid w:val="00AC353B"/>
    <w:rsid w:val="00AD1151"/>
    <w:rsid w:val="00AD24EF"/>
    <w:rsid w:val="00AD34EE"/>
    <w:rsid w:val="00AD7C5F"/>
    <w:rsid w:val="00AD7C88"/>
    <w:rsid w:val="00AE38A4"/>
    <w:rsid w:val="00AE3D48"/>
    <w:rsid w:val="00AE45DE"/>
    <w:rsid w:val="00AF04FA"/>
    <w:rsid w:val="00AF0878"/>
    <w:rsid w:val="00AF2F9D"/>
    <w:rsid w:val="00AF47AA"/>
    <w:rsid w:val="00AF4CA3"/>
    <w:rsid w:val="00AF6710"/>
    <w:rsid w:val="00B00F70"/>
    <w:rsid w:val="00B013E6"/>
    <w:rsid w:val="00B036FE"/>
    <w:rsid w:val="00B04D66"/>
    <w:rsid w:val="00B06AAF"/>
    <w:rsid w:val="00B10C19"/>
    <w:rsid w:val="00B1157C"/>
    <w:rsid w:val="00B1501F"/>
    <w:rsid w:val="00B22971"/>
    <w:rsid w:val="00B26710"/>
    <w:rsid w:val="00B26B3C"/>
    <w:rsid w:val="00B30179"/>
    <w:rsid w:val="00B304E1"/>
    <w:rsid w:val="00B3317B"/>
    <w:rsid w:val="00B37554"/>
    <w:rsid w:val="00B37AAE"/>
    <w:rsid w:val="00B40A23"/>
    <w:rsid w:val="00B41384"/>
    <w:rsid w:val="00B4398E"/>
    <w:rsid w:val="00B45BCD"/>
    <w:rsid w:val="00B46383"/>
    <w:rsid w:val="00B4782A"/>
    <w:rsid w:val="00B47BD0"/>
    <w:rsid w:val="00B5392B"/>
    <w:rsid w:val="00B56472"/>
    <w:rsid w:val="00B56612"/>
    <w:rsid w:val="00B63370"/>
    <w:rsid w:val="00B64D17"/>
    <w:rsid w:val="00B666B2"/>
    <w:rsid w:val="00B71E2B"/>
    <w:rsid w:val="00B73DA8"/>
    <w:rsid w:val="00B74F7C"/>
    <w:rsid w:val="00B75E05"/>
    <w:rsid w:val="00B81E12"/>
    <w:rsid w:val="00B82563"/>
    <w:rsid w:val="00B829E9"/>
    <w:rsid w:val="00B8417C"/>
    <w:rsid w:val="00B84AAC"/>
    <w:rsid w:val="00B877E1"/>
    <w:rsid w:val="00B90F54"/>
    <w:rsid w:val="00B9125C"/>
    <w:rsid w:val="00B91CC3"/>
    <w:rsid w:val="00B92A0C"/>
    <w:rsid w:val="00B93068"/>
    <w:rsid w:val="00B934CF"/>
    <w:rsid w:val="00BB02D9"/>
    <w:rsid w:val="00BB176D"/>
    <w:rsid w:val="00BB3B28"/>
    <w:rsid w:val="00BB3CA8"/>
    <w:rsid w:val="00BC1DAC"/>
    <w:rsid w:val="00BC43AB"/>
    <w:rsid w:val="00BC5CA8"/>
    <w:rsid w:val="00BC74E9"/>
    <w:rsid w:val="00BD2077"/>
    <w:rsid w:val="00BD3308"/>
    <w:rsid w:val="00BD6515"/>
    <w:rsid w:val="00BE1FF8"/>
    <w:rsid w:val="00BE382C"/>
    <w:rsid w:val="00BE50CA"/>
    <w:rsid w:val="00BE5CC6"/>
    <w:rsid w:val="00BE618E"/>
    <w:rsid w:val="00BF16FB"/>
    <w:rsid w:val="00C015FE"/>
    <w:rsid w:val="00C0263F"/>
    <w:rsid w:val="00C03B44"/>
    <w:rsid w:val="00C05987"/>
    <w:rsid w:val="00C135D6"/>
    <w:rsid w:val="00C13A85"/>
    <w:rsid w:val="00C14370"/>
    <w:rsid w:val="00C17563"/>
    <w:rsid w:val="00C218A4"/>
    <w:rsid w:val="00C2438A"/>
    <w:rsid w:val="00C246E2"/>
    <w:rsid w:val="00C31519"/>
    <w:rsid w:val="00C36D37"/>
    <w:rsid w:val="00C40803"/>
    <w:rsid w:val="00C415CF"/>
    <w:rsid w:val="00C42730"/>
    <w:rsid w:val="00C463DD"/>
    <w:rsid w:val="00C4684B"/>
    <w:rsid w:val="00C46D5B"/>
    <w:rsid w:val="00C52899"/>
    <w:rsid w:val="00C537D5"/>
    <w:rsid w:val="00C5495F"/>
    <w:rsid w:val="00C57EF0"/>
    <w:rsid w:val="00C61EEF"/>
    <w:rsid w:val="00C62F76"/>
    <w:rsid w:val="00C63D9D"/>
    <w:rsid w:val="00C65342"/>
    <w:rsid w:val="00C66D78"/>
    <w:rsid w:val="00C7257A"/>
    <w:rsid w:val="00C72B97"/>
    <w:rsid w:val="00C737DA"/>
    <w:rsid w:val="00C745C3"/>
    <w:rsid w:val="00C81212"/>
    <w:rsid w:val="00C81FCB"/>
    <w:rsid w:val="00C84FF1"/>
    <w:rsid w:val="00C87478"/>
    <w:rsid w:val="00C91180"/>
    <w:rsid w:val="00C93C11"/>
    <w:rsid w:val="00C95B10"/>
    <w:rsid w:val="00C971F6"/>
    <w:rsid w:val="00CA049C"/>
    <w:rsid w:val="00CA381C"/>
    <w:rsid w:val="00CA74D3"/>
    <w:rsid w:val="00CB0187"/>
    <w:rsid w:val="00CB1EB6"/>
    <w:rsid w:val="00CB2158"/>
    <w:rsid w:val="00CB2799"/>
    <w:rsid w:val="00CB3CEA"/>
    <w:rsid w:val="00CB6380"/>
    <w:rsid w:val="00CB740E"/>
    <w:rsid w:val="00CC2E38"/>
    <w:rsid w:val="00CC4CA6"/>
    <w:rsid w:val="00CD0009"/>
    <w:rsid w:val="00CD010F"/>
    <w:rsid w:val="00CD2888"/>
    <w:rsid w:val="00CD2CE2"/>
    <w:rsid w:val="00CD30EE"/>
    <w:rsid w:val="00CD3225"/>
    <w:rsid w:val="00CD35E8"/>
    <w:rsid w:val="00CD392C"/>
    <w:rsid w:val="00CD5526"/>
    <w:rsid w:val="00CE09DE"/>
    <w:rsid w:val="00CE2D21"/>
    <w:rsid w:val="00CE33D5"/>
    <w:rsid w:val="00CE4083"/>
    <w:rsid w:val="00CE46BA"/>
    <w:rsid w:val="00CE4A8F"/>
    <w:rsid w:val="00CE52AD"/>
    <w:rsid w:val="00CE74ED"/>
    <w:rsid w:val="00CF02AD"/>
    <w:rsid w:val="00CF2936"/>
    <w:rsid w:val="00CF4FE1"/>
    <w:rsid w:val="00CF6F32"/>
    <w:rsid w:val="00CF778D"/>
    <w:rsid w:val="00D01017"/>
    <w:rsid w:val="00D0631B"/>
    <w:rsid w:val="00D06C3A"/>
    <w:rsid w:val="00D13793"/>
    <w:rsid w:val="00D164BA"/>
    <w:rsid w:val="00D16C2F"/>
    <w:rsid w:val="00D179E7"/>
    <w:rsid w:val="00D2031B"/>
    <w:rsid w:val="00D24A58"/>
    <w:rsid w:val="00D25E8C"/>
    <w:rsid w:val="00D25FE2"/>
    <w:rsid w:val="00D27E89"/>
    <w:rsid w:val="00D35123"/>
    <w:rsid w:val="00D37E80"/>
    <w:rsid w:val="00D40730"/>
    <w:rsid w:val="00D40D94"/>
    <w:rsid w:val="00D43252"/>
    <w:rsid w:val="00D46231"/>
    <w:rsid w:val="00D477C4"/>
    <w:rsid w:val="00D50DF8"/>
    <w:rsid w:val="00D5409C"/>
    <w:rsid w:val="00D577EE"/>
    <w:rsid w:val="00D57C13"/>
    <w:rsid w:val="00D57FD9"/>
    <w:rsid w:val="00D610C1"/>
    <w:rsid w:val="00D6123A"/>
    <w:rsid w:val="00D6583F"/>
    <w:rsid w:val="00D658FA"/>
    <w:rsid w:val="00D67B83"/>
    <w:rsid w:val="00D730E3"/>
    <w:rsid w:val="00D73803"/>
    <w:rsid w:val="00D753D8"/>
    <w:rsid w:val="00D80B70"/>
    <w:rsid w:val="00D80D14"/>
    <w:rsid w:val="00D832A7"/>
    <w:rsid w:val="00D84E67"/>
    <w:rsid w:val="00D9274F"/>
    <w:rsid w:val="00D92BE0"/>
    <w:rsid w:val="00D95AC2"/>
    <w:rsid w:val="00D96248"/>
    <w:rsid w:val="00D96CC5"/>
    <w:rsid w:val="00D978C6"/>
    <w:rsid w:val="00D97B77"/>
    <w:rsid w:val="00DA498B"/>
    <w:rsid w:val="00DA6620"/>
    <w:rsid w:val="00DA67AD"/>
    <w:rsid w:val="00DA7D8F"/>
    <w:rsid w:val="00DA7E44"/>
    <w:rsid w:val="00DB39FA"/>
    <w:rsid w:val="00DB7A95"/>
    <w:rsid w:val="00DD1E65"/>
    <w:rsid w:val="00DD3F15"/>
    <w:rsid w:val="00DD42A0"/>
    <w:rsid w:val="00DD725C"/>
    <w:rsid w:val="00DE15E0"/>
    <w:rsid w:val="00DE1EFB"/>
    <w:rsid w:val="00DE236F"/>
    <w:rsid w:val="00DE2969"/>
    <w:rsid w:val="00DE3ECB"/>
    <w:rsid w:val="00DE41F2"/>
    <w:rsid w:val="00DE4413"/>
    <w:rsid w:val="00DE4785"/>
    <w:rsid w:val="00DE7267"/>
    <w:rsid w:val="00DF0A4D"/>
    <w:rsid w:val="00DF3039"/>
    <w:rsid w:val="00DF3A04"/>
    <w:rsid w:val="00DF4518"/>
    <w:rsid w:val="00DF6144"/>
    <w:rsid w:val="00DF69A6"/>
    <w:rsid w:val="00E03260"/>
    <w:rsid w:val="00E07210"/>
    <w:rsid w:val="00E130AB"/>
    <w:rsid w:val="00E160F2"/>
    <w:rsid w:val="00E1679E"/>
    <w:rsid w:val="00E239A0"/>
    <w:rsid w:val="00E3141C"/>
    <w:rsid w:val="00E33D2C"/>
    <w:rsid w:val="00E34E58"/>
    <w:rsid w:val="00E36838"/>
    <w:rsid w:val="00E36C10"/>
    <w:rsid w:val="00E40B76"/>
    <w:rsid w:val="00E40D7C"/>
    <w:rsid w:val="00E422B7"/>
    <w:rsid w:val="00E42461"/>
    <w:rsid w:val="00E4443D"/>
    <w:rsid w:val="00E44D34"/>
    <w:rsid w:val="00E52EB0"/>
    <w:rsid w:val="00E54352"/>
    <w:rsid w:val="00E5644E"/>
    <w:rsid w:val="00E5691C"/>
    <w:rsid w:val="00E56B35"/>
    <w:rsid w:val="00E577C9"/>
    <w:rsid w:val="00E60903"/>
    <w:rsid w:val="00E631BA"/>
    <w:rsid w:val="00E631FE"/>
    <w:rsid w:val="00E63481"/>
    <w:rsid w:val="00E63DE8"/>
    <w:rsid w:val="00E65991"/>
    <w:rsid w:val="00E6613A"/>
    <w:rsid w:val="00E66A6A"/>
    <w:rsid w:val="00E7260F"/>
    <w:rsid w:val="00E730D8"/>
    <w:rsid w:val="00E81230"/>
    <w:rsid w:val="00E82A4A"/>
    <w:rsid w:val="00E83DE0"/>
    <w:rsid w:val="00E8535A"/>
    <w:rsid w:val="00E859FF"/>
    <w:rsid w:val="00E864BE"/>
    <w:rsid w:val="00E90647"/>
    <w:rsid w:val="00E90B62"/>
    <w:rsid w:val="00E9396C"/>
    <w:rsid w:val="00E96630"/>
    <w:rsid w:val="00EA0364"/>
    <w:rsid w:val="00EA04DA"/>
    <w:rsid w:val="00EA48C4"/>
    <w:rsid w:val="00EA772F"/>
    <w:rsid w:val="00EB2AE3"/>
    <w:rsid w:val="00EB4C06"/>
    <w:rsid w:val="00EB51D5"/>
    <w:rsid w:val="00EB5F0B"/>
    <w:rsid w:val="00EB65EF"/>
    <w:rsid w:val="00EB6832"/>
    <w:rsid w:val="00EB71BA"/>
    <w:rsid w:val="00EB798F"/>
    <w:rsid w:val="00EC14E9"/>
    <w:rsid w:val="00EC1F27"/>
    <w:rsid w:val="00EC271A"/>
    <w:rsid w:val="00EC4EDF"/>
    <w:rsid w:val="00EC525D"/>
    <w:rsid w:val="00EC526C"/>
    <w:rsid w:val="00EC6BFD"/>
    <w:rsid w:val="00EC755A"/>
    <w:rsid w:val="00ED2B14"/>
    <w:rsid w:val="00ED3508"/>
    <w:rsid w:val="00ED3F6F"/>
    <w:rsid w:val="00ED7377"/>
    <w:rsid w:val="00ED769C"/>
    <w:rsid w:val="00ED7A2A"/>
    <w:rsid w:val="00ED7B73"/>
    <w:rsid w:val="00EE0016"/>
    <w:rsid w:val="00EE0EA7"/>
    <w:rsid w:val="00EE2966"/>
    <w:rsid w:val="00EE4D59"/>
    <w:rsid w:val="00EE73C3"/>
    <w:rsid w:val="00EF1D7F"/>
    <w:rsid w:val="00EF4AAC"/>
    <w:rsid w:val="00EF5645"/>
    <w:rsid w:val="00F01C57"/>
    <w:rsid w:val="00F03FA2"/>
    <w:rsid w:val="00F05283"/>
    <w:rsid w:val="00F0579D"/>
    <w:rsid w:val="00F07537"/>
    <w:rsid w:val="00F07E12"/>
    <w:rsid w:val="00F1150D"/>
    <w:rsid w:val="00F1200D"/>
    <w:rsid w:val="00F14F86"/>
    <w:rsid w:val="00F164C7"/>
    <w:rsid w:val="00F16FE9"/>
    <w:rsid w:val="00F21A22"/>
    <w:rsid w:val="00F22D71"/>
    <w:rsid w:val="00F257D1"/>
    <w:rsid w:val="00F25BC3"/>
    <w:rsid w:val="00F30A8A"/>
    <w:rsid w:val="00F34267"/>
    <w:rsid w:val="00F3574D"/>
    <w:rsid w:val="00F40295"/>
    <w:rsid w:val="00F40E75"/>
    <w:rsid w:val="00F412D3"/>
    <w:rsid w:val="00F444E3"/>
    <w:rsid w:val="00F5087E"/>
    <w:rsid w:val="00F510D1"/>
    <w:rsid w:val="00F51BAB"/>
    <w:rsid w:val="00F535BE"/>
    <w:rsid w:val="00F54674"/>
    <w:rsid w:val="00F56336"/>
    <w:rsid w:val="00F5743B"/>
    <w:rsid w:val="00F57685"/>
    <w:rsid w:val="00F64C95"/>
    <w:rsid w:val="00F73493"/>
    <w:rsid w:val="00F742D7"/>
    <w:rsid w:val="00F75E96"/>
    <w:rsid w:val="00F87B50"/>
    <w:rsid w:val="00F9059A"/>
    <w:rsid w:val="00F9439A"/>
    <w:rsid w:val="00FA00A0"/>
    <w:rsid w:val="00FA02CA"/>
    <w:rsid w:val="00FA032F"/>
    <w:rsid w:val="00FA3FB7"/>
    <w:rsid w:val="00FA5D08"/>
    <w:rsid w:val="00FB2CDB"/>
    <w:rsid w:val="00FB5A37"/>
    <w:rsid w:val="00FB7793"/>
    <w:rsid w:val="00FC18AA"/>
    <w:rsid w:val="00FC215C"/>
    <w:rsid w:val="00FC3E63"/>
    <w:rsid w:val="00FC6351"/>
    <w:rsid w:val="00FC68B7"/>
    <w:rsid w:val="00FD3C5D"/>
    <w:rsid w:val="00FD3E70"/>
    <w:rsid w:val="00FD6B2B"/>
    <w:rsid w:val="00FE326D"/>
    <w:rsid w:val="00FE3EEA"/>
    <w:rsid w:val="00FE4618"/>
    <w:rsid w:val="00FF03BB"/>
    <w:rsid w:val="00FF071A"/>
    <w:rsid w:val="00FF2D01"/>
    <w:rsid w:val="00FF51FB"/>
    <w:rsid w:val="00FF67F6"/>
    <w:rsid w:val="6D3F2D84"/>
    <w:rsid w:val="6E767D2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20FFD"/>
  <w15:docId w15:val="{BE2D75FA-1C85-46CB-B05E-C686F3ED6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qFormat="1"/>
    <w:lsdException w:name="footnote text" w:qFormat="1"/>
    <w:lsdException w:name="annotation text" w:uiPriority="99"/>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lsdException w:name="envelope return" w:semiHidden="1"/>
    <w:lsdException w:name="footnote reference" w:qFormat="1"/>
    <w:lsdException w:name="annotation reference" w:uiPriority="99" w:qFormat="1"/>
    <w:lsdException w:name="line number" w:semiHidden="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semiHidden="1"/>
    <w:lsdException w:name="List Bullet" w:semiHidden="1" w:qFormat="1"/>
    <w:lsdException w:name="List Number" w:semiHidden="1" w:qFormat="1"/>
    <w:lsdException w:name="List 2" w:semiHidden="1" w:qFormat="1"/>
    <w:lsdException w:name="List 3" w:semiHidden="1"/>
    <w:lsdException w:name="List 4" w:semiHidden="1"/>
    <w:lsdException w:name="List 5" w:qFormat="1"/>
    <w:lsdException w:name="List Bullet 2" w:semiHidden="1"/>
    <w:lsdException w:name="List Bullet 3" w:semiHidden="1"/>
    <w:lsdException w:name="List Bullet 4" w:semiHidden="1"/>
    <w:lsdException w:name="List Bullet 5" w:semiHidden="1" w:qFormat="1"/>
    <w:lsdException w:name="List Number 2" w:semiHidden="1" w:qFormat="1"/>
    <w:lsdException w:name="List Number 3" w:semiHidden="1"/>
    <w:lsdException w:name="List Number 4" w:semiHidden="1" w:qFormat="1"/>
    <w:lsdException w:name="List Number 5" w:semiHidden="1" w:qFormat="1"/>
    <w:lsdException w:name="Title" w:qFormat="1"/>
    <w:lsdException w:name="Closing" w:semiHidden="1"/>
    <w:lsdException w:name="Signature" w:semiHidden="1" w:qFormat="1"/>
    <w:lsdException w:name="Default Paragraph Font" w:semiHidden="1" w:uiPriority="1" w:unhideWhenUsed="1"/>
    <w:lsdException w:name="Body Text" w:semiHidden="1" w:qFormat="1"/>
    <w:lsdException w:name="Body Text Indent" w:semiHidden="1"/>
    <w:lsdException w:name="List Continue"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Date" w:semiHidden="1" w:qFormat="1"/>
    <w:lsdException w:name="Body Text First Indent" w:semiHidden="1"/>
    <w:lsdException w:name="Body Text First Indent 2" w:semiHidden="1"/>
    <w:lsdException w:name="Note Heading" w:semiHidden="1" w:qFormat="1"/>
    <w:lsdException w:name="Body Text 2" w:semiHidden="1" w:qFormat="1"/>
    <w:lsdException w:name="Body Text 3" w:semiHidden="1"/>
    <w:lsdException w:name="Body Text Indent 2" w:semiHidden="1"/>
    <w:lsdException w:name="Body Text Indent 3" w:semiHidden="1"/>
    <w:lsdException w:name="Block Text" w:semiHidden="1"/>
    <w:lsdException w:name="Hyperlink" w:uiPriority="99"/>
    <w:lsdException w:name="Strong" w:qFormat="1"/>
    <w:lsdException w:name="Emphasis" w:qFormat="1"/>
    <w:lsdException w:name="Document Map" w:semiHidden="1" w:unhideWhenUsed="1"/>
    <w:lsdException w:name="Plain Text" w:semiHidden="1" w:qFormat="1"/>
    <w:lsdException w:name="E-mail Signature" w:semiHidden="1"/>
    <w:lsdException w:name="HTML Top of Form" w:semiHidden="1" w:uiPriority="99" w:unhideWhenUsed="1"/>
    <w:lsdException w:name="HTML Bottom of Form" w:semiHidden="1" w:uiPriority="99" w:unhideWhenUsed="1"/>
    <w:lsdException w:name="Normal (Web)" w:uiPriority="99" w:qFormat="1"/>
    <w:lsdException w:name="HTML Acronym" w:semiHidden="1" w:qFormat="1"/>
    <w:lsdException w:name="HTML Address" w:semiHidden="1"/>
    <w:lsdException w:name="HTML Cite" w:semiHidden="1"/>
    <w:lsdException w:name="HTML Code" w:semiHidden="1"/>
    <w:lsdException w:name="HTML Definition" w:semiHidden="1"/>
    <w:lsdException w:name="HTML Keyboard" w:semiHidden="1" w:qFormat="1"/>
    <w:lsdException w:name="HTML Preformatted" w:uiPriority="99"/>
    <w:lsdException w:name="HTML Sample" w:semiHidden="1" w:qFormat="1"/>
    <w:lsdException w:name="HTML Typewriter" w:semiHidden="1"/>
    <w:lsdException w:name="HTML Variable" w:semiHidden="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lsdException w:name="Table Columns 1" w:semiHidden="1" w:unhideWhenUsed="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lsdException w:name="Table Grid 5" w:semiHidden="1" w:unhideWhenUsed="1" w:qFormat="1"/>
    <w:lsdException w:name="Table Grid 6" w:semiHidden="1" w:unhideWhenUsed="1" w:qFormat="1"/>
    <w:lsdException w:name="Table Grid 7" w:semiHidden="1" w:unhideWhenUsed="1"/>
    <w:lsdException w:name="Table Grid 8" w:semiHidden="1" w:unhideWhenUsed="1"/>
    <w:lsdException w:name="Table List 1" w:semiHidden="1" w:unhideWhenUsed="1" w:qFormat="1"/>
    <w:lsdException w:name="Table List 2" w:semiHidden="1" w:unhideWhenUsed="1"/>
    <w:lsdException w:name="Table List 3" w:semiHidden="1" w:unhideWhenUsed="1"/>
    <w:lsdException w:name="Table List 4" w:semiHidden="1" w:unhideWhenUsed="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lsdException w:name="Table 3D effects 1" w:semiHidden="1" w:unhideWhenUsed="1" w:qFormat="1"/>
    <w:lsdException w:name="Table 3D effects 2" w:semiHidden="1" w:unhideWhenUsed="1"/>
    <w:lsdException w:name="Table 3D effects 3" w:semiHidden="1" w:unhideWhenUsed="1" w:qFormat="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spacing w:line="240" w:lineRule="atLeast"/>
    </w:pPr>
    <w:rPr>
      <w:lang w:val="en-GB" w:eastAsia="en-US"/>
    </w:rPr>
  </w:style>
  <w:style w:type="paragraph" w:styleId="Heading1">
    <w:name w:val="heading 1"/>
    <w:basedOn w:val="SingleTxtG"/>
    <w:next w:val="SingleTxtG"/>
    <w:link w:val="Heading1Char"/>
    <w:qFormat/>
    <w:pPr>
      <w:spacing w:after="0" w:line="240" w:lineRule="auto"/>
      <w:ind w:right="0"/>
      <w:jc w:val="left"/>
      <w:outlineLvl w:val="0"/>
    </w:pPr>
  </w:style>
  <w:style w:type="paragraph" w:styleId="Heading2">
    <w:name w:val="heading 2"/>
    <w:basedOn w:val="Normal"/>
    <w:next w:val="Normal"/>
    <w:qFormat/>
    <w:pPr>
      <w:spacing w:line="240" w:lineRule="auto"/>
      <w:outlineLvl w:val="1"/>
    </w:pPr>
  </w:style>
  <w:style w:type="paragraph" w:styleId="Heading3">
    <w:name w:val="heading 3"/>
    <w:basedOn w:val="Normal"/>
    <w:next w:val="Normal"/>
    <w:link w:val="Heading3Char"/>
    <w:qFormat/>
    <w:pPr>
      <w:spacing w:line="240" w:lineRule="auto"/>
      <w:outlineLvl w:val="2"/>
    </w:pPr>
  </w:style>
  <w:style w:type="paragraph" w:styleId="Heading4">
    <w:name w:val="heading 4"/>
    <w:basedOn w:val="Normal"/>
    <w:next w:val="Normal"/>
    <w:qFormat/>
    <w:pPr>
      <w:spacing w:line="240" w:lineRule="auto"/>
      <w:outlineLvl w:val="3"/>
    </w:pPr>
  </w:style>
  <w:style w:type="paragraph" w:styleId="Heading5">
    <w:name w:val="heading 5"/>
    <w:basedOn w:val="Normal"/>
    <w:next w:val="Normal"/>
    <w:link w:val="Heading5Char"/>
    <w:qFormat/>
    <w:pPr>
      <w:spacing w:line="240" w:lineRule="auto"/>
      <w:outlineLvl w:val="4"/>
    </w:pPr>
  </w:style>
  <w:style w:type="paragraph" w:styleId="Heading6">
    <w:name w:val="heading 6"/>
    <w:basedOn w:val="Normal"/>
    <w:next w:val="Normal"/>
    <w:qFormat/>
    <w:pPr>
      <w:spacing w:line="240" w:lineRule="auto"/>
      <w:outlineLvl w:val="5"/>
    </w:pPr>
  </w:style>
  <w:style w:type="paragraph" w:styleId="Heading7">
    <w:name w:val="heading 7"/>
    <w:basedOn w:val="Normal"/>
    <w:next w:val="Normal"/>
    <w:qFormat/>
    <w:pPr>
      <w:spacing w:line="240" w:lineRule="auto"/>
      <w:outlineLvl w:val="6"/>
    </w:pPr>
  </w:style>
  <w:style w:type="paragraph" w:styleId="Heading8">
    <w:name w:val="heading 8"/>
    <w:basedOn w:val="Normal"/>
    <w:next w:val="Normal"/>
    <w:qFormat/>
    <w:pPr>
      <w:spacing w:line="240" w:lineRule="auto"/>
      <w:outlineLvl w:val="7"/>
    </w:pPr>
  </w:style>
  <w:style w:type="paragraph" w:styleId="Heading9">
    <w:name w:val="heading 9"/>
    <w:basedOn w:val="Normal"/>
    <w:next w:val="Normal"/>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pPr>
      <w:spacing w:after="120"/>
      <w:ind w:left="1134" w:right="1134"/>
      <w:jc w:val="both"/>
    </w:pPr>
    <w:rPr>
      <w:lang w:val="zh-CN"/>
    </w:rPr>
  </w:style>
  <w:style w:type="paragraph" w:styleId="List3">
    <w:name w:val="List 3"/>
    <w:basedOn w:val="Normal"/>
    <w:semiHidden/>
    <w:pPr>
      <w:ind w:left="849" w:hanging="283"/>
    </w:pPr>
  </w:style>
  <w:style w:type="paragraph" w:styleId="ListNumber2">
    <w:name w:val="List Number 2"/>
    <w:basedOn w:val="Normal"/>
    <w:semiHidden/>
    <w:qFormat/>
    <w:pPr>
      <w:numPr>
        <w:numId w:val="1"/>
      </w:numPr>
    </w:pPr>
  </w:style>
  <w:style w:type="paragraph" w:styleId="NoteHeading">
    <w:name w:val="Note Heading"/>
    <w:basedOn w:val="Normal"/>
    <w:next w:val="Normal"/>
    <w:semiHidden/>
    <w:qFormat/>
  </w:style>
  <w:style w:type="paragraph" w:styleId="ListBullet4">
    <w:name w:val="List Bullet 4"/>
    <w:basedOn w:val="Normal"/>
    <w:semiHidden/>
    <w:pPr>
      <w:numPr>
        <w:numId w:val="2"/>
      </w:numPr>
    </w:pPr>
  </w:style>
  <w:style w:type="paragraph" w:styleId="E-mailSignature">
    <w:name w:val="E-mail Signature"/>
    <w:basedOn w:val="Normal"/>
    <w:semiHidden/>
  </w:style>
  <w:style w:type="paragraph" w:styleId="ListNumber">
    <w:name w:val="List Number"/>
    <w:basedOn w:val="Normal"/>
    <w:semiHidden/>
    <w:qFormat/>
    <w:pPr>
      <w:numPr>
        <w:numId w:val="3"/>
      </w:numPr>
    </w:pPr>
  </w:style>
  <w:style w:type="paragraph" w:styleId="NormalIndent">
    <w:name w:val="Normal Indent"/>
    <w:basedOn w:val="Normal"/>
    <w:semiHidden/>
    <w:qFormat/>
    <w:pPr>
      <w:ind w:left="567"/>
    </w:pPr>
  </w:style>
  <w:style w:type="paragraph" w:styleId="Caption">
    <w:name w:val="caption"/>
    <w:basedOn w:val="Normal"/>
    <w:next w:val="Normal"/>
    <w:qFormat/>
    <w:pPr>
      <w:tabs>
        <w:tab w:val="left" w:pos="1418"/>
      </w:tabs>
      <w:suppressAutoHyphens w:val="0"/>
      <w:spacing w:line="240" w:lineRule="auto"/>
      <w:jc w:val="center"/>
    </w:pPr>
    <w:rPr>
      <w:b/>
      <w:bCs/>
      <w:sz w:val="22"/>
    </w:rPr>
  </w:style>
  <w:style w:type="paragraph" w:styleId="ListBullet">
    <w:name w:val="List Bullet"/>
    <w:basedOn w:val="Normal"/>
    <w:semiHidden/>
    <w:qFormat/>
    <w:pPr>
      <w:numPr>
        <w:numId w:val="4"/>
      </w:numPr>
    </w:p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CommentText">
    <w:name w:val="annotation text"/>
    <w:basedOn w:val="Normal"/>
    <w:link w:val="CommentTextChar"/>
    <w:uiPriority w:val="99"/>
    <w:rPr>
      <w:lang w:eastAsia="zh-CN"/>
    </w:rPr>
  </w:style>
  <w:style w:type="paragraph" w:styleId="Salutation">
    <w:name w:val="Salutation"/>
    <w:basedOn w:val="Normal"/>
    <w:next w:val="Normal"/>
    <w:semiHidden/>
    <w:qFormat/>
  </w:style>
  <w:style w:type="paragraph" w:styleId="BodyText3">
    <w:name w:val="Body Text 3"/>
    <w:basedOn w:val="Normal"/>
    <w:semiHidden/>
    <w:pPr>
      <w:spacing w:after="120"/>
    </w:pPr>
    <w:rPr>
      <w:sz w:val="16"/>
      <w:szCs w:val="16"/>
    </w:rPr>
  </w:style>
  <w:style w:type="paragraph" w:styleId="Closing">
    <w:name w:val="Closing"/>
    <w:basedOn w:val="Normal"/>
    <w:semiHidden/>
    <w:pPr>
      <w:ind w:left="4252"/>
    </w:pPr>
  </w:style>
  <w:style w:type="paragraph" w:styleId="ListBullet3">
    <w:name w:val="List Bullet 3"/>
    <w:basedOn w:val="Normal"/>
    <w:semiHidden/>
    <w:pPr>
      <w:numPr>
        <w:numId w:val="5"/>
      </w:numPr>
    </w:pPr>
  </w:style>
  <w:style w:type="paragraph" w:styleId="BodyText">
    <w:name w:val="Body Text"/>
    <w:basedOn w:val="Normal"/>
    <w:next w:val="Normal"/>
    <w:link w:val="BodyTextChar"/>
    <w:semiHidden/>
    <w:qFormat/>
  </w:style>
  <w:style w:type="paragraph" w:styleId="BodyTextIndent">
    <w:name w:val="Body Text Indent"/>
    <w:basedOn w:val="Normal"/>
    <w:link w:val="BodyTextIndentChar"/>
    <w:semiHidden/>
    <w:pPr>
      <w:spacing w:after="120"/>
      <w:ind w:left="283"/>
    </w:pPr>
  </w:style>
  <w:style w:type="paragraph" w:styleId="ListNumber3">
    <w:name w:val="List Number 3"/>
    <w:basedOn w:val="Normal"/>
    <w:semiHidden/>
    <w:pPr>
      <w:numPr>
        <w:numId w:val="6"/>
      </w:numPr>
    </w:pPr>
  </w:style>
  <w:style w:type="paragraph" w:styleId="List2">
    <w:name w:val="List 2"/>
    <w:basedOn w:val="Normal"/>
    <w:semiHidden/>
    <w:qFormat/>
    <w:pPr>
      <w:ind w:left="566" w:hanging="283"/>
    </w:pPr>
  </w:style>
  <w:style w:type="paragraph" w:styleId="ListContinue">
    <w:name w:val="List Continue"/>
    <w:basedOn w:val="Normal"/>
    <w:qFormat/>
    <w:pPr>
      <w:spacing w:after="120"/>
      <w:ind w:left="283"/>
    </w:pPr>
  </w:style>
  <w:style w:type="paragraph" w:styleId="BlockText">
    <w:name w:val="Block Text"/>
    <w:basedOn w:val="Normal"/>
    <w:semiHidden/>
    <w:pPr>
      <w:ind w:left="1440" w:right="1440"/>
    </w:pPr>
  </w:style>
  <w:style w:type="paragraph" w:styleId="ListBullet2">
    <w:name w:val="List Bullet 2"/>
    <w:basedOn w:val="Normal"/>
    <w:semiHidden/>
    <w:pPr>
      <w:numPr>
        <w:numId w:val="7"/>
      </w:numPr>
    </w:pPr>
  </w:style>
  <w:style w:type="paragraph" w:styleId="HTMLAddress">
    <w:name w:val="HTML Address"/>
    <w:basedOn w:val="Normal"/>
    <w:semiHidden/>
    <w:rPr>
      <w:i/>
      <w:iCs/>
    </w:rPr>
  </w:style>
  <w:style w:type="paragraph" w:styleId="PlainText">
    <w:name w:val="Plain Text"/>
    <w:basedOn w:val="Normal"/>
    <w:semiHidden/>
    <w:qFormat/>
    <w:rPr>
      <w:rFonts w:cs="Courier New"/>
    </w:rPr>
  </w:style>
  <w:style w:type="paragraph" w:styleId="ListBullet5">
    <w:name w:val="List Bullet 5"/>
    <w:basedOn w:val="Normal"/>
    <w:semiHidden/>
    <w:qFormat/>
    <w:pPr>
      <w:numPr>
        <w:numId w:val="8"/>
      </w:numPr>
    </w:pPr>
  </w:style>
  <w:style w:type="paragraph" w:styleId="ListNumber4">
    <w:name w:val="List Number 4"/>
    <w:basedOn w:val="Normal"/>
    <w:semiHidden/>
    <w:qFormat/>
    <w:pPr>
      <w:numPr>
        <w:numId w:val="9"/>
      </w:numPr>
    </w:pPr>
  </w:style>
  <w:style w:type="paragraph" w:styleId="Date">
    <w:name w:val="Date"/>
    <w:basedOn w:val="Normal"/>
    <w:next w:val="Normal"/>
    <w:semiHidden/>
    <w:qFormat/>
  </w:style>
  <w:style w:type="paragraph" w:styleId="BodyTextIndent2">
    <w:name w:val="Body Text Indent 2"/>
    <w:basedOn w:val="Normal"/>
    <w:link w:val="BodyTextIndent2Char"/>
    <w:semiHidden/>
    <w:pPr>
      <w:spacing w:after="120" w:line="480" w:lineRule="auto"/>
      <w:ind w:left="283"/>
    </w:pPr>
  </w:style>
  <w:style w:type="paragraph" w:styleId="EndnoteText">
    <w:name w:val="endnote text"/>
    <w:basedOn w:val="FootnoteText"/>
    <w:link w:val="EndnoteTextChar"/>
    <w:qFormat/>
  </w:style>
  <w:style w:type="paragraph" w:styleId="FootnoteText">
    <w:name w:val="footnote text"/>
    <w:basedOn w:val="Normal"/>
    <w:link w:val="FootnoteTextChar"/>
    <w:qFormat/>
    <w:pPr>
      <w:tabs>
        <w:tab w:val="right" w:pos="1021"/>
      </w:tabs>
      <w:spacing w:line="220" w:lineRule="exact"/>
      <w:ind w:left="1134" w:right="1134" w:hanging="1134"/>
    </w:pPr>
    <w:rPr>
      <w:sz w:val="18"/>
      <w:lang w:val="zh-CN"/>
    </w:rPr>
  </w:style>
  <w:style w:type="paragraph" w:styleId="ListContinue5">
    <w:name w:val="List Continue 5"/>
    <w:basedOn w:val="Normal"/>
    <w:semiHidden/>
    <w:qFormat/>
    <w:pPr>
      <w:spacing w:after="120"/>
      <w:ind w:left="1415"/>
    </w:pPr>
  </w:style>
  <w:style w:type="paragraph" w:styleId="BalloonText">
    <w:name w:val="Balloon Text"/>
    <w:basedOn w:val="Normal"/>
    <w:link w:val="BalloonTextChar"/>
    <w:pPr>
      <w:spacing w:line="240" w:lineRule="auto"/>
    </w:pPr>
    <w:rPr>
      <w:rFonts w:ascii="Tahoma" w:hAnsi="Tahoma"/>
      <w:sz w:val="16"/>
      <w:szCs w:val="16"/>
      <w:lang w:val="zh-CN"/>
    </w:rPr>
  </w:style>
  <w:style w:type="paragraph" w:styleId="Footer">
    <w:name w:val="footer"/>
    <w:basedOn w:val="Normal"/>
    <w:link w:val="FooterChar"/>
    <w:uiPriority w:val="99"/>
    <w:qFormat/>
    <w:pPr>
      <w:spacing w:line="240" w:lineRule="auto"/>
    </w:pPr>
    <w:rPr>
      <w:sz w:val="16"/>
    </w:rPr>
  </w:style>
  <w:style w:type="paragraph" w:styleId="EnvelopeReturn">
    <w:name w:val="envelope return"/>
    <w:basedOn w:val="Normal"/>
    <w:semiHidden/>
    <w:rPr>
      <w:rFonts w:ascii="Arial" w:hAnsi="Arial" w:cs="Arial"/>
    </w:rPr>
  </w:style>
  <w:style w:type="paragraph" w:styleId="Header">
    <w:name w:val="header"/>
    <w:basedOn w:val="Normal"/>
    <w:link w:val="HeaderChar"/>
    <w:qFormat/>
    <w:pPr>
      <w:pBdr>
        <w:bottom w:val="single" w:sz="4" w:space="4" w:color="auto"/>
      </w:pBdr>
      <w:spacing w:line="240" w:lineRule="auto"/>
    </w:pPr>
    <w:rPr>
      <w:b/>
      <w:sz w:val="18"/>
    </w:rPr>
  </w:style>
  <w:style w:type="paragraph" w:styleId="Signature">
    <w:name w:val="Signature"/>
    <w:basedOn w:val="Normal"/>
    <w:semiHidden/>
    <w:qFormat/>
    <w:pPr>
      <w:ind w:left="4252"/>
    </w:pPr>
  </w:style>
  <w:style w:type="paragraph" w:styleId="ListContinue4">
    <w:name w:val="List Continue 4"/>
    <w:basedOn w:val="Normal"/>
    <w:semiHidden/>
    <w:qFormat/>
    <w:pPr>
      <w:spacing w:after="120"/>
      <w:ind w:left="1132"/>
    </w:pPr>
  </w:style>
  <w:style w:type="paragraph" w:styleId="Subtitle">
    <w:name w:val="Subtitle"/>
    <w:basedOn w:val="Normal"/>
    <w:qFormat/>
    <w:pPr>
      <w:spacing w:after="60"/>
      <w:jc w:val="center"/>
      <w:outlineLvl w:val="1"/>
    </w:pPr>
    <w:rPr>
      <w:rFonts w:ascii="Arial" w:hAnsi="Arial" w:cs="Arial"/>
      <w:sz w:val="24"/>
      <w:szCs w:val="24"/>
    </w:rPr>
  </w:style>
  <w:style w:type="paragraph" w:styleId="ListNumber5">
    <w:name w:val="List Number 5"/>
    <w:basedOn w:val="Normal"/>
    <w:semiHidden/>
    <w:qFormat/>
    <w:pPr>
      <w:numPr>
        <w:numId w:val="10"/>
      </w:numPr>
    </w:pPr>
  </w:style>
  <w:style w:type="paragraph" w:styleId="List">
    <w:name w:val="List"/>
    <w:basedOn w:val="Normal"/>
    <w:semiHidden/>
    <w:pPr>
      <w:ind w:left="283" w:hanging="283"/>
    </w:pPr>
  </w:style>
  <w:style w:type="paragraph" w:styleId="List5">
    <w:name w:val="List 5"/>
    <w:basedOn w:val="Normal"/>
    <w:qFormat/>
    <w:pPr>
      <w:ind w:left="1415" w:hanging="283"/>
    </w:pPr>
  </w:style>
  <w:style w:type="paragraph" w:styleId="BodyTextIndent3">
    <w:name w:val="Body Text Indent 3"/>
    <w:basedOn w:val="Normal"/>
    <w:link w:val="BodyTextIndent3Char"/>
    <w:semiHidden/>
    <w:pPr>
      <w:spacing w:after="120"/>
      <w:ind w:left="283"/>
    </w:pPr>
    <w:rPr>
      <w:sz w:val="16"/>
      <w:szCs w:val="16"/>
    </w:rPr>
  </w:style>
  <w:style w:type="paragraph" w:styleId="BodyText2">
    <w:name w:val="Body Text 2"/>
    <w:basedOn w:val="Normal"/>
    <w:link w:val="BodyText2Char"/>
    <w:semiHidden/>
    <w:qFormat/>
    <w:pPr>
      <w:spacing w:after="120" w:line="480" w:lineRule="auto"/>
    </w:pPr>
  </w:style>
  <w:style w:type="paragraph" w:styleId="List4">
    <w:name w:val="List 4"/>
    <w:basedOn w:val="Normal"/>
    <w:semiHidden/>
    <w:pPr>
      <w:ind w:left="1132" w:hanging="283"/>
    </w:pPr>
  </w:style>
  <w:style w:type="paragraph" w:styleId="ListContinue2">
    <w:name w:val="List Continue 2"/>
    <w:basedOn w:val="Normal"/>
    <w:semiHidden/>
    <w:qFormat/>
    <w:pPr>
      <w:spacing w:after="120"/>
      <w:ind w:left="566"/>
    </w:p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HTMLPreformatted">
    <w:name w:val="HTML Preformatted"/>
    <w:basedOn w:val="Normal"/>
    <w:link w:val="HTMLPreformattedChar"/>
    <w:uiPriority w:val="99"/>
    <w:rPr>
      <w:rFonts w:ascii="Courier New" w:hAnsi="Courier New" w:cs="Courier New"/>
    </w:rPr>
  </w:style>
  <w:style w:type="paragraph" w:styleId="NormalWeb">
    <w:name w:val="Normal (Web)"/>
    <w:basedOn w:val="Normal"/>
    <w:uiPriority w:val="99"/>
    <w:qFormat/>
    <w:rPr>
      <w:sz w:val="24"/>
      <w:szCs w:val="24"/>
    </w:rPr>
  </w:style>
  <w:style w:type="paragraph" w:styleId="ListContinue3">
    <w:name w:val="List Continue 3"/>
    <w:basedOn w:val="Normal"/>
    <w:semiHidden/>
    <w:qFormat/>
    <w:pPr>
      <w:spacing w:after="120"/>
      <w:ind w:left="849"/>
    </w:p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paragraph" w:styleId="CommentSubject">
    <w:name w:val="annotation subject"/>
    <w:basedOn w:val="CommentText"/>
    <w:next w:val="CommentText"/>
    <w:link w:val="CommentSubjectChar"/>
    <w:rPr>
      <w:b/>
      <w:bCs/>
    </w:rPr>
  </w:style>
  <w:style w:type="paragraph" w:styleId="BodyTextFirstIndent">
    <w:name w:val="Body Text First Indent"/>
    <w:basedOn w:val="BodyText"/>
    <w:semiHidden/>
    <w:pPr>
      <w:spacing w:after="120"/>
      <w:ind w:firstLine="210"/>
    </w:pPr>
  </w:style>
  <w:style w:type="paragraph" w:styleId="BodyTextFirstIndent2">
    <w:name w:val="Body Text First Indent 2"/>
    <w:basedOn w:val="BodyTextIndent"/>
    <w:semiHidden/>
    <w:pPr>
      <w:ind w:firstLine="210"/>
    </w:pPr>
  </w:style>
  <w:style w:type="table" w:styleId="TableGrid">
    <w:name w:val="Table Grid"/>
    <w:basedOn w:val="TableNormal"/>
    <w:uiPriority w:val="39"/>
    <w:qFormat/>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Theme">
    <w:name w:val="Table Theme"/>
    <w:basedOn w:val="TableNormal"/>
    <w:semiHidden/>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qFormat/>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Elegant">
    <w:name w:val="Table Elegant"/>
    <w:basedOn w:val="TableNormal"/>
    <w:semiHidden/>
    <w:qFormat/>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semiHidden/>
    <w:qFormat/>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Simple1">
    <w:name w:val="Table Simple 1"/>
    <w:basedOn w:val="TableNormal"/>
    <w:semiHidden/>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suppressAutoHyphens/>
      <w:spacing w:line="240" w:lineRule="atLeast"/>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pPr>
      <w:suppressAutoHyphens/>
      <w:spacing w:line="240" w:lineRule="atLeast"/>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3Deffects1">
    <w:name w:val="Table 3D effects 1"/>
    <w:basedOn w:val="TableNormal"/>
    <w:semiHidden/>
    <w:qFormat/>
    <w:pPr>
      <w:suppressAutoHyphens/>
      <w:spacing w:line="240" w:lineRule="atLeast"/>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pPr>
      <w:suppressAutoHyphens/>
      <w:spacing w:line="240" w:lineRule="atLeast"/>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suppressAutoHyphens/>
      <w:spacing w:line="240" w:lineRule="atLeast"/>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List1">
    <w:name w:val="Table List 1"/>
    <w:basedOn w:val="TableNormal"/>
    <w:semiHidden/>
    <w:qFormat/>
    <w:pPr>
      <w:suppressAutoHyphens/>
      <w:spacing w:line="240" w:lineRule="atLeast"/>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pPr>
      <w:suppressAutoHyphens/>
      <w:spacing w:line="240" w:lineRule="atLeast"/>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suppressAutoHyphens/>
      <w:spacing w:line="240" w:lineRule="atLeast"/>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suppressAutoHyphens/>
      <w:spacing w:line="240" w:lineRule="atLeast"/>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Contemporary">
    <w:name w:val="Table Contemporary"/>
    <w:basedOn w:val="TableNormal"/>
    <w:semiHidden/>
    <w:pPr>
      <w:suppressAutoHyphens/>
      <w:spacing w:line="240" w:lineRule="atLeast"/>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Columns1">
    <w:name w:val="Table Columns 1"/>
    <w:basedOn w:val="TableNormal"/>
    <w:semiHidden/>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suppressAutoHyphens/>
      <w:spacing w:line="240" w:lineRule="atLeast"/>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suppressAutoHyphens/>
      <w:spacing w:line="240" w:lineRule="atLeast"/>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suppressAutoHyphens/>
      <w:spacing w:line="240" w:lineRule="atLeast"/>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uppressAutoHyphens/>
      <w:spacing w:line="240" w:lineRule="atLeast"/>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qFormat/>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Web1">
    <w:name w:val="Table Web 1"/>
    <w:basedOn w:val="TableNormal"/>
    <w:semiHidden/>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Professional">
    <w:name w:val="Table Professional"/>
    <w:basedOn w:val="TableNormal"/>
    <w:semiHidden/>
    <w:qFormat/>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Strong">
    <w:name w:val="Strong"/>
    <w:qFormat/>
    <w:rPr>
      <w:b/>
      <w:bCs/>
    </w:rPr>
  </w:style>
  <w:style w:type="character" w:styleId="EndnoteReference">
    <w:name w:val="endnote reference"/>
    <w:qFormat/>
    <w:rPr>
      <w:rFonts w:ascii="Times New Roman" w:hAnsi="Times New Roman"/>
      <w:sz w:val="18"/>
      <w:vertAlign w:val="superscript"/>
    </w:rPr>
  </w:style>
  <w:style w:type="character" w:styleId="PageNumber">
    <w:name w:val="page number"/>
    <w:qFormat/>
    <w:rPr>
      <w:rFonts w:ascii="Times New Roman" w:hAnsi="Times New Roman"/>
      <w:b/>
      <w:sz w:val="18"/>
    </w:rPr>
  </w:style>
  <w:style w:type="character" w:styleId="FollowedHyperlink">
    <w:name w:val="FollowedHyperlink"/>
    <w:rPr>
      <w:color w:val="auto"/>
      <w:u w:val="none"/>
    </w:rPr>
  </w:style>
  <w:style w:type="character" w:styleId="Emphasis">
    <w:name w:val="Emphasis"/>
    <w:qFormat/>
    <w:rPr>
      <w:i/>
      <w:iCs/>
    </w:rPr>
  </w:style>
  <w:style w:type="character" w:styleId="LineNumber">
    <w:name w:val="line number"/>
    <w:semiHidden/>
    <w:rPr>
      <w:sz w:val="14"/>
    </w:rPr>
  </w:style>
  <w:style w:type="character" w:styleId="HTMLDefinition">
    <w:name w:val="HTML Definition"/>
    <w:semiHidden/>
    <w:rPr>
      <w:i/>
      <w:iCs/>
    </w:rPr>
  </w:style>
  <w:style w:type="character" w:styleId="HTMLTypewriter">
    <w:name w:val="HTML Typewriter"/>
    <w:semiHidden/>
    <w:rPr>
      <w:rFonts w:ascii="Courier New" w:hAnsi="Courier New" w:cs="Courier New"/>
      <w:sz w:val="20"/>
      <w:szCs w:val="20"/>
    </w:rPr>
  </w:style>
  <w:style w:type="character" w:styleId="HTMLAcronym">
    <w:name w:val="HTML Acronym"/>
    <w:basedOn w:val="DefaultParagraphFont"/>
    <w:semiHidden/>
    <w:qFormat/>
  </w:style>
  <w:style w:type="character" w:styleId="HTMLVariable">
    <w:name w:val="HTML Variable"/>
    <w:semiHidden/>
    <w:qFormat/>
    <w:rPr>
      <w:i/>
      <w:iCs/>
    </w:rPr>
  </w:style>
  <w:style w:type="character" w:styleId="Hyperlink">
    <w:name w:val="Hyperlink"/>
    <w:uiPriority w:val="99"/>
    <w:rPr>
      <w:color w:val="auto"/>
      <w:u w:val="none"/>
    </w:rPr>
  </w:style>
  <w:style w:type="character" w:styleId="HTMLCode">
    <w:name w:val="HTML Code"/>
    <w:semiHidden/>
    <w:rPr>
      <w:rFonts w:ascii="Courier New" w:hAnsi="Courier New" w:cs="Courier New"/>
      <w:sz w:val="20"/>
      <w:szCs w:val="20"/>
    </w:rPr>
  </w:style>
  <w:style w:type="character" w:styleId="CommentReference">
    <w:name w:val="annotation reference"/>
    <w:uiPriority w:val="99"/>
    <w:qFormat/>
    <w:rPr>
      <w:sz w:val="6"/>
    </w:rPr>
  </w:style>
  <w:style w:type="character" w:styleId="HTMLCite">
    <w:name w:val="HTML Cite"/>
    <w:semiHidden/>
    <w:rPr>
      <w:i/>
      <w:iCs/>
    </w:rPr>
  </w:style>
  <w:style w:type="character" w:styleId="FootnoteReference">
    <w:name w:val="footnote reference"/>
    <w:qFormat/>
    <w:rPr>
      <w:rFonts w:ascii="Times New Roman" w:hAnsi="Times New Roman"/>
      <w:sz w:val="18"/>
      <w:vertAlign w:val="superscript"/>
    </w:rPr>
  </w:style>
  <w:style w:type="character" w:styleId="HTMLKeyboard">
    <w:name w:val="HTML Keyboard"/>
    <w:semiHidden/>
    <w:qFormat/>
    <w:rPr>
      <w:rFonts w:ascii="Courier New" w:hAnsi="Courier New" w:cs="Courier New"/>
      <w:sz w:val="20"/>
      <w:szCs w:val="20"/>
    </w:rPr>
  </w:style>
  <w:style w:type="character" w:styleId="HTMLSample">
    <w:name w:val="HTML Sample"/>
    <w:semiHidden/>
    <w:qFormat/>
    <w:rPr>
      <w:rFonts w:ascii="Courier New" w:hAnsi="Courier New" w:cs="Courier New"/>
    </w:rPr>
  </w:style>
  <w:style w:type="paragraph" w:customStyle="1" w:styleId="HMG">
    <w:name w:val="_ H __M_G"/>
    <w:basedOn w:val="Normal"/>
    <w:next w:val="Normal"/>
    <w:qFormat/>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pPr>
      <w:keepNext/>
      <w:keepLines/>
      <w:tabs>
        <w:tab w:val="right" w:pos="851"/>
      </w:tabs>
      <w:spacing w:before="360" w:after="240" w:line="300" w:lineRule="exact"/>
      <w:ind w:left="1134" w:right="1134" w:hanging="1134"/>
    </w:pPr>
    <w:rPr>
      <w:b/>
      <w:sz w:val="28"/>
      <w:lang w:val="zh-CN"/>
    </w:rPr>
  </w:style>
  <w:style w:type="paragraph" w:customStyle="1" w:styleId="SMG">
    <w:name w:val="__S_M_G"/>
    <w:basedOn w:val="Normal"/>
    <w:next w:val="Normal"/>
    <w:pPr>
      <w:keepNext/>
      <w:keepLines/>
      <w:spacing w:before="240" w:after="240" w:line="420" w:lineRule="exact"/>
      <w:ind w:left="1134" w:right="1134"/>
    </w:pPr>
    <w:rPr>
      <w:b/>
      <w:sz w:val="40"/>
    </w:rPr>
  </w:style>
  <w:style w:type="paragraph" w:customStyle="1" w:styleId="SLG">
    <w:name w:val="__S_L_G"/>
    <w:basedOn w:val="Normal"/>
    <w:next w:val="Normal"/>
    <w:qFormat/>
    <w:pPr>
      <w:keepNext/>
      <w:keepLines/>
      <w:spacing w:before="240" w:after="240" w:line="580" w:lineRule="exact"/>
      <w:ind w:left="1134" w:right="1134"/>
    </w:pPr>
    <w:rPr>
      <w:b/>
      <w:sz w:val="56"/>
    </w:rPr>
  </w:style>
  <w:style w:type="paragraph" w:customStyle="1" w:styleId="SSG">
    <w:name w:val="__S_S_G"/>
    <w:basedOn w:val="Normal"/>
    <w:next w:val="Normal"/>
    <w:qFormat/>
    <w:pPr>
      <w:keepNext/>
      <w:keepLines/>
      <w:spacing w:before="240" w:after="240" w:line="300" w:lineRule="exact"/>
      <w:ind w:left="1134" w:right="1134"/>
    </w:pPr>
    <w:rPr>
      <w:b/>
      <w:sz w:val="28"/>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customStyle="1" w:styleId="Bullet1G">
    <w:name w:val="_Bullet 1_G"/>
    <w:basedOn w:val="Normal"/>
    <w:qFormat/>
    <w:pPr>
      <w:numPr>
        <w:numId w:val="11"/>
      </w:numPr>
      <w:spacing w:after="120"/>
      <w:ind w:right="1134"/>
      <w:jc w:val="both"/>
    </w:pPr>
  </w:style>
  <w:style w:type="paragraph" w:customStyle="1" w:styleId="Bullet2G">
    <w:name w:val="_Bullet 2_G"/>
    <w:basedOn w:val="Normal"/>
    <w:qFormat/>
    <w:pPr>
      <w:numPr>
        <w:numId w:val="12"/>
      </w:numPr>
      <w:spacing w:after="120"/>
      <w:ind w:right="1134"/>
      <w:jc w:val="both"/>
    </w:pPr>
  </w:style>
  <w:style w:type="paragraph" w:customStyle="1" w:styleId="H1G">
    <w:name w:val="_ H_1_G"/>
    <w:basedOn w:val="Normal"/>
    <w:next w:val="Normal"/>
    <w:link w:val="H1GChar"/>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pPr>
      <w:keepNext/>
      <w:keepLines/>
      <w:tabs>
        <w:tab w:val="right" w:pos="851"/>
      </w:tabs>
      <w:spacing w:before="240" w:after="120" w:line="240" w:lineRule="exact"/>
      <w:ind w:left="1134" w:right="1134" w:hanging="1134"/>
    </w:pPr>
  </w:style>
  <w:style w:type="character" w:customStyle="1" w:styleId="BalloonTextChar">
    <w:name w:val="Balloon Text Char"/>
    <w:link w:val="BalloonText"/>
    <w:qFormat/>
    <w:rPr>
      <w:rFonts w:ascii="Tahoma" w:hAnsi="Tahoma" w:cs="Tahoma"/>
      <w:sz w:val="16"/>
      <w:szCs w:val="16"/>
      <w:lang w:eastAsia="en-US"/>
    </w:rPr>
  </w:style>
  <w:style w:type="character" w:customStyle="1" w:styleId="HChGChar">
    <w:name w:val="_ H _Ch_G Char"/>
    <w:link w:val="HChG"/>
    <w:rPr>
      <w:b/>
      <w:sz w:val="28"/>
      <w:lang w:eastAsia="en-US"/>
    </w:rPr>
  </w:style>
  <w:style w:type="paragraph" w:styleId="ListParagraph">
    <w:name w:val="List Paragraph"/>
    <w:basedOn w:val="Normal"/>
    <w:uiPriority w:val="34"/>
    <w:qFormat/>
    <w:pPr>
      <w:suppressAutoHyphens w:val="0"/>
      <w:spacing w:line="240" w:lineRule="auto"/>
      <w:ind w:left="720"/>
      <w:jc w:val="both"/>
    </w:pPr>
    <w:rPr>
      <w:sz w:val="24"/>
      <w:szCs w:val="24"/>
      <w:lang w:val="en-US"/>
    </w:rPr>
  </w:style>
  <w:style w:type="paragraph" w:customStyle="1" w:styleId="Default">
    <w:name w:val="Default"/>
    <w:pPr>
      <w:autoSpaceDE w:val="0"/>
      <w:autoSpaceDN w:val="0"/>
      <w:adjustRightInd w:val="0"/>
    </w:pPr>
    <w:rPr>
      <w:color w:val="000000"/>
      <w:sz w:val="24"/>
      <w:szCs w:val="24"/>
      <w:lang w:val="sv-SE" w:eastAsia="sv-SE"/>
    </w:rPr>
  </w:style>
  <w:style w:type="character" w:customStyle="1" w:styleId="SingleTxtGChar">
    <w:name w:val="_ Single Txt_G Char"/>
    <w:link w:val="SingleTxtG"/>
    <w:qFormat/>
    <w:locked/>
    <w:rPr>
      <w:lang w:eastAsia="en-US"/>
    </w:rPr>
  </w:style>
  <w:style w:type="character" w:customStyle="1" w:styleId="FootnoteTextChar">
    <w:name w:val="Footnote Text Char"/>
    <w:link w:val="FootnoteText"/>
    <w:rPr>
      <w:sz w:val="18"/>
      <w:lang w:eastAsia="en-US"/>
    </w:rPr>
  </w:style>
  <w:style w:type="character" w:customStyle="1" w:styleId="CommentTextChar">
    <w:name w:val="Comment Text Char"/>
    <w:link w:val="CommentText"/>
    <w:uiPriority w:val="99"/>
    <w:qFormat/>
    <w:rPr>
      <w:lang w:val="en-GB"/>
    </w:rPr>
  </w:style>
  <w:style w:type="character" w:customStyle="1" w:styleId="CommentSubjectChar">
    <w:name w:val="Comment Subject Char"/>
    <w:link w:val="CommentSubject"/>
    <w:qFormat/>
    <w:rPr>
      <w:b/>
      <w:bCs/>
      <w:lang w:val="en-GB"/>
    </w:rPr>
  </w:style>
  <w:style w:type="paragraph" w:customStyle="1" w:styleId="Listenabsatz1">
    <w:name w:val="Listenabsatz1"/>
    <w:basedOn w:val="Normal"/>
    <w:uiPriority w:val="99"/>
    <w:qFormat/>
    <w:pPr>
      <w:suppressAutoHyphens w:val="0"/>
      <w:spacing w:line="240" w:lineRule="auto"/>
      <w:ind w:left="720"/>
      <w:contextualSpacing/>
    </w:pPr>
    <w:rPr>
      <w:sz w:val="24"/>
      <w:szCs w:val="24"/>
      <w:lang w:eastAsia="en-GB"/>
    </w:rPr>
  </w:style>
  <w:style w:type="character" w:customStyle="1" w:styleId="Heading3Char">
    <w:name w:val="Heading 3 Char"/>
    <w:link w:val="Heading3"/>
    <w:qFormat/>
    <w:rPr>
      <w:lang w:eastAsia="en-US"/>
    </w:rPr>
  </w:style>
  <w:style w:type="paragraph" w:customStyle="1" w:styleId="GHSHeading4">
    <w:name w:val="GHSHeading4"/>
    <w:basedOn w:val="Normal"/>
    <w:qFormat/>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qFormat/>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qFormat/>
    <w:pPr>
      <w:suppressAutoHyphens w:val="0"/>
      <w:spacing w:line="240" w:lineRule="auto"/>
    </w:pPr>
    <w:rPr>
      <w:sz w:val="22"/>
      <w:szCs w:val="24"/>
    </w:rPr>
  </w:style>
  <w:style w:type="character" w:customStyle="1" w:styleId="H1GChar">
    <w:name w:val="_ H_1_G Char"/>
    <w:link w:val="H1G"/>
    <w:qFormat/>
    <w:rPr>
      <w:b/>
      <w:sz w:val="24"/>
      <w:lang w:eastAsia="en-US"/>
    </w:rPr>
  </w:style>
  <w:style w:type="paragraph" w:customStyle="1" w:styleId="ManualBodyText">
    <w:name w:val="Manual Body Text"/>
    <w:basedOn w:val="BodyText"/>
    <w:link w:val="ManualBodyTextChar"/>
    <w:qFormat/>
    <w:p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qFormat/>
    <w:pPr>
      <w:keepNext/>
      <w:keepLines/>
      <w:tabs>
        <w:tab w:val="clear" w:pos="1418"/>
      </w:tabs>
      <w:jc w:val="center"/>
    </w:pPr>
    <w:rPr>
      <w:b/>
      <w:sz w:val="26"/>
      <w:szCs w:val="26"/>
    </w:rPr>
  </w:style>
  <w:style w:type="paragraph" w:customStyle="1" w:styleId="ManualHeading2">
    <w:name w:val="Manual Heading 2"/>
    <w:basedOn w:val="ManualBodyText"/>
    <w:next w:val="ManualBodyText"/>
    <w:qFormat/>
    <w:pPr>
      <w:keepNext/>
      <w:keepLines/>
    </w:pPr>
    <w:rPr>
      <w:b/>
    </w:rPr>
  </w:style>
  <w:style w:type="paragraph" w:customStyle="1" w:styleId="ManualHeading3">
    <w:name w:val="Manual Heading 3"/>
    <w:basedOn w:val="ManualBodyText"/>
    <w:next w:val="ManualBodyText"/>
    <w:qFormat/>
    <w:pPr>
      <w:keepNext/>
      <w:keepLines/>
    </w:pPr>
    <w:rPr>
      <w:b/>
    </w:rPr>
  </w:style>
  <w:style w:type="paragraph" w:customStyle="1" w:styleId="ManualHeading4">
    <w:name w:val="Manual Heading 4"/>
    <w:basedOn w:val="ManualBodyText"/>
    <w:next w:val="ManualBodyText"/>
    <w:qFormat/>
    <w:pPr>
      <w:keepNext/>
      <w:keepLines/>
    </w:pPr>
  </w:style>
  <w:style w:type="paragraph" w:customStyle="1" w:styleId="ManualHeading5">
    <w:name w:val="Manual Heading 5"/>
    <w:basedOn w:val="ManualBodyText"/>
    <w:next w:val="ManualBodyText"/>
    <w:qFormat/>
    <w:pPr>
      <w:keepNext/>
      <w:keepLines/>
    </w:pPr>
  </w:style>
  <w:style w:type="paragraph" w:customStyle="1" w:styleId="ManualHeading6">
    <w:name w:val="Manual Heading 6"/>
    <w:basedOn w:val="ManualBodyText"/>
    <w:next w:val="ManualBodyText"/>
    <w:qFormat/>
    <w:pPr>
      <w:keepNext/>
      <w:keepLines/>
    </w:pPr>
  </w:style>
  <w:style w:type="paragraph" w:customStyle="1" w:styleId="ManualPartEN">
    <w:name w:val="Manual Part EN"/>
    <w:basedOn w:val="ManualHeading1"/>
    <w:next w:val="ManualHeading1"/>
    <w:qFormat/>
    <w:rPr>
      <w:bCs/>
      <w:sz w:val="56"/>
      <w:szCs w:val="44"/>
    </w:rPr>
  </w:style>
  <w:style w:type="character" w:customStyle="1" w:styleId="HTMLPreformattedChar">
    <w:name w:val="HTML Preformatted Char"/>
    <w:link w:val="HTMLPreformatted"/>
    <w:uiPriority w:val="99"/>
    <w:qFormat/>
    <w:rPr>
      <w:rFonts w:ascii="Courier New" w:hAnsi="Courier New" w:cs="Courier New"/>
      <w:lang w:eastAsia="en-US"/>
    </w:rPr>
  </w:style>
  <w:style w:type="character" w:customStyle="1" w:styleId="FooterChar">
    <w:name w:val="Footer Char"/>
    <w:link w:val="Footer"/>
    <w:uiPriority w:val="99"/>
    <w:qFormat/>
    <w:rPr>
      <w:sz w:val="16"/>
      <w:lang w:eastAsia="en-US"/>
    </w:rPr>
  </w:style>
  <w:style w:type="character" w:customStyle="1" w:styleId="BodyTextIndentChar">
    <w:name w:val="Body Text Indent Char"/>
    <w:link w:val="BodyTextIndent"/>
    <w:semiHidden/>
    <w:qFormat/>
    <w:rPr>
      <w:lang w:eastAsia="en-US"/>
    </w:rPr>
  </w:style>
  <w:style w:type="character" w:customStyle="1" w:styleId="BodyTextIndent2Char">
    <w:name w:val="Body Text Indent 2 Char"/>
    <w:link w:val="BodyTextIndent2"/>
    <w:semiHidden/>
    <w:qFormat/>
    <w:rPr>
      <w:lang w:eastAsia="en-US"/>
    </w:rPr>
  </w:style>
  <w:style w:type="character" w:customStyle="1" w:styleId="BodyTextChar">
    <w:name w:val="Body Text Char"/>
    <w:link w:val="BodyText"/>
    <w:semiHidden/>
    <w:qFormat/>
    <w:rPr>
      <w:lang w:eastAsia="en-US"/>
    </w:rPr>
  </w:style>
  <w:style w:type="character" w:customStyle="1" w:styleId="HeaderChar">
    <w:name w:val="Header Char"/>
    <w:link w:val="Header"/>
    <w:qFormat/>
    <w:rPr>
      <w:b/>
      <w:sz w:val="18"/>
      <w:lang w:eastAsia="en-US"/>
    </w:rPr>
  </w:style>
  <w:style w:type="character" w:customStyle="1" w:styleId="BodyTextIndent3Char">
    <w:name w:val="Body Text Indent 3 Char"/>
    <w:link w:val="BodyTextIndent3"/>
    <w:semiHidden/>
    <w:qFormat/>
    <w:rPr>
      <w:sz w:val="16"/>
      <w:szCs w:val="16"/>
      <w:lang w:eastAsia="en-US"/>
    </w:rPr>
  </w:style>
  <w:style w:type="character" w:customStyle="1" w:styleId="TitleChar">
    <w:name w:val="Title Char"/>
    <w:link w:val="Title"/>
    <w:qFormat/>
    <w:rPr>
      <w:rFonts w:ascii="Arial" w:hAnsi="Arial" w:cs="Arial"/>
      <w:b/>
      <w:bCs/>
      <w:kern w:val="28"/>
      <w:sz w:val="32"/>
      <w:szCs w:val="32"/>
      <w:lang w:eastAsia="en-US"/>
    </w:rPr>
  </w:style>
  <w:style w:type="character" w:customStyle="1" w:styleId="Heading5Char">
    <w:name w:val="Heading 5 Char"/>
    <w:link w:val="Heading5"/>
    <w:qFormat/>
    <w:rPr>
      <w:lang w:eastAsia="en-US"/>
    </w:rPr>
  </w:style>
  <w:style w:type="character" w:customStyle="1" w:styleId="EndnoteTextChar">
    <w:name w:val="Endnote Text Char"/>
    <w:link w:val="EndnoteText"/>
    <w:qFormat/>
    <w:rPr>
      <w:sz w:val="18"/>
      <w:lang w:val="zh-CN" w:eastAsia="en-US"/>
    </w:rPr>
  </w:style>
  <w:style w:type="paragraph" w:customStyle="1" w:styleId="a">
    <w:name w:val="–"/>
    <w:qFormat/>
    <w:pPr>
      <w:autoSpaceDE w:val="0"/>
      <w:autoSpaceDN w:val="0"/>
      <w:adjustRightInd w:val="0"/>
      <w:jc w:val="both"/>
    </w:pPr>
    <w:rPr>
      <w:rFonts w:ascii="Arial" w:hAnsi="Arial"/>
      <w:sz w:val="24"/>
      <w:szCs w:val="24"/>
      <w:lang w:eastAsia="en-US"/>
    </w:rPr>
  </w:style>
  <w:style w:type="paragraph" w:customStyle="1" w:styleId="font5">
    <w:name w:val="font5"/>
    <w:basedOn w:val="Normal"/>
    <w:semiHidden/>
    <w:qFormat/>
    <w:pPr>
      <w:suppressAutoHyphens w:val="0"/>
      <w:spacing w:before="100" w:beforeAutospacing="1" w:after="100" w:afterAutospacing="1" w:line="240" w:lineRule="auto"/>
    </w:pPr>
    <w:rPr>
      <w:rFonts w:ascii="CG Times" w:hAnsi="CG Times"/>
    </w:rPr>
  </w:style>
  <w:style w:type="paragraph" w:customStyle="1" w:styleId="Document1">
    <w:name w:val="Document 1"/>
    <w:semiHidden/>
    <w:qFormat/>
    <w:pPr>
      <w:keepNext/>
      <w:keepLines/>
      <w:tabs>
        <w:tab w:val="left" w:pos="-720"/>
      </w:tabs>
      <w:suppressAutoHyphens/>
    </w:pPr>
    <w:rPr>
      <w:rFonts w:ascii="Times Roman" w:hAnsi="Times Roman"/>
      <w:sz w:val="22"/>
      <w:lang w:eastAsia="en-US"/>
    </w:rPr>
  </w:style>
  <w:style w:type="paragraph" w:customStyle="1" w:styleId="Num-DocParagraph">
    <w:name w:val="Num-Doc Paragraph"/>
    <w:basedOn w:val="BodyText"/>
    <w:qFormat/>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qFormat/>
    <w:rPr>
      <w:lang w:eastAsia="en-US"/>
    </w:rPr>
  </w:style>
  <w:style w:type="character" w:customStyle="1" w:styleId="ManualBodyTextChar">
    <w:name w:val="Manual Body Text Char"/>
    <w:link w:val="ManualBodyText"/>
    <w:qFormat/>
    <w:rPr>
      <w:sz w:val="22"/>
      <w:szCs w:val="22"/>
      <w:lang w:eastAsia="fr-FR"/>
    </w:rPr>
  </w:style>
  <w:style w:type="character" w:styleId="PlaceholderText">
    <w:name w:val="Placeholder Text"/>
    <w:uiPriority w:val="99"/>
    <w:semiHidden/>
    <w:qFormat/>
    <w:rPr>
      <w:color w:val="808080"/>
    </w:rPr>
  </w:style>
  <w:style w:type="paragraph" w:customStyle="1" w:styleId="Level1">
    <w:name w:val="Level 1"/>
    <w:semiHidden/>
    <w:qFormat/>
    <w:pPr>
      <w:autoSpaceDE w:val="0"/>
      <w:autoSpaceDN w:val="0"/>
      <w:adjustRightInd w:val="0"/>
      <w:ind w:left="-1440"/>
      <w:jc w:val="both"/>
    </w:pPr>
    <w:rPr>
      <w:sz w:val="24"/>
      <w:szCs w:val="24"/>
      <w:lang w:val="en-GB" w:eastAsia="fr-FR"/>
    </w:rPr>
  </w:style>
  <w:style w:type="paragraph" w:customStyle="1" w:styleId="Level2">
    <w:name w:val="Level 2"/>
    <w:semiHidden/>
    <w:qFormat/>
    <w:pPr>
      <w:autoSpaceDE w:val="0"/>
      <w:autoSpaceDN w:val="0"/>
      <w:adjustRightInd w:val="0"/>
      <w:ind w:left="-1440"/>
      <w:jc w:val="both"/>
    </w:pPr>
    <w:rPr>
      <w:sz w:val="24"/>
      <w:szCs w:val="24"/>
      <w:lang w:val="en-GB" w:eastAsia="fr-FR"/>
    </w:rPr>
  </w:style>
  <w:style w:type="paragraph" w:customStyle="1" w:styleId="Level3">
    <w:name w:val="Level 3"/>
    <w:semiHidden/>
    <w:qFormat/>
    <w:pPr>
      <w:autoSpaceDE w:val="0"/>
      <w:autoSpaceDN w:val="0"/>
      <w:adjustRightInd w:val="0"/>
      <w:ind w:left="-1440"/>
      <w:jc w:val="both"/>
    </w:pPr>
    <w:rPr>
      <w:sz w:val="24"/>
      <w:szCs w:val="24"/>
      <w:lang w:val="en-GB" w:eastAsia="fr-FR"/>
    </w:rPr>
  </w:style>
  <w:style w:type="paragraph" w:customStyle="1" w:styleId="Level4">
    <w:name w:val="Level 4"/>
    <w:semiHidden/>
    <w:qFormat/>
    <w:pPr>
      <w:autoSpaceDE w:val="0"/>
      <w:autoSpaceDN w:val="0"/>
      <w:adjustRightInd w:val="0"/>
      <w:ind w:left="-1440"/>
      <w:jc w:val="both"/>
    </w:pPr>
    <w:rPr>
      <w:sz w:val="24"/>
      <w:szCs w:val="24"/>
      <w:lang w:val="en-GB" w:eastAsia="fr-FR"/>
    </w:rPr>
  </w:style>
  <w:style w:type="paragraph" w:customStyle="1" w:styleId="Level5">
    <w:name w:val="Level 5"/>
    <w:semiHidden/>
    <w:qFormat/>
    <w:pPr>
      <w:autoSpaceDE w:val="0"/>
      <w:autoSpaceDN w:val="0"/>
      <w:adjustRightInd w:val="0"/>
      <w:ind w:left="-1440"/>
      <w:jc w:val="both"/>
    </w:pPr>
    <w:rPr>
      <w:sz w:val="24"/>
      <w:szCs w:val="24"/>
      <w:lang w:val="en-GB" w:eastAsia="fr-FR"/>
    </w:rPr>
  </w:style>
  <w:style w:type="paragraph" w:customStyle="1" w:styleId="Level6">
    <w:name w:val="Level 6"/>
    <w:semiHidden/>
    <w:qFormat/>
    <w:pPr>
      <w:autoSpaceDE w:val="0"/>
      <w:autoSpaceDN w:val="0"/>
      <w:adjustRightInd w:val="0"/>
      <w:ind w:left="-1440"/>
      <w:jc w:val="both"/>
    </w:pPr>
    <w:rPr>
      <w:sz w:val="24"/>
      <w:szCs w:val="24"/>
      <w:lang w:val="en-GB" w:eastAsia="fr-FR"/>
    </w:rPr>
  </w:style>
  <w:style w:type="paragraph" w:customStyle="1" w:styleId="Level7">
    <w:name w:val="Level 7"/>
    <w:semiHidden/>
    <w:qFormat/>
    <w:pPr>
      <w:autoSpaceDE w:val="0"/>
      <w:autoSpaceDN w:val="0"/>
      <w:adjustRightInd w:val="0"/>
      <w:ind w:left="-1440"/>
      <w:jc w:val="both"/>
    </w:pPr>
    <w:rPr>
      <w:sz w:val="24"/>
      <w:szCs w:val="24"/>
      <w:lang w:val="en-GB" w:eastAsia="fr-FR"/>
    </w:rPr>
  </w:style>
  <w:style w:type="paragraph" w:customStyle="1" w:styleId="Level8">
    <w:name w:val="Level 8"/>
    <w:semiHidden/>
    <w:pPr>
      <w:autoSpaceDE w:val="0"/>
      <w:autoSpaceDN w:val="0"/>
      <w:adjustRightInd w:val="0"/>
      <w:ind w:left="-1440"/>
      <w:jc w:val="both"/>
    </w:pPr>
    <w:rPr>
      <w:sz w:val="24"/>
      <w:szCs w:val="24"/>
      <w:lang w:val="en-GB" w:eastAsia="fr-FR"/>
    </w:rPr>
  </w:style>
  <w:style w:type="paragraph" w:customStyle="1" w:styleId="Level9">
    <w:name w:val="Level 9"/>
    <w:semiHidden/>
    <w:qFormat/>
    <w:pPr>
      <w:autoSpaceDE w:val="0"/>
      <w:autoSpaceDN w:val="0"/>
      <w:adjustRightInd w:val="0"/>
      <w:ind w:left="-1440"/>
      <w:jc w:val="both"/>
    </w:pPr>
    <w:rPr>
      <w:b/>
      <w:bCs/>
      <w:sz w:val="24"/>
      <w:szCs w:val="24"/>
      <w:lang w:val="en-GB" w:eastAsia="fr-FR"/>
    </w:rPr>
  </w:style>
  <w:style w:type="character" w:customStyle="1" w:styleId="H23GChar">
    <w:name w:val="_ H_2/3_G Char"/>
    <w:link w:val="H23G"/>
    <w:qFormat/>
    <w:rPr>
      <w:b/>
      <w:lang w:eastAsia="en-US"/>
    </w:rPr>
  </w:style>
  <w:style w:type="paragraph" w:customStyle="1" w:styleId="1">
    <w:name w:val="修订1"/>
    <w:hidden/>
    <w:uiPriority w:val="99"/>
    <w:semiHidden/>
    <w:qFormat/>
    <w:rPr>
      <w:lang w:val="fr-FR" w:eastAsia="fr-FR"/>
    </w:rPr>
  </w:style>
  <w:style w:type="character" w:customStyle="1" w:styleId="UnresolvedMention1">
    <w:name w:val="Unresolved Mention1"/>
    <w:basedOn w:val="DefaultParagraphFont"/>
    <w:uiPriority w:val="99"/>
    <w:semiHidden/>
    <w:unhideWhenUsed/>
    <w:qFormat/>
    <w:rPr>
      <w:color w:val="808080"/>
      <w:shd w:val="clear" w:color="auto" w:fill="E6E6E6"/>
    </w:rPr>
  </w:style>
  <w:style w:type="character" w:customStyle="1" w:styleId="SingleTxtGCar">
    <w:name w:val="_ Single Txt_G Car"/>
    <w:qFormat/>
    <w:rPr>
      <w:lang w:eastAsia="en-US"/>
    </w:rPr>
  </w:style>
  <w:style w:type="paragraph" w:customStyle="1" w:styleId="ParNoG">
    <w:name w:val="_ParNo_G"/>
    <w:basedOn w:val="SingleTxtG"/>
    <w:qFormat/>
    <w:pPr>
      <w:numPr>
        <w:numId w:val="13"/>
      </w:numPr>
      <w:suppressAutoHyphens w:val="0"/>
    </w:pPr>
    <w:rPr>
      <w:lang w:val="en-GB" w:eastAsia="fr-FR"/>
    </w:rPr>
  </w:style>
  <w:style w:type="character" w:customStyle="1" w:styleId="Heading1Char">
    <w:name w:val="Heading 1 Char"/>
    <w:basedOn w:val="DefaultParagraphFont"/>
    <w:link w:val="Heading1"/>
    <w:qFormat/>
    <w:rPr>
      <w:lang w:val="zh-CN"/>
    </w:rPr>
  </w:style>
  <w:style w:type="table" w:customStyle="1" w:styleId="61">
    <w:name w:val="清单表 6 彩色1"/>
    <w:basedOn w:val="TableNormal"/>
    <w:uiPriority w:val="51"/>
    <w:qFormat/>
    <w:rPr>
      <w:rFonts w:asciiTheme="minorHAnsi" w:eastAsia="SimSun" w:hAnsiTheme="minorHAnsi" w:cstheme="minorBidi"/>
      <w:color w:val="000000" w:themeColor="text1"/>
      <w:sz w:val="22"/>
      <w:szCs w:val="22"/>
      <w:lang w:val="en-GB"/>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4Head">
    <w:name w:val="M4Head"/>
    <w:basedOn w:val="Normal"/>
    <w:qFormat/>
    <w:pPr>
      <w:keepNext/>
      <w:keepLines/>
      <w:tabs>
        <w:tab w:val="left" w:pos="1418"/>
      </w:tabs>
      <w:suppressAutoHyphens w:val="0"/>
      <w:autoSpaceDE w:val="0"/>
      <w:autoSpaceDN w:val="0"/>
      <w:adjustRightInd w:val="0"/>
      <w:spacing w:after="240" w:line="240" w:lineRule="auto"/>
      <w:jc w:val="both"/>
      <w:outlineLvl w:val="4"/>
    </w:pPr>
    <w:rPr>
      <w:sz w:val="22"/>
      <w:szCs w:val="22"/>
      <w:lang w:eastAsia="fr-FR"/>
    </w:rPr>
  </w:style>
  <w:style w:type="table" w:customStyle="1" w:styleId="TableNormal1">
    <w:name w:val="Table Normal1"/>
    <w:uiPriority w:val="2"/>
    <w:semiHidden/>
    <w:unhideWhenUsed/>
    <w:qFormat/>
    <w:pPr>
      <w:widowControl w:val="0"/>
      <w:autoSpaceDE w:val="0"/>
      <w:autoSpaceDN w:val="0"/>
    </w:pPr>
    <w:rPr>
      <w:rFonts w:asciiTheme="minorHAnsi" w:eastAsiaTheme="minorHAnsi" w:hAnsiTheme="minorHAnsi" w:cstheme="minorBid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suppressAutoHyphens w:val="0"/>
      <w:autoSpaceDE w:val="0"/>
      <w:autoSpaceDN w:val="0"/>
      <w:spacing w:line="240" w:lineRule="auto"/>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0602F1-1185-408A-89BC-C103672B2028}">
  <ds:schemaRefs>
    <ds:schemaRef ds:uri="http://schemas.openxmlformats.org/officeDocument/2006/bibliography"/>
  </ds:schemaRefs>
</ds:datastoreItem>
</file>

<file path=customXml/itemProps2.xml><?xml version="1.0" encoding="utf-8"?>
<ds:datastoreItem xmlns:ds="http://schemas.openxmlformats.org/officeDocument/2006/customXml" ds:itemID="{2C5D5BFA-643B-4B84-82A4-49E7BE3E7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E30045-1B47-4AD0-B127-027B6064CF79}">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5B55F51-ED73-4C31-AF0A-9D60892160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AC10_C3_bis_E.dotm</Template>
  <TotalTime>215</TotalTime>
  <Pages>8</Pages>
  <Words>1595</Words>
  <Characters>9094</Characters>
  <Application>Microsoft Office Word</Application>
  <DocSecurity>0</DocSecurity>
  <Lines>75</Lines>
  <Paragraphs>21</Paragraphs>
  <ScaleCrop>false</ScaleCrop>
  <Company>CSD</Company>
  <LinksUpToDate>false</LinksUpToDate>
  <CharactersWithSpaces>10668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41</cp:revision>
  <cp:lastPrinted>2021-10-19T06:38:00Z</cp:lastPrinted>
  <dcterms:created xsi:type="dcterms:W3CDTF">2021-11-19T09:36:00Z</dcterms:created>
  <dcterms:modified xsi:type="dcterms:W3CDTF">2021-11-22T06:51:00Z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Order">
    <vt:r8>9601600</vt:r8>
  </property>
  <property fmtid="{D5CDD505-2E9C-101B-9397-08002B2CF9AE}" pid="5" name="KSOProductBuildVer">
    <vt:lpwstr>2052-11.1.0.10938</vt:lpwstr>
  </property>
  <property fmtid="{D5CDD505-2E9C-101B-9397-08002B2CF9AE}" pid="6" name="ICV">
    <vt:lpwstr>7954A286D0624BB19FD174ADD1C0DFB8</vt:lpwstr>
  </property>
</Properties>
</file>