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090C83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3BCDDDD2" w:rsidR="00717408" w:rsidRPr="00090C83" w:rsidRDefault="000670BF" w:rsidP="00D660CB">
            <w:pPr>
              <w:jc w:val="right"/>
              <w:rPr>
                <w:b/>
                <w:sz w:val="40"/>
                <w:szCs w:val="40"/>
              </w:rPr>
            </w:pPr>
            <w:r w:rsidRPr="00090C83">
              <w:rPr>
                <w:b/>
                <w:sz w:val="40"/>
                <w:szCs w:val="40"/>
              </w:rPr>
              <w:t>UN/SCEGHS/4</w:t>
            </w:r>
            <w:r w:rsidR="008472A4" w:rsidRPr="00090C83">
              <w:rPr>
                <w:b/>
                <w:sz w:val="40"/>
                <w:szCs w:val="40"/>
              </w:rPr>
              <w:t>1</w:t>
            </w:r>
            <w:r w:rsidRPr="00090C83">
              <w:rPr>
                <w:b/>
                <w:sz w:val="40"/>
                <w:szCs w:val="40"/>
              </w:rPr>
              <w:t>/INF.</w:t>
            </w:r>
            <w:r w:rsidR="00090C83" w:rsidRPr="00090C83">
              <w:rPr>
                <w:b/>
                <w:sz w:val="40"/>
                <w:szCs w:val="40"/>
              </w:rPr>
              <w:t>3</w:t>
            </w:r>
            <w:r w:rsidR="00B02470" w:rsidRPr="00090C83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090C83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090C83">
              <w:rPr>
                <w:b/>
                <w:sz w:val="24"/>
                <w:szCs w:val="24"/>
              </w:rPr>
              <w:t>Committee of Experts on the Transport of Dangerous Goods</w:t>
            </w:r>
            <w:r w:rsidRPr="00090C8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90C83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56CFFD5D" w:rsidR="00717408" w:rsidRPr="00090C83" w:rsidRDefault="00FA63B2" w:rsidP="008472A4">
            <w:pPr>
              <w:tabs>
                <w:tab w:val="left" w:pos="7371"/>
              </w:tabs>
              <w:spacing w:before="120"/>
            </w:pPr>
            <w:r w:rsidRPr="00090C83">
              <w:rPr>
                <w:b/>
                <w:lang w:val="en-US"/>
              </w:rPr>
              <w:t>Sub-Committee of Experts on the Globally Harmonized</w:t>
            </w:r>
            <w:r w:rsidRPr="00090C83">
              <w:rPr>
                <w:b/>
                <w:lang w:val="en-US"/>
              </w:rPr>
              <w:br/>
              <w:t>System of Classification and Labelling of Chemicals</w:t>
            </w:r>
            <w:r w:rsidRPr="00090C83">
              <w:t xml:space="preserve"> </w:t>
            </w:r>
            <w:r w:rsidR="00717408" w:rsidRPr="00090C83">
              <w:tab/>
            </w:r>
            <w:r w:rsidR="00090C83" w:rsidRPr="00090C83">
              <w:rPr>
                <w:b/>
                <w:bCs/>
              </w:rPr>
              <w:t>2</w:t>
            </w:r>
            <w:r w:rsidR="00717408" w:rsidRPr="00090C83">
              <w:rPr>
                <w:b/>
                <w:bCs/>
              </w:rPr>
              <w:t xml:space="preserve"> </w:t>
            </w:r>
            <w:r w:rsidR="00090C83" w:rsidRPr="00090C83">
              <w:rPr>
                <w:b/>
                <w:bCs/>
              </w:rPr>
              <w:t xml:space="preserve">November </w:t>
            </w:r>
            <w:r w:rsidR="009B11B2" w:rsidRPr="00090C83">
              <w:rPr>
                <w:b/>
                <w:bCs/>
              </w:rPr>
              <w:t>2021</w:t>
            </w:r>
          </w:p>
          <w:p w14:paraId="4F6387B0" w14:textId="3BE99C2E" w:rsidR="000B6ACF" w:rsidRPr="00090C83" w:rsidRDefault="003C425A" w:rsidP="000B6ACF">
            <w:pPr>
              <w:spacing w:before="120"/>
              <w:rPr>
                <w:b/>
              </w:rPr>
            </w:pPr>
            <w:bookmarkStart w:id="0" w:name="_Hlk35441056"/>
            <w:r w:rsidRPr="00090C83">
              <w:rPr>
                <w:b/>
              </w:rPr>
              <w:t>Fort</w:t>
            </w:r>
            <w:r w:rsidR="008472A4" w:rsidRPr="00090C83">
              <w:rPr>
                <w:b/>
              </w:rPr>
              <w:t xml:space="preserve">y-first </w:t>
            </w:r>
            <w:r w:rsidR="000B6ACF" w:rsidRPr="00090C83">
              <w:rPr>
                <w:b/>
              </w:rPr>
              <w:t>session</w:t>
            </w:r>
          </w:p>
          <w:bookmarkEnd w:id="0"/>
          <w:p w14:paraId="629A7D1E" w14:textId="23319311" w:rsidR="003C425A" w:rsidRPr="00090C83" w:rsidRDefault="003C425A" w:rsidP="003C425A">
            <w:pPr>
              <w:spacing w:before="40"/>
            </w:pPr>
            <w:r w:rsidRPr="00090C83">
              <w:t xml:space="preserve">Geneva, </w:t>
            </w:r>
            <w:r w:rsidR="008472A4" w:rsidRPr="00090C83">
              <w:t>8</w:t>
            </w:r>
            <w:r w:rsidRPr="00090C83">
              <w:t>-</w:t>
            </w:r>
            <w:r w:rsidR="008472A4" w:rsidRPr="00090C83">
              <w:t>10</w:t>
            </w:r>
            <w:r w:rsidRPr="00090C83">
              <w:t xml:space="preserve"> </w:t>
            </w:r>
            <w:r w:rsidR="008472A4" w:rsidRPr="00090C83">
              <w:t xml:space="preserve">December </w:t>
            </w:r>
            <w:r w:rsidRPr="00090C83">
              <w:t>2021</w:t>
            </w:r>
          </w:p>
          <w:p w14:paraId="5BBEE255" w14:textId="61D68AA6" w:rsidR="003C425A" w:rsidRPr="00090C83" w:rsidRDefault="003C425A" w:rsidP="003C425A">
            <w:pPr>
              <w:spacing w:before="40"/>
            </w:pPr>
            <w:r w:rsidRPr="00090C83">
              <w:t xml:space="preserve">Item </w:t>
            </w:r>
            <w:r w:rsidR="009549C4" w:rsidRPr="00090C83">
              <w:t>2 (</w:t>
            </w:r>
            <w:proofErr w:type="spellStart"/>
            <w:r w:rsidR="009549C4" w:rsidRPr="00090C83">
              <w:t>i</w:t>
            </w:r>
            <w:proofErr w:type="spellEnd"/>
            <w:r w:rsidR="009549C4" w:rsidRPr="00090C83">
              <w:t>)</w:t>
            </w:r>
            <w:r w:rsidRPr="00090C83">
              <w:t xml:space="preserve"> of the provisional agenda</w:t>
            </w:r>
          </w:p>
          <w:p w14:paraId="7F67E7DF" w14:textId="38F77A1D" w:rsidR="00717408" w:rsidRPr="004B1C20" w:rsidRDefault="004B1C20" w:rsidP="003C425A">
            <w:pPr>
              <w:spacing w:line="240" w:lineRule="exact"/>
              <w:rPr>
                <w:b/>
                <w:bCs/>
              </w:rPr>
            </w:pPr>
            <w:r w:rsidRPr="00090C83">
              <w:rPr>
                <w:b/>
                <w:bCs/>
              </w:rPr>
              <w:t xml:space="preserve">Work on the Globally Harmonized System (GHS): </w:t>
            </w:r>
            <w:r w:rsidRPr="00090C83">
              <w:rPr>
                <w:b/>
                <w:bCs/>
              </w:rPr>
              <w:br/>
              <w:t>other matters</w:t>
            </w:r>
          </w:p>
        </w:tc>
      </w:tr>
    </w:tbl>
    <w:p w14:paraId="3A0AEB2D" w14:textId="2CAF9BFD" w:rsidR="00C55F0A" w:rsidRPr="00CB7CF2" w:rsidRDefault="00760F29" w:rsidP="00C55F0A">
      <w:pPr>
        <w:pStyle w:val="HChG"/>
        <w:ind w:right="379"/>
        <w:jc w:val="both"/>
        <w:rPr>
          <w:rFonts w:eastAsia="MS Mincho"/>
          <w:lang w:eastAsia="ja-JP"/>
        </w:rPr>
      </w:pPr>
      <w:r w:rsidRPr="009E7ABD">
        <w:rPr>
          <w:rFonts w:eastAsia="MS Mincho"/>
          <w:lang w:val="en-US" w:eastAsia="ja-JP"/>
        </w:rPr>
        <w:tab/>
      </w:r>
      <w:r w:rsidR="00E97BCE" w:rsidRPr="009103F3">
        <w:rPr>
          <w:rFonts w:eastAsia="MS Mincho"/>
          <w:lang w:eastAsia="ja-JP"/>
        </w:rPr>
        <w:tab/>
      </w:r>
      <w:r w:rsidR="004B1C20">
        <w:rPr>
          <w:rFonts w:eastAsia="MS Mincho"/>
          <w:lang w:eastAsia="ja-JP"/>
        </w:rPr>
        <w:t>Draft corrections to the ninth revised edition of the GHS</w:t>
      </w:r>
    </w:p>
    <w:p w14:paraId="4FECFF0E" w14:textId="3D5472BB" w:rsidR="00C55F0A" w:rsidRDefault="00C55F0A" w:rsidP="00C55F0A">
      <w:pPr>
        <w:pStyle w:val="H1G"/>
        <w:ind w:right="379"/>
        <w:jc w:val="both"/>
      </w:pPr>
      <w:r w:rsidRPr="00CB7CF2">
        <w:tab/>
      </w:r>
      <w:r w:rsidRPr="00CB7CF2">
        <w:tab/>
      </w:r>
      <w:r w:rsidR="004B1C20">
        <w:t>Note</w:t>
      </w:r>
      <w:r w:rsidRPr="00CB7CF2">
        <w:t xml:space="preserve"> by </w:t>
      </w:r>
      <w:r w:rsidR="004B1C20">
        <w:t>the secretariat</w:t>
      </w:r>
    </w:p>
    <w:p w14:paraId="4A665500" w14:textId="12C83E21" w:rsidR="00590399" w:rsidRDefault="00974109" w:rsidP="00590399">
      <w:pPr>
        <w:pStyle w:val="SingleTxtG"/>
      </w:pPr>
      <w:r>
        <w:t xml:space="preserve">The Sub-Committee is invited to consider the following draft corrections to the </w:t>
      </w:r>
      <w:r w:rsidR="00A5237E">
        <w:t xml:space="preserve">ninth revised edition of the GHS </w:t>
      </w:r>
      <w:r w:rsidR="0042621F">
        <w:t xml:space="preserve">(English and French versions) </w:t>
      </w:r>
      <w:r w:rsidR="00A5237E">
        <w:t>that have been notified to or identified by the secretariat.</w:t>
      </w:r>
      <w:r w:rsidR="00590399">
        <w:t xml:space="preserve"> </w:t>
      </w:r>
    </w:p>
    <w:p w14:paraId="270440D2" w14:textId="39CD5EB3" w:rsidR="0042621F" w:rsidRPr="00974109" w:rsidRDefault="00D5792B" w:rsidP="0042621F">
      <w:pPr>
        <w:pStyle w:val="H1G"/>
      </w:pPr>
      <w:r>
        <w:tab/>
      </w:r>
      <w:r>
        <w:tab/>
      </w:r>
      <w:r w:rsidR="0042621F">
        <w:t>English version</w:t>
      </w:r>
    </w:p>
    <w:p w14:paraId="60209DDF" w14:textId="0525A5C4" w:rsidR="00BF02F8" w:rsidRDefault="00CF1A1C" w:rsidP="00BF02F8">
      <w:pPr>
        <w:pStyle w:val="H23G"/>
      </w:pPr>
      <w:r>
        <w:tab/>
      </w:r>
      <w:r w:rsidR="00DD4D89">
        <w:tab/>
        <w:t>1.</w:t>
      </w:r>
      <w:r>
        <w:tab/>
      </w:r>
      <w:r w:rsidR="0013177C">
        <w:t>Chapter 2.1</w:t>
      </w:r>
      <w:r w:rsidR="00457FD0">
        <w:t xml:space="preserve">, </w:t>
      </w:r>
      <w:r w:rsidR="00BF02F8">
        <w:t>paragraph 2.1.2.1 starting with “The divisions are as follows:”</w:t>
      </w:r>
    </w:p>
    <w:p w14:paraId="12D78A49" w14:textId="6FDA4ED5" w:rsidR="00BF02F8" w:rsidRDefault="00BF02F8" w:rsidP="0091363D">
      <w:pPr>
        <w:pStyle w:val="H56G"/>
        <w:rPr>
          <w:rStyle w:val="SingleTxtGCar"/>
        </w:rPr>
      </w:pPr>
      <w:r w:rsidRPr="00BF02F8">
        <w:rPr>
          <w:rStyle w:val="SingleTxtGCar"/>
        </w:rPr>
        <w:tab/>
      </w:r>
      <w:r>
        <w:rPr>
          <w:rStyle w:val="SingleTxtGCar"/>
        </w:rPr>
        <w:tab/>
      </w:r>
      <w:r w:rsidR="003A2461">
        <w:rPr>
          <w:rStyle w:val="SingleTxtGCar"/>
        </w:rPr>
        <w:t xml:space="preserve">The </w:t>
      </w:r>
      <w:r w:rsidR="00830ECC">
        <w:rPr>
          <w:rStyle w:val="SingleTxtGCar"/>
        </w:rPr>
        <w:t xml:space="preserve">paragraph number </w:t>
      </w:r>
      <w:r w:rsidR="003A2461" w:rsidRPr="003A2461">
        <w:rPr>
          <w:rStyle w:val="SingleTxtGCar"/>
          <w:i/>
          <w:iCs/>
        </w:rPr>
        <w:t>should read</w:t>
      </w:r>
      <w:r w:rsidR="003A2461">
        <w:rPr>
          <w:rStyle w:val="SingleTxtGCar"/>
        </w:rPr>
        <w:t xml:space="preserve"> </w:t>
      </w:r>
      <w:r>
        <w:rPr>
          <w:rStyle w:val="SingleTxtGCar"/>
        </w:rPr>
        <w:t>2.1.2.2</w:t>
      </w:r>
    </w:p>
    <w:p w14:paraId="4F7B67FD" w14:textId="29221177" w:rsidR="00830ECC" w:rsidRDefault="0091363D" w:rsidP="0091363D">
      <w:pPr>
        <w:pStyle w:val="H56G"/>
        <w:rPr>
          <w:rStyle w:val="SingleTxtGCar"/>
        </w:rPr>
      </w:pPr>
      <w:r>
        <w:rPr>
          <w:rStyle w:val="SingleTxtGCar"/>
        </w:rPr>
        <w:tab/>
      </w:r>
      <w:r w:rsidR="00830ECC" w:rsidRPr="0091363D">
        <w:rPr>
          <w:rStyle w:val="SingleTxtGCar"/>
        </w:rPr>
        <w:tab/>
      </w:r>
      <w:r w:rsidRPr="002D6FAA">
        <w:rPr>
          <w:rStyle w:val="SingleTxtGCar"/>
        </w:rPr>
        <w:t>In Note 3</w:t>
      </w:r>
      <w:r w:rsidR="001F1BEB" w:rsidRPr="002D6FAA">
        <w:rPr>
          <w:rStyle w:val="SingleTxtGCar"/>
        </w:rPr>
        <w:t xml:space="preserve">, first sentence, </w:t>
      </w:r>
      <w:r w:rsidR="001F1BEB" w:rsidRPr="002D6FAA">
        <w:rPr>
          <w:rStyle w:val="SingleTxtGCar"/>
          <w:i/>
          <w:iCs/>
        </w:rPr>
        <w:t xml:space="preserve">for </w:t>
      </w:r>
      <w:r w:rsidR="001F1BEB" w:rsidRPr="002D6FAA">
        <w:rPr>
          <w:rStyle w:val="SingleTxtGCar"/>
        </w:rPr>
        <w:t xml:space="preserve">test on solid substances or mixtures </w:t>
      </w:r>
      <w:r w:rsidR="001F1BEB" w:rsidRPr="002D6FAA">
        <w:rPr>
          <w:rStyle w:val="SingleTxtGCar"/>
          <w:i/>
          <w:iCs/>
        </w:rPr>
        <w:t>read</w:t>
      </w:r>
      <w:r w:rsidR="001F1BEB" w:rsidRPr="002D6FAA">
        <w:rPr>
          <w:rStyle w:val="SingleTxtGCar"/>
        </w:rPr>
        <w:t xml:space="preserve"> </w:t>
      </w:r>
      <w:r w:rsidR="004C54A2" w:rsidRPr="002D6FAA">
        <w:rPr>
          <w:rStyle w:val="SingleTxtGCar"/>
        </w:rPr>
        <w:t xml:space="preserve">test on explosive substances </w:t>
      </w:r>
      <w:r w:rsidR="00204EFB" w:rsidRPr="002D6FAA">
        <w:rPr>
          <w:rStyle w:val="SingleTxtGCar"/>
        </w:rPr>
        <w:t>or</w:t>
      </w:r>
      <w:r w:rsidR="004C54A2" w:rsidRPr="002D6FAA">
        <w:rPr>
          <w:rStyle w:val="SingleTxtGCar"/>
        </w:rPr>
        <w:t xml:space="preserve"> mixtures</w:t>
      </w:r>
    </w:p>
    <w:p w14:paraId="6C77AEE6" w14:textId="1054F2C0" w:rsidR="001701DF" w:rsidRDefault="0078799B" w:rsidP="0078799B">
      <w:pPr>
        <w:pStyle w:val="H23G"/>
      </w:pPr>
      <w:r>
        <w:tab/>
      </w:r>
      <w:r w:rsidR="00DD4D89">
        <w:tab/>
        <w:t>2.</w:t>
      </w:r>
      <w:r>
        <w:tab/>
      </w:r>
      <w:r w:rsidR="00010E43">
        <w:t xml:space="preserve">Chapter 2.1, table 2.1.2, </w:t>
      </w:r>
      <w:r>
        <w:t xml:space="preserve">Note </w:t>
      </w:r>
    </w:p>
    <w:p w14:paraId="2838AFD2" w14:textId="6E40C9F2" w:rsidR="0078799B" w:rsidRDefault="0078799B" w:rsidP="00237E23">
      <w:pPr>
        <w:pStyle w:val="H56G"/>
        <w:rPr>
          <w:rStyle w:val="SingleTxtGCar"/>
        </w:rPr>
      </w:pPr>
      <w:r w:rsidRPr="00237E23">
        <w:rPr>
          <w:rStyle w:val="SingleTxtGCar"/>
        </w:rPr>
        <w:tab/>
      </w:r>
      <w:r w:rsidR="00237E23">
        <w:rPr>
          <w:rStyle w:val="SingleTxtGCar"/>
        </w:rPr>
        <w:tab/>
      </w:r>
      <w:r w:rsidR="00B765C6" w:rsidRPr="00237E23">
        <w:rPr>
          <w:rStyle w:val="SingleTxtGCar"/>
        </w:rPr>
        <w:t xml:space="preserve">In the last sentence </w:t>
      </w:r>
      <w:r w:rsidR="00B765C6" w:rsidRPr="00237E23">
        <w:rPr>
          <w:rStyle w:val="SingleTxtGCar"/>
          <w:i/>
          <w:iCs/>
        </w:rPr>
        <w:t xml:space="preserve">for </w:t>
      </w:r>
      <w:r w:rsidR="00B765C6" w:rsidRPr="00237E23">
        <w:rPr>
          <w:rStyle w:val="SingleTxtGCar"/>
        </w:rPr>
        <w:t xml:space="preserve">and </w:t>
      </w:r>
      <w:proofErr w:type="spellStart"/>
      <w:r w:rsidR="00B765C6" w:rsidRPr="00237E23">
        <w:rPr>
          <w:rStyle w:val="SingleTxtGCar"/>
        </w:rPr>
        <w:t>and</w:t>
      </w:r>
      <w:proofErr w:type="spellEnd"/>
      <w:r w:rsidR="00B765C6" w:rsidRPr="00237E23">
        <w:rPr>
          <w:rStyle w:val="SingleTxtGCar"/>
        </w:rPr>
        <w:t xml:space="preserve"> Sec</w:t>
      </w:r>
      <w:r w:rsidR="00237E23" w:rsidRPr="00237E23">
        <w:rPr>
          <w:rStyle w:val="SingleTxtGCar"/>
        </w:rPr>
        <w:t xml:space="preserve">tion 9 </w:t>
      </w:r>
      <w:r w:rsidR="00237E23" w:rsidRPr="00237E23">
        <w:rPr>
          <w:rStyle w:val="SingleTxtGCar"/>
          <w:i/>
          <w:iCs/>
        </w:rPr>
        <w:t>read</w:t>
      </w:r>
      <w:r w:rsidR="00237E23" w:rsidRPr="00237E23">
        <w:rPr>
          <w:rStyle w:val="SingleTxtGCar"/>
        </w:rPr>
        <w:t xml:space="preserve"> and Section 9</w:t>
      </w:r>
    </w:p>
    <w:p w14:paraId="2B0F3870" w14:textId="25F1591D" w:rsidR="0086413C" w:rsidRDefault="008710A5" w:rsidP="008710A5">
      <w:pPr>
        <w:pStyle w:val="H23G"/>
      </w:pPr>
      <w:r>
        <w:tab/>
      </w:r>
      <w:r w:rsidR="00DD4D89">
        <w:tab/>
        <w:t>3.</w:t>
      </w:r>
      <w:r>
        <w:tab/>
        <w:t>Chapter 3.3, decision logic 3.3.1</w:t>
      </w:r>
      <w:r w:rsidR="0086413C">
        <w:t xml:space="preserve">, third text box from the top on the </w:t>
      </w:r>
      <w:r w:rsidR="006131E7">
        <w:t>right-hand</w:t>
      </w:r>
      <w:r w:rsidR="0086413C">
        <w:t xml:space="preserve"> side</w:t>
      </w:r>
    </w:p>
    <w:p w14:paraId="46904D89" w14:textId="4412925F" w:rsidR="00237E23" w:rsidRDefault="00AA0B0C" w:rsidP="00AA0B0C">
      <w:pPr>
        <w:pStyle w:val="H56G"/>
        <w:rPr>
          <w:rStyle w:val="SingleTxtGCar"/>
        </w:rPr>
      </w:pPr>
      <w:r>
        <w:rPr>
          <w:rStyle w:val="SingleTxtGCar"/>
        </w:rPr>
        <w:tab/>
      </w:r>
      <w:r>
        <w:rPr>
          <w:rStyle w:val="SingleTxtGCar"/>
        </w:rPr>
        <w:tab/>
      </w:r>
      <w:r w:rsidR="0086413C" w:rsidRPr="00AA0B0C">
        <w:rPr>
          <w:rStyle w:val="SingleTxtGCar"/>
          <w:i/>
          <w:iCs/>
        </w:rPr>
        <w:t>For</w:t>
      </w:r>
      <w:r w:rsidR="0086413C" w:rsidRPr="00AA0B0C">
        <w:rPr>
          <w:rStyle w:val="SingleTxtGCar"/>
        </w:rPr>
        <w:t xml:space="preserve"> </w:t>
      </w:r>
      <w:r w:rsidRPr="00AA0B0C">
        <w:rPr>
          <w:rStyle w:val="SingleTxtGCar"/>
        </w:rPr>
        <w:t xml:space="preserve">See decision logic 3.2.2 </w:t>
      </w:r>
      <w:r w:rsidRPr="00AA0B0C">
        <w:rPr>
          <w:rStyle w:val="SingleTxtGCar"/>
          <w:i/>
          <w:iCs/>
        </w:rPr>
        <w:t xml:space="preserve">read </w:t>
      </w:r>
      <w:r w:rsidRPr="00AA0B0C">
        <w:rPr>
          <w:rStyle w:val="SingleTxtGCar"/>
        </w:rPr>
        <w:t>See decision logic 3.3.2</w:t>
      </w:r>
    </w:p>
    <w:p w14:paraId="2DF145BA" w14:textId="36F46B34" w:rsidR="005C1CDA" w:rsidRDefault="006131E7" w:rsidP="00B72EDA">
      <w:pPr>
        <w:pStyle w:val="H23G"/>
      </w:pPr>
      <w:r w:rsidRPr="00B72EDA">
        <w:tab/>
      </w:r>
      <w:r w:rsidR="00DD4D89">
        <w:tab/>
        <w:t>4.</w:t>
      </w:r>
      <w:r w:rsidRPr="00B72EDA">
        <w:tab/>
        <w:t xml:space="preserve">Chapter </w:t>
      </w:r>
      <w:r w:rsidR="000057E7" w:rsidRPr="00B72EDA">
        <w:t xml:space="preserve">3.7, decision logic 3.7.4, </w:t>
      </w:r>
      <w:r w:rsidR="005C1CDA">
        <w:t>“Modified classification on a case-by-case basis”</w:t>
      </w:r>
      <w:r w:rsidR="00100E98">
        <w:t xml:space="preserve">, question </w:t>
      </w:r>
      <w:r w:rsidR="00100E98" w:rsidRPr="00100E98">
        <w:t>“Can bridging principles be applied?”</w:t>
      </w:r>
    </w:p>
    <w:p w14:paraId="178626DF" w14:textId="0127D588" w:rsidR="006131E7" w:rsidRDefault="005C1CDA" w:rsidP="00B72EDA">
      <w:pPr>
        <w:pStyle w:val="H23G"/>
        <w:rPr>
          <w:b w:val="0"/>
          <w:bCs/>
          <w:vertAlign w:val="superscript"/>
        </w:rPr>
      </w:pPr>
      <w:r>
        <w:tab/>
      </w:r>
      <w:r>
        <w:tab/>
      </w:r>
      <w:r w:rsidR="00D642DD" w:rsidRPr="00D642DD">
        <w:rPr>
          <w:b w:val="0"/>
          <w:bCs/>
          <w:i/>
          <w:iCs/>
        </w:rPr>
        <w:t>For</w:t>
      </w:r>
      <w:r w:rsidR="00D642DD">
        <w:t xml:space="preserve"> </w:t>
      </w:r>
      <w:r w:rsidR="00B72EDA" w:rsidRPr="005C1CDA">
        <w:rPr>
          <w:b w:val="0"/>
          <w:bCs/>
        </w:rPr>
        <w:t>applied</w:t>
      </w:r>
      <w:r>
        <w:rPr>
          <w:b w:val="0"/>
          <w:bCs/>
        </w:rPr>
        <w:t>?</w:t>
      </w:r>
      <w:r w:rsidRPr="00587C10">
        <w:rPr>
          <w:b w:val="0"/>
          <w:bCs/>
          <w:vertAlign w:val="superscript"/>
        </w:rPr>
        <w:t>2</w:t>
      </w:r>
      <w:r w:rsidR="00587C10">
        <w:rPr>
          <w:b w:val="0"/>
          <w:bCs/>
        </w:rPr>
        <w:t xml:space="preserve"> </w:t>
      </w:r>
      <w:r w:rsidR="00587C10" w:rsidRPr="00587C10">
        <w:rPr>
          <w:b w:val="0"/>
          <w:bCs/>
          <w:i/>
          <w:iCs/>
        </w:rPr>
        <w:t>read</w:t>
      </w:r>
      <w:r w:rsidR="005A7BA3" w:rsidRPr="005A7BA3">
        <w:rPr>
          <w:b w:val="0"/>
          <w:bCs/>
        </w:rPr>
        <w:t xml:space="preserve"> </w:t>
      </w:r>
      <w:r w:rsidR="005A7BA3" w:rsidRPr="005C1CDA">
        <w:rPr>
          <w:b w:val="0"/>
          <w:bCs/>
        </w:rPr>
        <w:t>applied</w:t>
      </w:r>
      <w:r w:rsidR="005A7BA3">
        <w:rPr>
          <w:b w:val="0"/>
          <w:bCs/>
        </w:rPr>
        <w:t>?</w:t>
      </w:r>
      <w:r w:rsidR="005A7BA3">
        <w:rPr>
          <w:b w:val="0"/>
          <w:bCs/>
          <w:vertAlign w:val="superscript"/>
        </w:rPr>
        <w:t>3</w:t>
      </w:r>
    </w:p>
    <w:p w14:paraId="4E741745" w14:textId="59C1702C" w:rsidR="00B57F0C" w:rsidRDefault="00B57F0C" w:rsidP="00B57F0C">
      <w:pPr>
        <w:pStyle w:val="H23G"/>
      </w:pPr>
      <w:r w:rsidRPr="00B72EDA">
        <w:tab/>
      </w:r>
      <w:r w:rsidR="00DD4D89">
        <w:tab/>
        <w:t>5.</w:t>
      </w:r>
      <w:r w:rsidRPr="00B72EDA">
        <w:tab/>
      </w:r>
      <w:r>
        <w:t>Annex 1</w:t>
      </w:r>
      <w:r w:rsidRPr="00B72EDA">
        <w:t>,</w:t>
      </w:r>
      <w:r w:rsidR="00F711B1">
        <w:t xml:space="preserve"> table A1.1, column “UN Model Regulations pictogram</w:t>
      </w:r>
      <w:r w:rsidR="00BA423A">
        <w:t>”</w:t>
      </w:r>
    </w:p>
    <w:p w14:paraId="57FCC767" w14:textId="177A9FB9" w:rsidR="00BA423A" w:rsidRDefault="00BA423A" w:rsidP="00BA423A"/>
    <w:tbl>
      <w:tblPr>
        <w:tblStyle w:val="TableGrid"/>
        <w:tblW w:w="0" w:type="auto"/>
        <w:tblInd w:w="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851"/>
        <w:gridCol w:w="1875"/>
      </w:tblGrid>
      <w:tr w:rsidR="0003541C" w14:paraId="7C590F59" w14:textId="77777777" w:rsidTr="001535F6">
        <w:tc>
          <w:tcPr>
            <w:tcW w:w="421" w:type="dxa"/>
            <w:vAlign w:val="center"/>
          </w:tcPr>
          <w:p w14:paraId="3531EEC7" w14:textId="22A77654" w:rsidR="0003541C" w:rsidRPr="0003541C" w:rsidRDefault="0003541C" w:rsidP="0030425E">
            <w:pPr>
              <w:jc w:val="center"/>
              <w:rPr>
                <w:i/>
                <w:iCs/>
              </w:rPr>
            </w:pPr>
            <w:r w:rsidRPr="0003541C">
              <w:rPr>
                <w:i/>
                <w:iCs/>
              </w:rPr>
              <w:t>For</w:t>
            </w:r>
          </w:p>
        </w:tc>
        <w:tc>
          <w:tcPr>
            <w:tcW w:w="1701" w:type="dxa"/>
          </w:tcPr>
          <w:p w14:paraId="57A219AA" w14:textId="40852625" w:rsidR="0003541C" w:rsidRDefault="00D25E5E" w:rsidP="00BA423A">
            <w:r w:rsidRPr="00D25E5E">
              <w:rPr>
                <w:noProof/>
              </w:rPr>
              <w:drawing>
                <wp:inline distT="0" distB="0" distL="0" distR="0" wp14:anchorId="1C2CC14A" wp14:editId="1B7DB493">
                  <wp:extent cx="971550" cy="895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00BF72A4" w14:textId="633CE050" w:rsidR="0003541C" w:rsidRPr="0030425E" w:rsidRDefault="0030425E" w:rsidP="0030425E">
            <w:pPr>
              <w:jc w:val="center"/>
              <w:rPr>
                <w:i/>
                <w:iCs/>
              </w:rPr>
            </w:pPr>
            <w:r w:rsidRPr="0030425E">
              <w:rPr>
                <w:i/>
                <w:iCs/>
              </w:rPr>
              <w:t>read</w:t>
            </w:r>
          </w:p>
        </w:tc>
        <w:tc>
          <w:tcPr>
            <w:tcW w:w="1875" w:type="dxa"/>
            <w:vAlign w:val="center"/>
          </w:tcPr>
          <w:p w14:paraId="4B9DB5EC" w14:textId="205EBC2C" w:rsidR="0003541C" w:rsidRDefault="0030425E" w:rsidP="00246106">
            <w:pPr>
              <w:jc w:val="center"/>
            </w:pPr>
            <w:r w:rsidRPr="00750570">
              <w:rPr>
                <w:rFonts w:asciiTheme="majorBidi" w:hAnsiTheme="majorBidi" w:cstheme="majorBidi"/>
                <w:noProof/>
                <w:sz w:val="18"/>
                <w:szCs w:val="18"/>
                <w:lang w:val="es-ES" w:eastAsia="sv-SE"/>
              </w:rPr>
              <w:drawing>
                <wp:inline distT="0" distB="0" distL="0" distR="0" wp14:anchorId="6D65B13C" wp14:editId="4EBCEF33">
                  <wp:extent cx="914400" cy="895350"/>
                  <wp:effectExtent l="0" t="0" r="0" b="0"/>
                  <wp:docPr id="90" name="Graphic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69"/>
                          <pic:cNvPicPr/>
                        </pic:nvPicPr>
                        <pic:blipFill rotWithShape="1">
                          <a:blip r:embed="rId12"/>
                          <a:srcRect l="11188" t="11122" r="9638" b="10101"/>
                          <a:stretch/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E45DC" w14:textId="13DAF7F8" w:rsidR="00BA423A" w:rsidRDefault="00BA423A" w:rsidP="00BA423A"/>
    <w:p w14:paraId="2621B822" w14:textId="7A307AE7" w:rsidR="00D5792B" w:rsidRDefault="00D5792B" w:rsidP="00D5792B">
      <w:pPr>
        <w:ind w:left="720" w:firstLine="414"/>
        <w:rPr>
          <w:rStyle w:val="SingleTxtGCar"/>
          <w:i/>
          <w:iCs/>
        </w:rPr>
      </w:pPr>
      <w:r>
        <w:rPr>
          <w:rStyle w:val="SingleTxtGCar"/>
          <w:i/>
          <w:iCs/>
        </w:rPr>
        <w:br w:type="page"/>
      </w:r>
    </w:p>
    <w:p w14:paraId="7C014022" w14:textId="5F14C52F" w:rsidR="00BA423A" w:rsidRPr="00D5792B" w:rsidRDefault="00D5792B" w:rsidP="00D5792B">
      <w:pPr>
        <w:pStyle w:val="H1G"/>
      </w:pPr>
      <w:r>
        <w:lastRenderedPageBreak/>
        <w:tab/>
      </w:r>
      <w:r>
        <w:tab/>
      </w:r>
      <w:r w:rsidRPr="00D5792B">
        <w:t>French version</w:t>
      </w:r>
    </w:p>
    <w:p w14:paraId="72087EB6" w14:textId="1A20B8E2" w:rsidR="001321F1" w:rsidRDefault="001321F1" w:rsidP="001321F1">
      <w:pPr>
        <w:pStyle w:val="H23G"/>
      </w:pPr>
      <w:r>
        <w:tab/>
      </w:r>
      <w:r>
        <w:tab/>
        <w:t>1.</w:t>
      </w:r>
      <w:r>
        <w:tab/>
      </w:r>
      <w:proofErr w:type="spellStart"/>
      <w:r>
        <w:t>Chapitre</w:t>
      </w:r>
      <w:proofErr w:type="spellEnd"/>
      <w:r>
        <w:t xml:space="preserve"> 2.1</w:t>
      </w:r>
      <w:r w:rsidR="00237B63">
        <w:t xml:space="preserve">, </w:t>
      </w:r>
      <w:proofErr w:type="spellStart"/>
      <w:r w:rsidR="00237B63">
        <w:t>paragraphe</w:t>
      </w:r>
      <w:proofErr w:type="spellEnd"/>
      <w:r w:rsidR="00F82114">
        <w:t xml:space="preserve"> 2.1.2.2</w:t>
      </w:r>
    </w:p>
    <w:p w14:paraId="4AF20FFE" w14:textId="31220280" w:rsidR="001321F1" w:rsidRDefault="001321F1" w:rsidP="001321F1">
      <w:pPr>
        <w:pStyle w:val="H56G"/>
        <w:rPr>
          <w:rStyle w:val="SingleTxtGCar"/>
        </w:rPr>
      </w:pPr>
      <w:r w:rsidRPr="00BF02F8">
        <w:rPr>
          <w:rStyle w:val="SingleTxtGCar"/>
        </w:rPr>
        <w:tab/>
      </w:r>
      <w:r>
        <w:rPr>
          <w:rStyle w:val="SingleTxtGCar"/>
        </w:rPr>
        <w:tab/>
        <w:t xml:space="preserve">La correction au </w:t>
      </w:r>
      <w:proofErr w:type="spellStart"/>
      <w:r>
        <w:rPr>
          <w:rStyle w:val="SingleTxtGCar"/>
        </w:rPr>
        <w:t>numéro</w:t>
      </w:r>
      <w:proofErr w:type="spellEnd"/>
      <w:r>
        <w:rPr>
          <w:rStyle w:val="SingleTxtGCar"/>
        </w:rPr>
        <w:t xml:space="preserve"> de </w:t>
      </w:r>
      <w:proofErr w:type="spellStart"/>
      <w:r>
        <w:rPr>
          <w:rStyle w:val="SingleTxtGCar"/>
        </w:rPr>
        <w:t>paragraphe</w:t>
      </w:r>
      <w:proofErr w:type="spellEnd"/>
      <w:r>
        <w:rPr>
          <w:rStyle w:val="SingleTxtGCar"/>
        </w:rPr>
        <w:t xml:space="preserve"> </w:t>
      </w:r>
      <w:proofErr w:type="spellStart"/>
      <w:r>
        <w:rPr>
          <w:rStyle w:val="SingleTxtGCar"/>
        </w:rPr>
        <w:t>est</w:t>
      </w:r>
      <w:proofErr w:type="spellEnd"/>
      <w:r>
        <w:rPr>
          <w:rStyle w:val="SingleTxtGCar"/>
        </w:rPr>
        <w:t xml:space="preserve"> sans </w:t>
      </w:r>
      <w:proofErr w:type="spellStart"/>
      <w:r>
        <w:rPr>
          <w:rStyle w:val="SingleTxtGCar"/>
        </w:rPr>
        <w:t>objet</w:t>
      </w:r>
      <w:proofErr w:type="spellEnd"/>
      <w:r>
        <w:rPr>
          <w:rStyle w:val="SingleTxtGCar"/>
        </w:rPr>
        <w:t xml:space="preserve"> </w:t>
      </w:r>
      <w:proofErr w:type="spellStart"/>
      <w:r>
        <w:rPr>
          <w:rStyle w:val="SingleTxtGCar"/>
        </w:rPr>
        <w:t>en</w:t>
      </w:r>
      <w:proofErr w:type="spellEnd"/>
      <w:r>
        <w:rPr>
          <w:rStyle w:val="SingleTxtGCar"/>
        </w:rPr>
        <w:t xml:space="preserve"> </w:t>
      </w:r>
      <w:proofErr w:type="spellStart"/>
      <w:r>
        <w:rPr>
          <w:rStyle w:val="SingleTxtGCar"/>
        </w:rPr>
        <w:t>français</w:t>
      </w:r>
      <w:proofErr w:type="spellEnd"/>
      <w:r>
        <w:rPr>
          <w:rStyle w:val="SingleTxtGCar"/>
        </w:rPr>
        <w:t>.</w:t>
      </w:r>
    </w:p>
    <w:p w14:paraId="0D6F345A" w14:textId="3098738E" w:rsidR="00513597" w:rsidRDefault="001321F1" w:rsidP="001321F1">
      <w:pPr>
        <w:pStyle w:val="H56G"/>
        <w:rPr>
          <w:rStyle w:val="SingleTxtGCar"/>
        </w:rPr>
      </w:pPr>
      <w:r>
        <w:rPr>
          <w:rStyle w:val="SingleTxtGCar"/>
        </w:rPr>
        <w:tab/>
      </w:r>
      <w:r w:rsidRPr="0091363D">
        <w:rPr>
          <w:rStyle w:val="SingleTxtGCar"/>
        </w:rPr>
        <w:tab/>
      </w:r>
      <w:r w:rsidR="00513597">
        <w:rPr>
          <w:rStyle w:val="SingleTxtGCar"/>
        </w:rPr>
        <w:t>Au nota 3, première phrase</w:t>
      </w:r>
      <w:r w:rsidRPr="002D6FAA">
        <w:rPr>
          <w:rStyle w:val="SingleTxtGCar"/>
        </w:rPr>
        <w:t xml:space="preserve">, </w:t>
      </w:r>
      <w:r w:rsidR="00F82114" w:rsidRPr="00F82114">
        <w:rPr>
          <w:rStyle w:val="SingleTxtGCar"/>
          <w:i/>
          <w:iCs/>
        </w:rPr>
        <w:t>au lieu de</w:t>
      </w:r>
      <w:r w:rsidR="00F82114">
        <w:rPr>
          <w:rStyle w:val="SingleTxtGCar"/>
        </w:rPr>
        <w:t xml:space="preserve"> </w:t>
      </w:r>
      <w:proofErr w:type="spellStart"/>
      <w:r w:rsidR="003543A4" w:rsidRPr="003543A4">
        <w:rPr>
          <w:rStyle w:val="SingleTxtGCar"/>
        </w:rPr>
        <w:t>En</w:t>
      </w:r>
      <w:proofErr w:type="spellEnd"/>
      <w:r w:rsidR="003543A4" w:rsidRPr="003543A4">
        <w:rPr>
          <w:rStyle w:val="SingleTxtGCar"/>
        </w:rPr>
        <w:t xml:space="preserve"> </w:t>
      </w:r>
      <w:proofErr w:type="spellStart"/>
      <w:r w:rsidR="003543A4" w:rsidRPr="003543A4">
        <w:rPr>
          <w:rStyle w:val="SingleTxtGCar"/>
        </w:rPr>
        <w:t>ce</w:t>
      </w:r>
      <w:proofErr w:type="spellEnd"/>
      <w:r w:rsidR="003543A4" w:rsidRPr="003543A4">
        <w:rPr>
          <w:rStyle w:val="SingleTxtGCar"/>
        </w:rPr>
        <w:t xml:space="preserve"> qui </w:t>
      </w:r>
      <w:proofErr w:type="spellStart"/>
      <w:r w:rsidR="003543A4" w:rsidRPr="003543A4">
        <w:rPr>
          <w:rStyle w:val="SingleTxtGCar"/>
        </w:rPr>
        <w:t>concerne</w:t>
      </w:r>
      <w:proofErr w:type="spellEnd"/>
      <w:r w:rsidR="003543A4" w:rsidRPr="003543A4">
        <w:rPr>
          <w:rStyle w:val="SingleTxtGCar"/>
        </w:rPr>
        <w:t xml:space="preserve"> les matières </w:t>
      </w:r>
      <w:proofErr w:type="spellStart"/>
      <w:r w:rsidR="003543A4" w:rsidRPr="003543A4">
        <w:rPr>
          <w:rStyle w:val="SingleTxtGCar"/>
        </w:rPr>
        <w:t>solides</w:t>
      </w:r>
      <w:proofErr w:type="spellEnd"/>
      <w:r w:rsidR="003543A4">
        <w:rPr>
          <w:rStyle w:val="SingleTxtGCar"/>
          <w:i/>
          <w:iCs/>
        </w:rPr>
        <w:t xml:space="preserve"> lire</w:t>
      </w:r>
      <w:r w:rsidR="003543A4" w:rsidRPr="003543A4">
        <w:rPr>
          <w:rStyle w:val="Heading1Char"/>
        </w:rPr>
        <w:t xml:space="preserve"> </w:t>
      </w:r>
      <w:proofErr w:type="spellStart"/>
      <w:r w:rsidR="003543A4" w:rsidRPr="003543A4">
        <w:rPr>
          <w:rStyle w:val="SingleTxtGCar"/>
        </w:rPr>
        <w:t>En</w:t>
      </w:r>
      <w:proofErr w:type="spellEnd"/>
      <w:r w:rsidR="003543A4" w:rsidRPr="003543A4">
        <w:rPr>
          <w:rStyle w:val="SingleTxtGCar"/>
        </w:rPr>
        <w:t xml:space="preserve"> </w:t>
      </w:r>
      <w:proofErr w:type="spellStart"/>
      <w:r w:rsidR="003543A4" w:rsidRPr="003543A4">
        <w:rPr>
          <w:rStyle w:val="SingleTxtGCar"/>
        </w:rPr>
        <w:t>ce</w:t>
      </w:r>
      <w:proofErr w:type="spellEnd"/>
      <w:r w:rsidR="003543A4" w:rsidRPr="003543A4">
        <w:rPr>
          <w:rStyle w:val="SingleTxtGCar"/>
        </w:rPr>
        <w:t xml:space="preserve"> qui </w:t>
      </w:r>
      <w:proofErr w:type="spellStart"/>
      <w:r w:rsidR="003543A4" w:rsidRPr="003543A4">
        <w:rPr>
          <w:rStyle w:val="SingleTxtGCar"/>
        </w:rPr>
        <w:t>concerne</w:t>
      </w:r>
      <w:proofErr w:type="spellEnd"/>
      <w:r w:rsidR="003543A4" w:rsidRPr="003543A4">
        <w:rPr>
          <w:rStyle w:val="SingleTxtGCar"/>
        </w:rPr>
        <w:t xml:space="preserve"> les matières </w:t>
      </w:r>
      <w:proofErr w:type="spellStart"/>
      <w:r w:rsidR="003543A4">
        <w:rPr>
          <w:rStyle w:val="SingleTxtGCar"/>
        </w:rPr>
        <w:t>explosibles</w:t>
      </w:r>
      <w:proofErr w:type="spellEnd"/>
    </w:p>
    <w:p w14:paraId="47A107E6" w14:textId="67F4908F" w:rsidR="001321F1" w:rsidRDefault="001321F1" w:rsidP="001321F1">
      <w:pPr>
        <w:pStyle w:val="H23G"/>
      </w:pPr>
      <w:r>
        <w:tab/>
      </w:r>
      <w:r>
        <w:tab/>
        <w:t>2.</w:t>
      </w:r>
      <w:r>
        <w:tab/>
      </w:r>
      <w:proofErr w:type="spellStart"/>
      <w:r>
        <w:t>Chap</w:t>
      </w:r>
      <w:r w:rsidR="00554293">
        <w:t>i</w:t>
      </w:r>
      <w:r>
        <w:t>tr</w:t>
      </w:r>
      <w:r w:rsidR="00554293">
        <w:t>e</w:t>
      </w:r>
      <w:proofErr w:type="spellEnd"/>
      <w:r>
        <w:t xml:space="preserve"> 2.1, table</w:t>
      </w:r>
      <w:r w:rsidR="00554293">
        <w:t>au</w:t>
      </w:r>
      <w:r>
        <w:t xml:space="preserve"> 2.1.2, Not</w:t>
      </w:r>
      <w:r w:rsidR="00554293">
        <w:t>a</w:t>
      </w:r>
      <w:r>
        <w:t xml:space="preserve"> </w:t>
      </w:r>
    </w:p>
    <w:p w14:paraId="07B8E324" w14:textId="2032899F" w:rsidR="001321F1" w:rsidRDefault="001321F1" w:rsidP="001321F1">
      <w:pPr>
        <w:pStyle w:val="H56G"/>
        <w:rPr>
          <w:rStyle w:val="SingleTxtGCar"/>
        </w:rPr>
      </w:pPr>
      <w:r w:rsidRPr="00237E23">
        <w:rPr>
          <w:rStyle w:val="SingleTxtGCar"/>
        </w:rPr>
        <w:tab/>
      </w:r>
      <w:r>
        <w:rPr>
          <w:rStyle w:val="SingleTxtGCar"/>
        </w:rPr>
        <w:tab/>
      </w:r>
      <w:r w:rsidR="00554293">
        <w:rPr>
          <w:rStyle w:val="SingleTxtGCar"/>
        </w:rPr>
        <w:t xml:space="preserve">Correction sans </w:t>
      </w:r>
      <w:proofErr w:type="spellStart"/>
      <w:r w:rsidR="00554293">
        <w:rPr>
          <w:rStyle w:val="SingleTxtGCar"/>
        </w:rPr>
        <w:t>objet</w:t>
      </w:r>
      <w:proofErr w:type="spellEnd"/>
      <w:r w:rsidR="00554293">
        <w:rPr>
          <w:rStyle w:val="SingleTxtGCar"/>
        </w:rPr>
        <w:t xml:space="preserve"> </w:t>
      </w:r>
      <w:proofErr w:type="spellStart"/>
      <w:r w:rsidR="00554293">
        <w:rPr>
          <w:rStyle w:val="SingleTxtGCar"/>
        </w:rPr>
        <w:t>en</w:t>
      </w:r>
      <w:proofErr w:type="spellEnd"/>
      <w:r w:rsidR="00554293">
        <w:rPr>
          <w:rStyle w:val="SingleTxtGCar"/>
        </w:rPr>
        <w:t xml:space="preserve"> </w:t>
      </w:r>
      <w:proofErr w:type="spellStart"/>
      <w:r w:rsidR="00554293">
        <w:rPr>
          <w:rStyle w:val="SingleTxtGCar"/>
        </w:rPr>
        <w:t>français</w:t>
      </w:r>
      <w:proofErr w:type="spellEnd"/>
    </w:p>
    <w:p w14:paraId="5AEE94B9" w14:textId="7EFE28E6" w:rsidR="001321F1" w:rsidRDefault="001321F1" w:rsidP="00CA3A63">
      <w:pPr>
        <w:pStyle w:val="H23G"/>
      </w:pPr>
      <w:r>
        <w:tab/>
      </w:r>
      <w:r>
        <w:tab/>
        <w:t>3.</w:t>
      </w:r>
      <w:r>
        <w:tab/>
      </w:r>
      <w:proofErr w:type="spellStart"/>
      <w:r>
        <w:t>Chap</w:t>
      </w:r>
      <w:r w:rsidR="00554293">
        <w:t>i</w:t>
      </w:r>
      <w:r>
        <w:t>tr</w:t>
      </w:r>
      <w:r w:rsidR="00554293">
        <w:t>e</w:t>
      </w:r>
      <w:proofErr w:type="spellEnd"/>
      <w:r>
        <w:t xml:space="preserve"> 3.3, </w:t>
      </w:r>
      <w:proofErr w:type="spellStart"/>
      <w:r w:rsidR="00554293">
        <w:t>diagramme</w:t>
      </w:r>
      <w:proofErr w:type="spellEnd"/>
      <w:r w:rsidR="00554293">
        <w:t xml:space="preserve"> de </w:t>
      </w:r>
      <w:proofErr w:type="spellStart"/>
      <w:r w:rsidR="00554293">
        <w:t>décision</w:t>
      </w:r>
      <w:proofErr w:type="spellEnd"/>
      <w:r>
        <w:t xml:space="preserve"> 3.3.1</w:t>
      </w:r>
      <w:r w:rsidR="005235DC">
        <w:t xml:space="preserve">, </w:t>
      </w:r>
      <w:proofErr w:type="spellStart"/>
      <w:r w:rsidR="005235DC">
        <w:t>troisième</w:t>
      </w:r>
      <w:proofErr w:type="spellEnd"/>
      <w:r w:rsidR="005235DC">
        <w:t xml:space="preserve"> </w:t>
      </w:r>
      <w:proofErr w:type="spellStart"/>
      <w:r w:rsidR="005235DC">
        <w:t>encadré</w:t>
      </w:r>
      <w:proofErr w:type="spellEnd"/>
      <w:r w:rsidR="005235DC">
        <w:t xml:space="preserve"> de </w:t>
      </w:r>
      <w:proofErr w:type="spellStart"/>
      <w:r w:rsidR="005235DC">
        <w:t>texte</w:t>
      </w:r>
      <w:proofErr w:type="spellEnd"/>
      <w:r w:rsidR="005235DC">
        <w:t xml:space="preserve"> </w:t>
      </w:r>
      <w:proofErr w:type="spellStart"/>
      <w:r w:rsidR="0006398C">
        <w:t>en</w:t>
      </w:r>
      <w:proofErr w:type="spellEnd"/>
      <w:r w:rsidR="0006398C">
        <w:t xml:space="preserve"> </w:t>
      </w:r>
      <w:proofErr w:type="spellStart"/>
      <w:r w:rsidR="0006398C">
        <w:t>partant</w:t>
      </w:r>
      <w:proofErr w:type="spellEnd"/>
      <w:r w:rsidR="0006398C">
        <w:t xml:space="preserve"> du haut à droite</w:t>
      </w:r>
    </w:p>
    <w:p w14:paraId="2E06887F" w14:textId="77777777" w:rsidR="00CA3A63" w:rsidRDefault="00CA3A63" w:rsidP="00CA3A63">
      <w:pPr>
        <w:pStyle w:val="H56G"/>
        <w:rPr>
          <w:rStyle w:val="SingleTxtGCar"/>
        </w:rPr>
      </w:pPr>
      <w:r w:rsidRPr="00237E23">
        <w:rPr>
          <w:rStyle w:val="SingleTxtGCar"/>
        </w:rPr>
        <w:tab/>
      </w:r>
      <w:r>
        <w:rPr>
          <w:rStyle w:val="SingleTxtGCar"/>
        </w:rPr>
        <w:tab/>
        <w:t xml:space="preserve">Correction sans </w:t>
      </w:r>
      <w:proofErr w:type="spellStart"/>
      <w:r>
        <w:rPr>
          <w:rStyle w:val="SingleTxtGCar"/>
        </w:rPr>
        <w:t>objet</w:t>
      </w:r>
      <w:proofErr w:type="spellEnd"/>
      <w:r>
        <w:rPr>
          <w:rStyle w:val="SingleTxtGCar"/>
        </w:rPr>
        <w:t xml:space="preserve"> </w:t>
      </w:r>
      <w:proofErr w:type="spellStart"/>
      <w:r>
        <w:rPr>
          <w:rStyle w:val="SingleTxtGCar"/>
        </w:rPr>
        <w:t>en</w:t>
      </w:r>
      <w:proofErr w:type="spellEnd"/>
      <w:r>
        <w:rPr>
          <w:rStyle w:val="SingleTxtGCar"/>
        </w:rPr>
        <w:t xml:space="preserve"> </w:t>
      </w:r>
      <w:proofErr w:type="spellStart"/>
      <w:r>
        <w:rPr>
          <w:rStyle w:val="SingleTxtGCar"/>
        </w:rPr>
        <w:t>français</w:t>
      </w:r>
      <w:proofErr w:type="spellEnd"/>
    </w:p>
    <w:p w14:paraId="750BA3D2" w14:textId="08F7202B" w:rsidR="001321F1" w:rsidRDefault="001321F1" w:rsidP="001321F1">
      <w:pPr>
        <w:pStyle w:val="H23G"/>
      </w:pPr>
      <w:r w:rsidRPr="00B72EDA">
        <w:tab/>
      </w:r>
      <w:r>
        <w:tab/>
        <w:t>4.</w:t>
      </w:r>
      <w:r w:rsidRPr="00B72EDA">
        <w:tab/>
      </w:r>
      <w:proofErr w:type="spellStart"/>
      <w:r w:rsidRPr="00B72EDA">
        <w:t>Chap</w:t>
      </w:r>
      <w:r w:rsidR="00CA3A63">
        <w:t>i</w:t>
      </w:r>
      <w:r w:rsidRPr="00B72EDA">
        <w:t>tr</w:t>
      </w:r>
      <w:r w:rsidR="00CA3A63">
        <w:t>e</w:t>
      </w:r>
      <w:proofErr w:type="spellEnd"/>
      <w:r w:rsidRPr="00B72EDA">
        <w:t xml:space="preserve"> 3.7, </w:t>
      </w:r>
      <w:proofErr w:type="spellStart"/>
      <w:r w:rsidR="00CA3A63">
        <w:t>diagramme</w:t>
      </w:r>
      <w:proofErr w:type="spellEnd"/>
      <w:r w:rsidR="00CA3A63">
        <w:t xml:space="preserve"> de </w:t>
      </w:r>
      <w:proofErr w:type="spellStart"/>
      <w:r w:rsidR="00CA3A63">
        <w:t>décision</w:t>
      </w:r>
      <w:proofErr w:type="spellEnd"/>
      <w:r w:rsidRPr="00B72EDA">
        <w:t xml:space="preserve"> 3.7.4, </w:t>
      </w:r>
      <w:r>
        <w:t>“</w:t>
      </w:r>
      <w:r w:rsidR="00AA6691">
        <w:t xml:space="preserve">Classification </w:t>
      </w:r>
      <w:proofErr w:type="spellStart"/>
      <w:r w:rsidR="00AA6691">
        <w:t>adaptée</w:t>
      </w:r>
      <w:proofErr w:type="spellEnd"/>
      <w:r w:rsidR="00AA6691">
        <w:t xml:space="preserve"> au </w:t>
      </w:r>
      <w:proofErr w:type="spellStart"/>
      <w:r w:rsidR="00AA6691">
        <w:t>cas</w:t>
      </w:r>
      <w:proofErr w:type="spellEnd"/>
      <w:r w:rsidR="00AA6691">
        <w:t xml:space="preserve"> par </w:t>
      </w:r>
      <w:proofErr w:type="spellStart"/>
      <w:r w:rsidR="00AA6691">
        <w:t>cas</w:t>
      </w:r>
      <w:proofErr w:type="spellEnd"/>
      <w:r w:rsidR="00AA6691">
        <w:t xml:space="preserve">”, </w:t>
      </w:r>
      <w:r>
        <w:t xml:space="preserve">question </w:t>
      </w:r>
      <w:r w:rsidRPr="00100E98">
        <w:t>“</w:t>
      </w:r>
      <w:r w:rsidR="00AA6691">
        <w:t xml:space="preserve">Les </w:t>
      </w:r>
      <w:proofErr w:type="spellStart"/>
      <w:r w:rsidR="00AA6691">
        <w:t>principes</w:t>
      </w:r>
      <w:proofErr w:type="spellEnd"/>
      <w:r w:rsidR="00AA6691">
        <w:t xml:space="preserve"> </w:t>
      </w:r>
      <w:proofErr w:type="spellStart"/>
      <w:r w:rsidR="00AA6691">
        <w:t>d’extrapolation</w:t>
      </w:r>
      <w:proofErr w:type="spellEnd"/>
      <w:r w:rsidR="00AA6691">
        <w:t xml:space="preserve"> </w:t>
      </w:r>
      <w:proofErr w:type="spellStart"/>
      <w:r w:rsidR="00AA6691">
        <w:t>s’appliquent-ils</w:t>
      </w:r>
      <w:proofErr w:type="spellEnd"/>
      <w:r w:rsidRPr="00100E98">
        <w:t>?”</w:t>
      </w:r>
    </w:p>
    <w:p w14:paraId="0D2240BE" w14:textId="77777777" w:rsidR="00AA6691" w:rsidRDefault="00AA6691" w:rsidP="00AA6691">
      <w:pPr>
        <w:pStyle w:val="H56G"/>
        <w:rPr>
          <w:rStyle w:val="SingleTxtGCar"/>
        </w:rPr>
      </w:pPr>
      <w:r w:rsidRPr="00237E23">
        <w:rPr>
          <w:rStyle w:val="SingleTxtGCar"/>
        </w:rPr>
        <w:tab/>
      </w:r>
      <w:r>
        <w:rPr>
          <w:rStyle w:val="SingleTxtGCar"/>
        </w:rPr>
        <w:tab/>
        <w:t xml:space="preserve">Correction sans </w:t>
      </w:r>
      <w:proofErr w:type="spellStart"/>
      <w:r>
        <w:rPr>
          <w:rStyle w:val="SingleTxtGCar"/>
        </w:rPr>
        <w:t>objet</w:t>
      </w:r>
      <w:proofErr w:type="spellEnd"/>
      <w:r>
        <w:rPr>
          <w:rStyle w:val="SingleTxtGCar"/>
        </w:rPr>
        <w:t xml:space="preserve"> </w:t>
      </w:r>
      <w:proofErr w:type="spellStart"/>
      <w:r>
        <w:rPr>
          <w:rStyle w:val="SingleTxtGCar"/>
        </w:rPr>
        <w:t>en</w:t>
      </w:r>
      <w:proofErr w:type="spellEnd"/>
      <w:r>
        <w:rPr>
          <w:rStyle w:val="SingleTxtGCar"/>
        </w:rPr>
        <w:t xml:space="preserve"> </w:t>
      </w:r>
      <w:proofErr w:type="spellStart"/>
      <w:r>
        <w:rPr>
          <w:rStyle w:val="SingleTxtGCar"/>
        </w:rPr>
        <w:t>français</w:t>
      </w:r>
      <w:proofErr w:type="spellEnd"/>
    </w:p>
    <w:p w14:paraId="2AF3B02A" w14:textId="0511AE76" w:rsidR="001321F1" w:rsidRDefault="001321F1" w:rsidP="001321F1">
      <w:pPr>
        <w:pStyle w:val="H23G"/>
      </w:pPr>
      <w:r w:rsidRPr="00B72EDA">
        <w:tab/>
      </w:r>
      <w:r>
        <w:tab/>
        <w:t>5.</w:t>
      </w:r>
      <w:r w:rsidRPr="00B72EDA">
        <w:tab/>
      </w:r>
      <w:r>
        <w:t>Annex</w:t>
      </w:r>
      <w:r w:rsidR="00A15FB7">
        <w:t>e</w:t>
      </w:r>
      <w:r>
        <w:t xml:space="preserve"> 1</w:t>
      </w:r>
      <w:r w:rsidRPr="00B72EDA">
        <w:t>,</w:t>
      </w:r>
      <w:r>
        <w:t xml:space="preserve"> table</w:t>
      </w:r>
      <w:r w:rsidR="00A15FB7">
        <w:t>au</w:t>
      </w:r>
      <w:r>
        <w:t xml:space="preserve"> A1.1, </w:t>
      </w:r>
      <w:proofErr w:type="spellStart"/>
      <w:r>
        <w:t>col</w:t>
      </w:r>
      <w:r w:rsidR="00A15FB7">
        <w:t>onne</w:t>
      </w:r>
      <w:proofErr w:type="spellEnd"/>
      <w:r>
        <w:t xml:space="preserve"> “</w:t>
      </w:r>
      <w:proofErr w:type="spellStart"/>
      <w:r w:rsidR="00A15FB7">
        <w:t>Pictogramme</w:t>
      </w:r>
      <w:proofErr w:type="spellEnd"/>
      <w:r w:rsidR="00A15FB7">
        <w:t xml:space="preserve"> </w:t>
      </w:r>
      <w:proofErr w:type="spellStart"/>
      <w:r w:rsidR="00A15FB7">
        <w:t>Règlement</w:t>
      </w:r>
      <w:proofErr w:type="spellEnd"/>
      <w:r w:rsidR="00A15FB7">
        <w:t xml:space="preserve"> type de </w:t>
      </w:r>
      <w:proofErr w:type="spellStart"/>
      <w:r w:rsidR="00A15FB7">
        <w:t>l’ONU</w:t>
      </w:r>
      <w:proofErr w:type="spellEnd"/>
      <w:r>
        <w:t>”</w:t>
      </w:r>
    </w:p>
    <w:p w14:paraId="61BA0BE1" w14:textId="77777777" w:rsidR="001321F1" w:rsidRDefault="001321F1" w:rsidP="001321F1"/>
    <w:tbl>
      <w:tblPr>
        <w:tblStyle w:val="TableGrid"/>
        <w:tblW w:w="0" w:type="auto"/>
        <w:tblInd w:w="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1875"/>
      </w:tblGrid>
      <w:tr w:rsidR="001321F1" w14:paraId="64FBB3A8" w14:textId="77777777" w:rsidTr="00AB2623">
        <w:tc>
          <w:tcPr>
            <w:tcW w:w="1271" w:type="dxa"/>
            <w:vAlign w:val="center"/>
          </w:tcPr>
          <w:p w14:paraId="3966A1A9" w14:textId="1281E1F1" w:rsidR="001321F1" w:rsidRPr="0003541C" w:rsidRDefault="00AB2623" w:rsidP="0015717F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Remplacer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14:paraId="3154B1F4" w14:textId="77777777" w:rsidR="001321F1" w:rsidRDefault="001321F1" w:rsidP="0015717F">
            <w:r w:rsidRPr="00D25E5E">
              <w:rPr>
                <w:noProof/>
              </w:rPr>
              <w:drawing>
                <wp:inline distT="0" distB="0" distL="0" distR="0" wp14:anchorId="0DEDB804" wp14:editId="73B93B68">
                  <wp:extent cx="971550" cy="895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193BA427" w14:textId="672359C8" w:rsidR="001321F1" w:rsidRPr="0030425E" w:rsidRDefault="00AB2623" w:rsidP="001571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</w:t>
            </w:r>
          </w:p>
        </w:tc>
        <w:tc>
          <w:tcPr>
            <w:tcW w:w="1875" w:type="dxa"/>
            <w:vAlign w:val="center"/>
          </w:tcPr>
          <w:p w14:paraId="20151CB9" w14:textId="77777777" w:rsidR="001321F1" w:rsidRDefault="001321F1" w:rsidP="0015717F">
            <w:pPr>
              <w:jc w:val="center"/>
            </w:pPr>
            <w:r w:rsidRPr="00750570">
              <w:rPr>
                <w:rFonts w:asciiTheme="majorBidi" w:hAnsiTheme="majorBidi" w:cstheme="majorBidi"/>
                <w:noProof/>
                <w:sz w:val="18"/>
                <w:szCs w:val="18"/>
                <w:lang w:val="es-ES" w:eastAsia="sv-SE"/>
              </w:rPr>
              <w:drawing>
                <wp:inline distT="0" distB="0" distL="0" distR="0" wp14:anchorId="2428E956" wp14:editId="508C5917">
                  <wp:extent cx="914400" cy="895350"/>
                  <wp:effectExtent l="0" t="0" r="0" b="0"/>
                  <wp:docPr id="5" name="Graphic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69"/>
                          <pic:cNvPicPr/>
                        </pic:nvPicPr>
                        <pic:blipFill rotWithShape="1">
                          <a:blip r:embed="rId12"/>
                          <a:srcRect l="11188" t="11122" r="9638" b="10101"/>
                          <a:stretch/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814B1" w14:textId="77777777" w:rsidR="001321F1" w:rsidRDefault="001321F1" w:rsidP="001321F1"/>
    <w:p w14:paraId="2A1FEDED" w14:textId="2BDADD64" w:rsidR="00BA423A" w:rsidRPr="00095964" w:rsidRDefault="00095964" w:rsidP="0009596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2179F3" w14:textId="77777777" w:rsidR="005A7BA3" w:rsidRPr="005A7BA3" w:rsidRDefault="005A7BA3" w:rsidP="005A7BA3"/>
    <w:p w14:paraId="2B574948" w14:textId="28CAC251" w:rsidR="00C5390E" w:rsidRPr="00CB7CF2" w:rsidRDefault="00C5390E" w:rsidP="00AF7F15">
      <w:pPr>
        <w:suppressAutoHyphens w:val="0"/>
        <w:spacing w:line="240" w:lineRule="auto"/>
      </w:pPr>
    </w:p>
    <w:sectPr w:rsidR="00C5390E" w:rsidRPr="00CB7CF2" w:rsidSect="008472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EEAF2" w14:textId="77777777" w:rsidR="0011268D" w:rsidRDefault="0011268D" w:rsidP="00760F29">
      <w:pPr>
        <w:spacing w:line="240" w:lineRule="auto"/>
      </w:pPr>
      <w:r>
        <w:separator/>
      </w:r>
    </w:p>
  </w:endnote>
  <w:endnote w:type="continuationSeparator" w:id="0">
    <w:p w14:paraId="40A78791" w14:textId="77777777" w:rsidR="0011268D" w:rsidRDefault="0011268D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7750" w14:textId="77777777" w:rsidR="004E5D18" w:rsidRPr="000216CC" w:rsidRDefault="00A31103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66A1" w14:textId="77777777" w:rsidR="004E5D18" w:rsidRPr="000216CC" w:rsidRDefault="00A31103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2942" w14:textId="08996AA7" w:rsidR="004E5D18" w:rsidRPr="00952862" w:rsidRDefault="0011268D" w:rsidP="00AF7F15">
    <w:pPr>
      <w:pStyle w:val="Footer"/>
      <w:rPr>
        <w:b/>
        <w:bCs/>
      </w:rPr>
    </w:pPr>
  </w:p>
  <w:p w14:paraId="2D4C9FAC" w14:textId="77777777" w:rsidR="004E5D18" w:rsidRDefault="0011268D" w:rsidP="0097639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54D52" w14:textId="77777777" w:rsidR="0011268D" w:rsidRDefault="0011268D" w:rsidP="00760F29">
      <w:pPr>
        <w:spacing w:line="240" w:lineRule="auto"/>
      </w:pPr>
      <w:r>
        <w:separator/>
      </w:r>
    </w:p>
  </w:footnote>
  <w:footnote w:type="continuationSeparator" w:id="0">
    <w:p w14:paraId="5CEE7628" w14:textId="77777777" w:rsidR="0011268D" w:rsidRDefault="0011268D" w:rsidP="00760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8ADA" w14:textId="21B890AB" w:rsidR="004E5D18" w:rsidRPr="001E5919" w:rsidRDefault="00A31103" w:rsidP="001E5919">
    <w:pPr>
      <w:pStyle w:val="Header"/>
      <w:rPr>
        <w:lang w:val="fr-FR"/>
      </w:rPr>
    </w:pPr>
    <w:r w:rsidRPr="00FF4FE3">
      <w:rPr>
        <w:lang w:val="fr-FR"/>
      </w:rPr>
      <w:t>UN/SCEGHS/4</w:t>
    </w:r>
    <w:r w:rsidR="008472A4" w:rsidRPr="00FF4FE3">
      <w:rPr>
        <w:lang w:val="fr-FR"/>
      </w:rPr>
      <w:t>1</w:t>
    </w:r>
    <w:r w:rsidRPr="00FF4FE3">
      <w:rPr>
        <w:lang w:val="fr-FR"/>
      </w:rPr>
      <w:t>/INF.</w:t>
    </w:r>
    <w:r w:rsidR="00FF4FE3" w:rsidRPr="00FF4FE3">
      <w:rPr>
        <w:lang w:val="fr-FR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1E6B" w14:textId="6F3DE6E4" w:rsidR="004E5D18" w:rsidRPr="001E5919" w:rsidRDefault="00A31103" w:rsidP="001E5919">
    <w:pPr>
      <w:pStyle w:val="Header"/>
      <w:jc w:val="right"/>
      <w:rPr>
        <w:lang w:val="fr-FR"/>
      </w:rPr>
    </w:pPr>
    <w:r>
      <w:rPr>
        <w:lang w:val="fr-FR"/>
      </w:rPr>
      <w:t>UN/SCEGHS/40/INF.</w:t>
    </w:r>
    <w:r w:rsidR="0049127E">
      <w:rPr>
        <w:lang w:val="fr-F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B383" w14:textId="6BE4823A" w:rsidR="004E5D18" w:rsidRPr="00AF7F15" w:rsidRDefault="0011268D" w:rsidP="00AF7F1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AE7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C4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A8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ECE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5EF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8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B25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D2F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A1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E43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F0AF6"/>
    <w:multiLevelType w:val="hybridMultilevel"/>
    <w:tmpl w:val="5522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F1A093E"/>
    <w:multiLevelType w:val="hybridMultilevel"/>
    <w:tmpl w:val="7EC49F1C"/>
    <w:lvl w:ilvl="0" w:tplc="77E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9"/>
  </w:num>
  <w:num w:numId="5">
    <w:abstractNumId w:val="16"/>
  </w:num>
  <w:num w:numId="6">
    <w:abstractNumId w:val="15"/>
  </w:num>
  <w:num w:numId="7">
    <w:abstractNumId w:val="12"/>
  </w:num>
  <w:num w:numId="8">
    <w:abstractNumId w:val="18"/>
  </w:num>
  <w:num w:numId="9">
    <w:abstractNumId w:val="14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3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08"/>
    <w:rsid w:val="000057E7"/>
    <w:rsid w:val="00010E43"/>
    <w:rsid w:val="000214BC"/>
    <w:rsid w:val="0003079A"/>
    <w:rsid w:val="0003541C"/>
    <w:rsid w:val="00044047"/>
    <w:rsid w:val="0006039D"/>
    <w:rsid w:val="0006398C"/>
    <w:rsid w:val="000670BF"/>
    <w:rsid w:val="00090C83"/>
    <w:rsid w:val="00095964"/>
    <w:rsid w:val="000B4DB4"/>
    <w:rsid w:val="000B6ACF"/>
    <w:rsid w:val="000E1E26"/>
    <w:rsid w:val="00100E98"/>
    <w:rsid w:val="0011268D"/>
    <w:rsid w:val="0013177C"/>
    <w:rsid w:val="001321F1"/>
    <w:rsid w:val="001506E7"/>
    <w:rsid w:val="001535F6"/>
    <w:rsid w:val="001701DF"/>
    <w:rsid w:val="001720A7"/>
    <w:rsid w:val="00173AA1"/>
    <w:rsid w:val="001B057F"/>
    <w:rsid w:val="001B3217"/>
    <w:rsid w:val="001C5FE4"/>
    <w:rsid w:val="001E344F"/>
    <w:rsid w:val="001F1BEB"/>
    <w:rsid w:val="002006B8"/>
    <w:rsid w:val="00204EFB"/>
    <w:rsid w:val="002065EB"/>
    <w:rsid w:val="002202AB"/>
    <w:rsid w:val="00223F9F"/>
    <w:rsid w:val="00225747"/>
    <w:rsid w:val="00226CEA"/>
    <w:rsid w:val="00236385"/>
    <w:rsid w:val="00237B63"/>
    <w:rsid w:val="00237E23"/>
    <w:rsid w:val="0024310D"/>
    <w:rsid w:val="00246106"/>
    <w:rsid w:val="00260117"/>
    <w:rsid w:val="00275729"/>
    <w:rsid w:val="00276B4C"/>
    <w:rsid w:val="0028150B"/>
    <w:rsid w:val="002872FF"/>
    <w:rsid w:val="002B02C4"/>
    <w:rsid w:val="002D6FAA"/>
    <w:rsid w:val="0030425E"/>
    <w:rsid w:val="00313097"/>
    <w:rsid w:val="003543A4"/>
    <w:rsid w:val="00371089"/>
    <w:rsid w:val="003A228D"/>
    <w:rsid w:val="003A2461"/>
    <w:rsid w:val="003A2A96"/>
    <w:rsid w:val="003A3245"/>
    <w:rsid w:val="003B2653"/>
    <w:rsid w:val="003C10B9"/>
    <w:rsid w:val="003C425A"/>
    <w:rsid w:val="003E64B9"/>
    <w:rsid w:val="0040625C"/>
    <w:rsid w:val="00406A6B"/>
    <w:rsid w:val="0042621F"/>
    <w:rsid w:val="00442CEE"/>
    <w:rsid w:val="00457FD0"/>
    <w:rsid w:val="0049127E"/>
    <w:rsid w:val="004957C8"/>
    <w:rsid w:val="004B1C20"/>
    <w:rsid w:val="004B5A77"/>
    <w:rsid w:val="004C135A"/>
    <w:rsid w:val="004C54A2"/>
    <w:rsid w:val="004D3744"/>
    <w:rsid w:val="004E0CC0"/>
    <w:rsid w:val="004E7435"/>
    <w:rsid w:val="00504ABE"/>
    <w:rsid w:val="00507FDD"/>
    <w:rsid w:val="00513597"/>
    <w:rsid w:val="00522D72"/>
    <w:rsid w:val="005235DC"/>
    <w:rsid w:val="00554293"/>
    <w:rsid w:val="00561E93"/>
    <w:rsid w:val="005632F6"/>
    <w:rsid w:val="00574027"/>
    <w:rsid w:val="005746FD"/>
    <w:rsid w:val="00587C10"/>
    <w:rsid w:val="00590399"/>
    <w:rsid w:val="00592369"/>
    <w:rsid w:val="00597CF0"/>
    <w:rsid w:val="005A7BA3"/>
    <w:rsid w:val="005C0B65"/>
    <w:rsid w:val="005C1CDA"/>
    <w:rsid w:val="005E5074"/>
    <w:rsid w:val="005E79BB"/>
    <w:rsid w:val="005F7AE9"/>
    <w:rsid w:val="0061276A"/>
    <w:rsid w:val="006131E7"/>
    <w:rsid w:val="0062268F"/>
    <w:rsid w:val="0062617C"/>
    <w:rsid w:val="00630265"/>
    <w:rsid w:val="00633F54"/>
    <w:rsid w:val="00661DE9"/>
    <w:rsid w:val="00686B73"/>
    <w:rsid w:val="006A2C7D"/>
    <w:rsid w:val="006D3E76"/>
    <w:rsid w:val="006E0172"/>
    <w:rsid w:val="00705D5B"/>
    <w:rsid w:val="007169F2"/>
    <w:rsid w:val="00717408"/>
    <w:rsid w:val="007527EB"/>
    <w:rsid w:val="00760F29"/>
    <w:rsid w:val="0078799B"/>
    <w:rsid w:val="00787CA8"/>
    <w:rsid w:val="007A5031"/>
    <w:rsid w:val="007C1E4D"/>
    <w:rsid w:val="007C61DB"/>
    <w:rsid w:val="007D6912"/>
    <w:rsid w:val="007F1D3F"/>
    <w:rsid w:val="00820224"/>
    <w:rsid w:val="00822F3B"/>
    <w:rsid w:val="00830ECC"/>
    <w:rsid w:val="008472A4"/>
    <w:rsid w:val="0085283D"/>
    <w:rsid w:val="00862DAD"/>
    <w:rsid w:val="0086413C"/>
    <w:rsid w:val="008710A5"/>
    <w:rsid w:val="0091363D"/>
    <w:rsid w:val="00930F93"/>
    <w:rsid w:val="0094551F"/>
    <w:rsid w:val="009549C4"/>
    <w:rsid w:val="00974109"/>
    <w:rsid w:val="009855D0"/>
    <w:rsid w:val="009B11B2"/>
    <w:rsid w:val="009C6587"/>
    <w:rsid w:val="009E1F11"/>
    <w:rsid w:val="009E245E"/>
    <w:rsid w:val="009E42E4"/>
    <w:rsid w:val="00A15FB7"/>
    <w:rsid w:val="00A31103"/>
    <w:rsid w:val="00A45421"/>
    <w:rsid w:val="00A5237E"/>
    <w:rsid w:val="00A55BFD"/>
    <w:rsid w:val="00A57ACB"/>
    <w:rsid w:val="00A72105"/>
    <w:rsid w:val="00A809A7"/>
    <w:rsid w:val="00A83A4A"/>
    <w:rsid w:val="00A85FC4"/>
    <w:rsid w:val="00A91B52"/>
    <w:rsid w:val="00AA0B0C"/>
    <w:rsid w:val="00AA3D2B"/>
    <w:rsid w:val="00AA6691"/>
    <w:rsid w:val="00AB2623"/>
    <w:rsid w:val="00AF56C8"/>
    <w:rsid w:val="00AF779F"/>
    <w:rsid w:val="00AF7F15"/>
    <w:rsid w:val="00B02470"/>
    <w:rsid w:val="00B21C0B"/>
    <w:rsid w:val="00B53BC1"/>
    <w:rsid w:val="00B56E76"/>
    <w:rsid w:val="00B57F0C"/>
    <w:rsid w:val="00B64854"/>
    <w:rsid w:val="00B72EDA"/>
    <w:rsid w:val="00B765C6"/>
    <w:rsid w:val="00B77E3D"/>
    <w:rsid w:val="00B85035"/>
    <w:rsid w:val="00B8597D"/>
    <w:rsid w:val="00BA423A"/>
    <w:rsid w:val="00BF02F8"/>
    <w:rsid w:val="00BF0E50"/>
    <w:rsid w:val="00C13576"/>
    <w:rsid w:val="00C13F89"/>
    <w:rsid w:val="00C4770D"/>
    <w:rsid w:val="00C5116F"/>
    <w:rsid w:val="00C5390E"/>
    <w:rsid w:val="00C55F0A"/>
    <w:rsid w:val="00C60AE5"/>
    <w:rsid w:val="00C64CCA"/>
    <w:rsid w:val="00C65283"/>
    <w:rsid w:val="00C90E4D"/>
    <w:rsid w:val="00CA28D8"/>
    <w:rsid w:val="00CA3A63"/>
    <w:rsid w:val="00CA5128"/>
    <w:rsid w:val="00CA7831"/>
    <w:rsid w:val="00CE031D"/>
    <w:rsid w:val="00CE5143"/>
    <w:rsid w:val="00CF1A1C"/>
    <w:rsid w:val="00D25E5E"/>
    <w:rsid w:val="00D5792B"/>
    <w:rsid w:val="00D6180F"/>
    <w:rsid w:val="00D642DD"/>
    <w:rsid w:val="00D660CB"/>
    <w:rsid w:val="00D670CE"/>
    <w:rsid w:val="00D767FB"/>
    <w:rsid w:val="00D841B8"/>
    <w:rsid w:val="00DB521F"/>
    <w:rsid w:val="00DD396E"/>
    <w:rsid w:val="00DD4D89"/>
    <w:rsid w:val="00DE2825"/>
    <w:rsid w:val="00E002DD"/>
    <w:rsid w:val="00E15AE8"/>
    <w:rsid w:val="00E1727E"/>
    <w:rsid w:val="00E26063"/>
    <w:rsid w:val="00E319C2"/>
    <w:rsid w:val="00E86FBA"/>
    <w:rsid w:val="00E93287"/>
    <w:rsid w:val="00E97BCE"/>
    <w:rsid w:val="00EA3F81"/>
    <w:rsid w:val="00EA5B52"/>
    <w:rsid w:val="00EE48D4"/>
    <w:rsid w:val="00F01DF9"/>
    <w:rsid w:val="00F22714"/>
    <w:rsid w:val="00F27F2C"/>
    <w:rsid w:val="00F41B6B"/>
    <w:rsid w:val="00F711B1"/>
    <w:rsid w:val="00F717DC"/>
    <w:rsid w:val="00F82114"/>
    <w:rsid w:val="00F84D75"/>
    <w:rsid w:val="00F85DE2"/>
    <w:rsid w:val="00FA0F0E"/>
    <w:rsid w:val="00FA509F"/>
    <w:rsid w:val="00FA63B2"/>
    <w:rsid w:val="00FB0F9F"/>
    <w:rsid w:val="00FE179E"/>
    <w:rsid w:val="00FE4E4F"/>
    <w:rsid w:val="00FF4FE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DCCC7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F1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aliases w:val="GHS Chapter Heading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uiPriority w:val="99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paragraph" w:customStyle="1" w:styleId="Default">
    <w:name w:val="Default"/>
    <w:uiPriority w:val="99"/>
    <w:rsid w:val="00276B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v-SE" w:eastAsia="sv-SE"/>
    </w:rPr>
  </w:style>
  <w:style w:type="paragraph" w:customStyle="1" w:styleId="GHSHeading4">
    <w:name w:val="GHSHeading4"/>
    <w:basedOn w:val="Normal"/>
    <w:uiPriority w:val="99"/>
    <w:rsid w:val="00276B4C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uiPriority w:val="99"/>
    <w:rsid w:val="00276B4C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276B4C"/>
    <w:pPr>
      <w:suppressAutoHyphens w:val="0"/>
      <w:spacing w:line="240" w:lineRule="auto"/>
    </w:pPr>
    <w:rPr>
      <w:sz w:val="22"/>
      <w:szCs w:val="24"/>
    </w:rPr>
  </w:style>
  <w:style w:type="paragraph" w:customStyle="1" w:styleId="Num-DocParagraph">
    <w:name w:val="Num-Doc Paragraph"/>
    <w:basedOn w:val="BodyText"/>
    <w:uiPriority w:val="99"/>
    <w:rsid w:val="00276B4C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GHSHeading3">
    <w:name w:val="GHSHeading3"/>
    <w:basedOn w:val="Heading3"/>
    <w:uiPriority w:val="99"/>
    <w:rsid w:val="00276B4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276B4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76B4C"/>
    <w:rPr>
      <w:rFonts w:eastAsia="Times New Roman"/>
      <w:sz w:val="22"/>
      <w:lang w:eastAsia="en-US"/>
    </w:rPr>
  </w:style>
  <w:style w:type="paragraph" w:customStyle="1" w:styleId="StyleGHSHeading410pt">
    <w:name w:val="Style GHSHeading4 + 10 pt"/>
    <w:basedOn w:val="GHSHeading4"/>
    <w:uiPriority w:val="99"/>
    <w:rsid w:val="00276B4C"/>
    <w:pPr>
      <w:spacing w:after="240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6B4C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7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B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76B4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4C"/>
    <w:rPr>
      <w:rFonts w:eastAsia="Times New Roman"/>
      <w:b/>
      <w:bCs/>
      <w:lang w:eastAsia="en-US"/>
    </w:rPr>
  </w:style>
  <w:style w:type="character" w:customStyle="1" w:styleId="SingleTxtGCar">
    <w:name w:val="_ Single Txt_G Car"/>
    <w:rsid w:val="0024310D"/>
    <w:rPr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390E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390E"/>
    <w:pPr>
      <w:suppressAutoHyphens w:val="0"/>
      <w:spacing w:line="240" w:lineRule="auto"/>
    </w:pPr>
    <w:rPr>
      <w:rFonts w:ascii="Arial" w:hAnsi="Arial" w:cs="Arial"/>
      <w:b/>
      <w:bCs/>
      <w:sz w:val="22"/>
      <w:szCs w:val="24"/>
    </w:rPr>
  </w:style>
  <w:style w:type="paragraph" w:customStyle="1" w:styleId="StyleGHSHeading410ptAuto">
    <w:name w:val="Style GHSHeading4 + 10 pt Auto"/>
    <w:basedOn w:val="GHSHeading4"/>
    <w:uiPriority w:val="99"/>
    <w:rsid w:val="00C5390E"/>
    <w:pPr>
      <w:spacing w:after="240"/>
    </w:pPr>
    <w:rPr>
      <w:color w:val="auto"/>
      <w:sz w:val="20"/>
    </w:rPr>
  </w:style>
  <w:style w:type="character" w:customStyle="1" w:styleId="Funotenzeichen2">
    <w:name w:val="Fußnotenzeichen2"/>
    <w:rsid w:val="00C539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32F6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ée un document." ma:contentTypeScope="" ma:versionID="4c98e1731cdb18c236385bf9f2886f14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766801eeed04e6a5522fa87adb5b290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0C9AA-0BA1-4856-AAE8-6A78EF36A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BDB291-78DB-4715-A94C-64BF3541421E}"/>
</file>

<file path=customXml/itemProps4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Rosa Garcia Couto</cp:lastModifiedBy>
  <cp:revision>83</cp:revision>
  <cp:lastPrinted>2021-04-21T12:27:00Z</cp:lastPrinted>
  <dcterms:created xsi:type="dcterms:W3CDTF">2021-04-20T14:00:00Z</dcterms:created>
  <dcterms:modified xsi:type="dcterms:W3CDTF">2021-11-02T09:10:00Z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</Properties>
</file>