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810C195" w14:textId="77777777" w:rsidTr="00F01738">
        <w:trPr>
          <w:trHeight w:hRule="exact" w:val="851"/>
        </w:trPr>
        <w:tc>
          <w:tcPr>
            <w:tcW w:w="1276" w:type="dxa"/>
            <w:tcBorders>
              <w:bottom w:val="single" w:sz="4" w:space="0" w:color="auto"/>
            </w:tcBorders>
          </w:tcPr>
          <w:p w14:paraId="7482039D" w14:textId="77777777" w:rsidR="00132EA9" w:rsidRPr="00DB58B5" w:rsidRDefault="00132EA9" w:rsidP="00F01738"/>
        </w:tc>
        <w:tc>
          <w:tcPr>
            <w:tcW w:w="2268" w:type="dxa"/>
            <w:tcBorders>
              <w:bottom w:val="single" w:sz="4" w:space="0" w:color="auto"/>
            </w:tcBorders>
            <w:vAlign w:val="bottom"/>
          </w:tcPr>
          <w:p w14:paraId="3AD1A52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B8D003" w14:textId="77777777" w:rsidR="00132EA9" w:rsidRPr="00DB58B5" w:rsidRDefault="00B55DC8" w:rsidP="00B55DC8">
            <w:pPr>
              <w:jc w:val="right"/>
            </w:pPr>
            <w:r w:rsidRPr="00B55DC8">
              <w:rPr>
                <w:sz w:val="40"/>
              </w:rPr>
              <w:t>ST</w:t>
            </w:r>
            <w:r>
              <w:t>/SG/AC.10/C.4/81/Add.1</w:t>
            </w:r>
          </w:p>
        </w:tc>
      </w:tr>
      <w:tr w:rsidR="00132EA9" w:rsidRPr="00DB58B5" w14:paraId="6A728232" w14:textId="77777777" w:rsidTr="00F01738">
        <w:trPr>
          <w:trHeight w:hRule="exact" w:val="2835"/>
        </w:trPr>
        <w:tc>
          <w:tcPr>
            <w:tcW w:w="1276" w:type="dxa"/>
            <w:tcBorders>
              <w:top w:val="single" w:sz="4" w:space="0" w:color="auto"/>
              <w:bottom w:val="single" w:sz="12" w:space="0" w:color="auto"/>
            </w:tcBorders>
          </w:tcPr>
          <w:p w14:paraId="25DF3757" w14:textId="77777777" w:rsidR="00132EA9" w:rsidRPr="00DB58B5" w:rsidRDefault="00132EA9" w:rsidP="00F01738">
            <w:pPr>
              <w:spacing w:before="120"/>
              <w:jc w:val="center"/>
            </w:pPr>
            <w:r>
              <w:rPr>
                <w:noProof/>
                <w:lang w:eastAsia="fr-CH"/>
              </w:rPr>
              <w:drawing>
                <wp:inline distT="0" distB="0" distL="0" distR="0" wp14:anchorId="18453E45" wp14:editId="3372AB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5ABFA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777223D" w14:textId="77777777" w:rsidR="00132EA9" w:rsidRPr="00E92B49" w:rsidRDefault="00B55DC8" w:rsidP="00B55DC8">
            <w:pPr>
              <w:spacing w:before="240" w:line="240" w:lineRule="exact"/>
            </w:pPr>
            <w:r w:rsidRPr="00E92B49">
              <w:t>Distr. générale</w:t>
            </w:r>
          </w:p>
          <w:p w14:paraId="10695D66" w14:textId="4C43DCA7" w:rsidR="00B55DC8" w:rsidRDefault="00E92B49" w:rsidP="00B55DC8">
            <w:pPr>
              <w:spacing w:line="240" w:lineRule="exact"/>
            </w:pPr>
            <w:r w:rsidRPr="00E92B49">
              <w:t>17</w:t>
            </w:r>
            <w:r w:rsidR="00B55DC8" w:rsidRPr="00E92B49">
              <w:t xml:space="preserve"> novembre 2021</w:t>
            </w:r>
          </w:p>
          <w:p w14:paraId="3530C05D" w14:textId="03B9BE70" w:rsidR="00B55DC8" w:rsidRDefault="00B55DC8" w:rsidP="00B55DC8">
            <w:pPr>
              <w:spacing w:line="240" w:lineRule="exact"/>
            </w:pPr>
          </w:p>
          <w:p w14:paraId="07CB90EE" w14:textId="2792BE62" w:rsidR="00680F0D" w:rsidRDefault="00680F0D" w:rsidP="00B55DC8">
            <w:pPr>
              <w:spacing w:line="240" w:lineRule="exact"/>
            </w:pPr>
            <w:r>
              <w:t>Français</w:t>
            </w:r>
          </w:p>
          <w:p w14:paraId="2A506D01" w14:textId="6AE26DA1" w:rsidR="00B55DC8" w:rsidRPr="00DB58B5" w:rsidRDefault="00B55DC8" w:rsidP="00B55DC8">
            <w:pPr>
              <w:spacing w:line="240" w:lineRule="exact"/>
            </w:pPr>
            <w:r>
              <w:t xml:space="preserve">Original : </w:t>
            </w:r>
            <w:r w:rsidR="00613834">
              <w:t xml:space="preserve">anglais et </w:t>
            </w:r>
            <w:r>
              <w:t>français</w:t>
            </w:r>
          </w:p>
        </w:tc>
      </w:tr>
    </w:tbl>
    <w:p w14:paraId="37DA70AB" w14:textId="77777777" w:rsidR="00D339F8" w:rsidRPr="00CA0680" w:rsidRDefault="00D339F8" w:rsidP="00755D57">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2211A60" w14:textId="77777777" w:rsidR="00D339F8" w:rsidRPr="00CA0680" w:rsidRDefault="00D339F8" w:rsidP="00755D57">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5AFDAEF0" w14:textId="0B6D3A26" w:rsidR="00D339F8" w:rsidRDefault="00D339F8" w:rsidP="00755D57">
      <w:pPr>
        <w:spacing w:before="120"/>
        <w:rPr>
          <w:b/>
        </w:rPr>
      </w:pPr>
      <w:r>
        <w:rPr>
          <w:b/>
        </w:rPr>
        <w:t>Quarante et unième</w:t>
      </w:r>
      <w:r w:rsidRPr="00CA0680">
        <w:rPr>
          <w:b/>
        </w:rPr>
        <w:t xml:space="preserve"> session</w:t>
      </w:r>
    </w:p>
    <w:p w14:paraId="512D13C3" w14:textId="401679BC" w:rsidR="00D339F8" w:rsidRDefault="00D339F8" w:rsidP="00755D57">
      <w:r>
        <w:t xml:space="preserve">Genève, </w:t>
      </w:r>
      <w:r w:rsidR="00137E2C">
        <w:t>8 (après-midi)</w:t>
      </w:r>
      <w:r w:rsidR="00934A68">
        <w:t xml:space="preserve"> </w:t>
      </w:r>
      <w:r w:rsidR="00137E2C">
        <w:t>- 10 décembre 2021</w:t>
      </w:r>
    </w:p>
    <w:p w14:paraId="495C133B" w14:textId="6D99A155" w:rsidR="00D339F8" w:rsidRDefault="00D339F8" w:rsidP="00755D57">
      <w:r>
        <w:t xml:space="preserve">Point </w:t>
      </w:r>
      <w:r w:rsidR="00137E2C">
        <w:t>1</w:t>
      </w:r>
      <w:r>
        <w:t xml:space="preserve"> de l’ordre du jour provisoire</w:t>
      </w:r>
    </w:p>
    <w:p w14:paraId="39CF20D5" w14:textId="0B59F3BF" w:rsidR="00137E2C" w:rsidRPr="00137E2C" w:rsidRDefault="00137E2C" w:rsidP="00755D57">
      <w:pPr>
        <w:rPr>
          <w:b/>
          <w:bCs/>
        </w:rPr>
      </w:pPr>
      <w:r w:rsidRPr="00137E2C">
        <w:rPr>
          <w:b/>
          <w:bCs/>
        </w:rPr>
        <w:t>Adoption de l’ordre du jour</w:t>
      </w:r>
    </w:p>
    <w:p w14:paraId="45F9B944" w14:textId="395E598D" w:rsidR="008D1004" w:rsidRDefault="00FF33C0" w:rsidP="00FF33C0">
      <w:pPr>
        <w:pStyle w:val="HChG"/>
      </w:pPr>
      <w:r>
        <w:tab/>
      </w:r>
      <w:r>
        <w:tab/>
      </w:r>
      <w:r w:rsidRPr="00FF33C0">
        <w:t>Ordre du jour provisoire de la quarante et unième session</w:t>
      </w:r>
    </w:p>
    <w:p w14:paraId="739E4F62" w14:textId="45B153EB" w:rsidR="0019265B" w:rsidRDefault="0019265B" w:rsidP="0019265B">
      <w:pPr>
        <w:pStyle w:val="H1G"/>
        <w:rPr>
          <w:sz w:val="20"/>
          <w:szCs w:val="16"/>
          <w:lang w:val="fr-FR"/>
        </w:rPr>
      </w:pPr>
      <w:r w:rsidRPr="0064407C">
        <w:rPr>
          <w:sz w:val="20"/>
          <w:szCs w:val="16"/>
          <w:lang w:val="fr-FR"/>
        </w:rPr>
        <w:tab/>
      </w:r>
      <w:r w:rsidRPr="0064407C">
        <w:rPr>
          <w:sz w:val="20"/>
          <w:szCs w:val="16"/>
          <w:lang w:val="fr-FR"/>
        </w:rPr>
        <w:tab/>
        <w:t>Additif</w:t>
      </w:r>
    </w:p>
    <w:p w14:paraId="3EED385C" w14:textId="3EA96C1B" w:rsidR="0064407C" w:rsidRDefault="001E6877" w:rsidP="00F17966">
      <w:pPr>
        <w:pStyle w:val="HChG"/>
        <w:rPr>
          <w:lang w:val="fr-FR"/>
        </w:rPr>
      </w:pPr>
      <w:r>
        <w:rPr>
          <w:lang w:val="fr-FR"/>
        </w:rPr>
        <w:tab/>
      </w:r>
      <w:r>
        <w:rPr>
          <w:lang w:val="fr-FR"/>
        </w:rPr>
        <w:tab/>
      </w:r>
      <w:r w:rsidR="00F17966">
        <w:rPr>
          <w:lang w:val="fr-FR"/>
        </w:rPr>
        <w:t>Liste des documents et annotations</w:t>
      </w:r>
    </w:p>
    <w:p w14:paraId="4D5676FF" w14:textId="77777777" w:rsidR="005E0A4F" w:rsidRDefault="005E0A4F" w:rsidP="0084709F">
      <w:pPr>
        <w:pStyle w:val="H1G"/>
        <w:rPr>
          <w:lang w:val="fr-FR"/>
        </w:rPr>
      </w:pPr>
      <w:r>
        <w:rPr>
          <w:lang w:val="fr-FR"/>
        </w:rPr>
        <w:tab/>
        <w:t>1.</w:t>
      </w:r>
      <w:r>
        <w:rPr>
          <w:lang w:val="fr-FR"/>
        </w:rPr>
        <w:tab/>
        <w:t>Adoption de l’ordre du jour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5E0A4F" w:rsidRPr="007C5E0D" w14:paraId="587A6858" w14:textId="77777777" w:rsidTr="00A15FF1">
        <w:tc>
          <w:tcPr>
            <w:tcW w:w="2766" w:type="dxa"/>
          </w:tcPr>
          <w:p w14:paraId="091FE0FE" w14:textId="433731FD" w:rsidR="005E0A4F" w:rsidRPr="00E1015D" w:rsidRDefault="005E0A4F" w:rsidP="0026531E">
            <w:pPr>
              <w:spacing w:before="40" w:after="40"/>
              <w:rPr>
                <w:lang w:val="en-US"/>
              </w:rPr>
            </w:pPr>
            <w:r w:rsidRPr="0075200C">
              <w:rPr>
                <w:lang w:val="en-US"/>
              </w:rPr>
              <w:t>ST/SG/AC.10/C.4/</w:t>
            </w:r>
            <w:r>
              <w:rPr>
                <w:lang w:val="en-US"/>
              </w:rPr>
              <w:t>8</w:t>
            </w:r>
            <w:r w:rsidR="007272C1">
              <w:rPr>
                <w:lang w:val="en-US"/>
              </w:rPr>
              <w:t>1</w:t>
            </w:r>
            <w:r w:rsidRPr="0075200C">
              <w:rPr>
                <w:lang w:val="en-US"/>
              </w:rPr>
              <w:t xml:space="preserve"> et ST/SG/AC.10/C.4/</w:t>
            </w:r>
            <w:r>
              <w:rPr>
                <w:lang w:val="en-US"/>
              </w:rPr>
              <w:t>8</w:t>
            </w:r>
            <w:r w:rsidR="007272C1">
              <w:rPr>
                <w:lang w:val="en-US"/>
              </w:rPr>
              <w:t>1</w:t>
            </w:r>
            <w:r w:rsidRPr="0075200C">
              <w:rPr>
                <w:lang w:val="en-US"/>
              </w:rPr>
              <w:t>/Add.1</w:t>
            </w:r>
          </w:p>
        </w:tc>
        <w:tc>
          <w:tcPr>
            <w:tcW w:w="4604" w:type="dxa"/>
          </w:tcPr>
          <w:p w14:paraId="27072746" w14:textId="407884E8" w:rsidR="005E0A4F" w:rsidRPr="007D288C" w:rsidRDefault="005E0A4F" w:rsidP="0026531E">
            <w:pPr>
              <w:spacing w:before="40" w:after="40"/>
              <w:rPr>
                <w:lang w:val="fr-FR"/>
              </w:rPr>
            </w:pPr>
            <w:r>
              <w:rPr>
                <w:lang w:val="fr-FR"/>
              </w:rPr>
              <w:t>Ordre du jour provisoire de la quarante et unième session</w:t>
            </w:r>
          </w:p>
        </w:tc>
      </w:tr>
    </w:tbl>
    <w:p w14:paraId="23D279A4" w14:textId="7341D231" w:rsidR="00A15FF1" w:rsidRDefault="00A15FF1" w:rsidP="00613834">
      <w:pPr>
        <w:pStyle w:val="SingleTxtG"/>
        <w:spacing w:before="240"/>
        <w:rPr>
          <w:lang w:val="fr-FR"/>
        </w:rPr>
      </w:pPr>
      <w:r>
        <w:rPr>
          <w:lang w:val="fr-FR"/>
        </w:rPr>
        <w:tab/>
      </w:r>
      <w:r w:rsidRPr="00A15FF1">
        <w:rPr>
          <w:lang w:val="fr-FR"/>
        </w:rPr>
        <w:t>Un calendrier provisoire et des informations supplémentaires sur l'organisation de la session seront diffusés dans un document informel à l'approche de la session.</w:t>
      </w:r>
      <w:r w:rsidR="00A941F1">
        <w:rPr>
          <w:lang w:val="fr-FR"/>
        </w:rPr>
        <w:tab/>
      </w:r>
      <w:r w:rsidR="00A941F1">
        <w:rPr>
          <w:lang w:val="fr-FR"/>
        </w:rPr>
        <w:tab/>
      </w:r>
    </w:p>
    <w:p w14:paraId="46FA2A6E" w14:textId="734966B4" w:rsidR="00A941F1" w:rsidRDefault="00A15FF1" w:rsidP="0084709F">
      <w:pPr>
        <w:pStyle w:val="H23G"/>
        <w:rPr>
          <w:lang w:val="fr-FR"/>
        </w:rPr>
      </w:pPr>
      <w:r>
        <w:rPr>
          <w:lang w:val="fr-FR"/>
        </w:rPr>
        <w:tab/>
      </w:r>
      <w:r>
        <w:rPr>
          <w:lang w:val="fr-FR"/>
        </w:rPr>
        <w:tab/>
      </w:r>
      <w:r w:rsidR="00A941F1">
        <w:rPr>
          <w:lang w:val="fr-FR"/>
        </w:rPr>
        <w:t>Documents de référence (secrétariat)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176865" w:rsidRPr="007C5E0D" w14:paraId="332BF5E9" w14:textId="77777777" w:rsidTr="0026531E">
        <w:tc>
          <w:tcPr>
            <w:tcW w:w="2766" w:type="dxa"/>
          </w:tcPr>
          <w:p w14:paraId="68012FBD" w14:textId="221EC8F2" w:rsidR="00176865" w:rsidRPr="004E7EB6" w:rsidRDefault="00176865" w:rsidP="0026531E">
            <w:pPr>
              <w:spacing w:before="40" w:after="40"/>
            </w:pPr>
            <w:r>
              <w:rPr>
                <w:lang w:val="fr-FR"/>
              </w:rPr>
              <w:t>ST/SG/AC.10/30/Rev.</w:t>
            </w:r>
            <w:r w:rsidR="0077443D">
              <w:rPr>
                <w:lang w:val="fr-FR"/>
              </w:rPr>
              <w:t>9</w:t>
            </w:r>
          </w:p>
        </w:tc>
        <w:tc>
          <w:tcPr>
            <w:tcW w:w="4604" w:type="dxa"/>
          </w:tcPr>
          <w:p w14:paraId="109159BA" w14:textId="3740A43A" w:rsidR="00176865" w:rsidRPr="007D288C" w:rsidRDefault="00176865" w:rsidP="0026531E">
            <w:pPr>
              <w:spacing w:before="40" w:after="40"/>
              <w:rPr>
                <w:lang w:val="fr-FR"/>
              </w:rPr>
            </w:pPr>
            <w:r>
              <w:rPr>
                <w:lang w:val="fr-FR"/>
              </w:rPr>
              <w:t xml:space="preserve">Système général harmonisé de classification et d’étiquetage des produits chimiques (SGH), </w:t>
            </w:r>
            <w:r>
              <w:rPr>
                <w:lang w:val="fr-FR"/>
              </w:rPr>
              <w:br/>
            </w:r>
            <w:r w:rsidR="0077443D">
              <w:rPr>
                <w:lang w:val="fr-FR"/>
              </w:rPr>
              <w:t>neuvième</w:t>
            </w:r>
            <w:r>
              <w:rPr>
                <w:lang w:val="fr-FR"/>
              </w:rPr>
              <w:t xml:space="preserve"> édition révisée</w:t>
            </w:r>
          </w:p>
        </w:tc>
      </w:tr>
      <w:tr w:rsidR="00176865" w:rsidRPr="007C5E0D" w14:paraId="575C1958" w14:textId="77777777" w:rsidTr="0026531E">
        <w:tc>
          <w:tcPr>
            <w:tcW w:w="2766" w:type="dxa"/>
          </w:tcPr>
          <w:p w14:paraId="3885AE1B" w14:textId="67F6B4B5" w:rsidR="00176865" w:rsidRPr="004E7EB6" w:rsidRDefault="00176865" w:rsidP="0026531E">
            <w:pPr>
              <w:spacing w:before="40" w:after="40"/>
            </w:pPr>
            <w:r>
              <w:rPr>
                <w:lang w:val="fr-FR"/>
              </w:rPr>
              <w:t>ST/SG/AC.10/1/Rev.2</w:t>
            </w:r>
            <w:r w:rsidR="00613834">
              <w:rPr>
                <w:lang w:val="fr-FR"/>
              </w:rPr>
              <w:t>2</w:t>
            </w:r>
          </w:p>
        </w:tc>
        <w:tc>
          <w:tcPr>
            <w:tcW w:w="4604" w:type="dxa"/>
          </w:tcPr>
          <w:p w14:paraId="7B752011" w14:textId="3B68B0BC" w:rsidR="00176865" w:rsidRPr="007D288C" w:rsidRDefault="00176865" w:rsidP="0026531E">
            <w:pPr>
              <w:spacing w:before="40" w:after="40"/>
              <w:rPr>
                <w:lang w:val="fr-FR"/>
              </w:rPr>
            </w:pPr>
            <w:r>
              <w:rPr>
                <w:lang w:val="fr-FR"/>
              </w:rPr>
              <w:t xml:space="preserve">Recommandations relatives au transport des marchandises dangereuses, Règlement type, </w:t>
            </w:r>
            <w:r>
              <w:rPr>
                <w:lang w:val="fr-FR"/>
              </w:rPr>
              <w:br/>
            </w:r>
            <w:r w:rsidR="00C90100">
              <w:rPr>
                <w:lang w:val="fr-FR"/>
              </w:rPr>
              <w:t>vingt</w:t>
            </w:r>
            <w:r w:rsidR="00FB5785">
              <w:rPr>
                <w:lang w:val="fr-FR"/>
              </w:rPr>
              <w:t>-</w:t>
            </w:r>
            <w:r w:rsidR="00C90100">
              <w:rPr>
                <w:lang w:val="fr-FR"/>
              </w:rPr>
              <w:t>deuxième</w:t>
            </w:r>
            <w:r>
              <w:rPr>
                <w:lang w:val="fr-FR"/>
              </w:rPr>
              <w:t xml:space="preserve"> édition révisée</w:t>
            </w:r>
          </w:p>
        </w:tc>
      </w:tr>
      <w:tr w:rsidR="00176865" w:rsidRPr="007C5E0D" w14:paraId="5627B7E2" w14:textId="77777777" w:rsidTr="0026531E">
        <w:tc>
          <w:tcPr>
            <w:tcW w:w="2766" w:type="dxa"/>
          </w:tcPr>
          <w:p w14:paraId="034537D6" w14:textId="71F3FA7B" w:rsidR="00176865" w:rsidRPr="004E7EB6" w:rsidRDefault="00176865" w:rsidP="0026531E">
            <w:pPr>
              <w:spacing w:before="40" w:after="40"/>
            </w:pPr>
            <w:r>
              <w:rPr>
                <w:lang w:val="fr-FR"/>
              </w:rPr>
              <w:t>ST/SG/AC.10/11/Rev.7</w:t>
            </w:r>
            <w:r w:rsidR="00FB5785">
              <w:rPr>
                <w:lang w:val="fr-FR"/>
              </w:rPr>
              <w:t xml:space="preserve"> et </w:t>
            </w:r>
            <w:r w:rsidR="00E04600">
              <w:rPr>
                <w:lang w:val="fr-FR"/>
              </w:rPr>
              <w:t>ST/SG/AC.10/11/Rev.7/Amend.</w:t>
            </w:r>
            <w:r w:rsidR="00FB5785">
              <w:rPr>
                <w:lang w:val="fr-FR"/>
              </w:rPr>
              <w:t>1</w:t>
            </w:r>
          </w:p>
        </w:tc>
        <w:tc>
          <w:tcPr>
            <w:tcW w:w="4604" w:type="dxa"/>
          </w:tcPr>
          <w:p w14:paraId="117BD1AE" w14:textId="34B0FEB0" w:rsidR="00176865" w:rsidRPr="007D288C" w:rsidRDefault="00176865" w:rsidP="0026531E">
            <w:pPr>
              <w:spacing w:before="40" w:after="40"/>
              <w:rPr>
                <w:lang w:val="fr-FR"/>
              </w:rPr>
            </w:pPr>
            <w:r>
              <w:rPr>
                <w:lang w:val="fr-FR"/>
              </w:rPr>
              <w:t xml:space="preserve">Manuel d’épreuves et de critères, </w:t>
            </w:r>
            <w:r>
              <w:rPr>
                <w:lang w:val="fr-FR"/>
              </w:rPr>
              <w:br/>
              <w:t>septième édition révisée</w:t>
            </w:r>
            <w:r w:rsidR="00FB5785">
              <w:rPr>
                <w:lang w:val="fr-FR"/>
              </w:rPr>
              <w:t xml:space="preserve"> et amendement 1  </w:t>
            </w:r>
          </w:p>
        </w:tc>
      </w:tr>
      <w:tr w:rsidR="00176865" w:rsidRPr="007C5E0D" w14:paraId="5A87C5D3" w14:textId="77777777" w:rsidTr="0026531E">
        <w:tc>
          <w:tcPr>
            <w:tcW w:w="2766" w:type="dxa"/>
          </w:tcPr>
          <w:p w14:paraId="4CC6485F" w14:textId="3A54C126" w:rsidR="00176865" w:rsidRPr="004E7EB6" w:rsidRDefault="00176865" w:rsidP="0026531E">
            <w:pPr>
              <w:spacing w:before="40" w:after="40"/>
            </w:pPr>
            <w:r>
              <w:rPr>
                <w:lang w:val="fr-FR"/>
              </w:rPr>
              <w:t>ST/SG/AC.10/C.4/8</w:t>
            </w:r>
            <w:r w:rsidR="00E04600">
              <w:rPr>
                <w:lang w:val="fr-FR"/>
              </w:rPr>
              <w:t>0</w:t>
            </w:r>
          </w:p>
        </w:tc>
        <w:tc>
          <w:tcPr>
            <w:tcW w:w="4604" w:type="dxa"/>
          </w:tcPr>
          <w:p w14:paraId="6DD3343C" w14:textId="3983B8B5" w:rsidR="00176865" w:rsidRPr="007D288C" w:rsidRDefault="00176865" w:rsidP="0026531E">
            <w:pPr>
              <w:spacing w:before="40" w:after="40"/>
              <w:rPr>
                <w:lang w:val="fr-FR"/>
              </w:rPr>
            </w:pPr>
            <w:r>
              <w:rPr>
                <w:lang w:val="fr-FR"/>
              </w:rPr>
              <w:t xml:space="preserve">Rapport du Sous-Comité d’experts du Système général harmonisé de classification et d’étiquetage des produits chimiques sur sa </w:t>
            </w:r>
            <w:r w:rsidR="00086374">
              <w:rPr>
                <w:lang w:val="fr-FR"/>
              </w:rPr>
              <w:t>quarantième</w:t>
            </w:r>
            <w:r>
              <w:rPr>
                <w:lang w:val="fr-FR"/>
              </w:rPr>
              <w:t xml:space="preserve"> session</w:t>
            </w:r>
          </w:p>
        </w:tc>
      </w:tr>
      <w:tr w:rsidR="00176865" w:rsidRPr="007C5E0D" w14:paraId="1F954341" w14:textId="77777777" w:rsidTr="0026531E">
        <w:tc>
          <w:tcPr>
            <w:tcW w:w="2766" w:type="dxa"/>
          </w:tcPr>
          <w:p w14:paraId="25BD1C60" w14:textId="16F0C0D9" w:rsidR="00176865" w:rsidRPr="00E1015D" w:rsidRDefault="00176865" w:rsidP="0026531E">
            <w:pPr>
              <w:spacing w:before="40" w:after="40"/>
              <w:rPr>
                <w:lang w:val="en-US"/>
              </w:rPr>
            </w:pPr>
            <w:r w:rsidRPr="00E1015D">
              <w:rPr>
                <w:lang w:val="en-US"/>
              </w:rPr>
              <w:t>ST/SG/AC.10/C.3/11</w:t>
            </w:r>
            <w:r w:rsidR="00086374">
              <w:rPr>
                <w:lang w:val="en-US"/>
              </w:rPr>
              <w:t>6</w:t>
            </w:r>
            <w:r w:rsidRPr="00E1015D">
              <w:rPr>
                <w:lang w:val="en-US"/>
              </w:rPr>
              <w:t xml:space="preserve"> et ST/SG/AC.10/C.3/11</w:t>
            </w:r>
            <w:r w:rsidR="005B2B4D">
              <w:rPr>
                <w:lang w:val="en-US"/>
              </w:rPr>
              <w:t>6</w:t>
            </w:r>
            <w:r w:rsidRPr="00E1015D">
              <w:rPr>
                <w:lang w:val="en-US"/>
              </w:rPr>
              <w:t xml:space="preserve">/Add.1 </w:t>
            </w:r>
          </w:p>
        </w:tc>
        <w:tc>
          <w:tcPr>
            <w:tcW w:w="4604" w:type="dxa"/>
          </w:tcPr>
          <w:p w14:paraId="62F657DA" w14:textId="022D5D3C" w:rsidR="00176865" w:rsidRPr="007D288C" w:rsidRDefault="00176865" w:rsidP="0026531E">
            <w:pPr>
              <w:spacing w:before="40" w:after="40"/>
              <w:rPr>
                <w:lang w:val="fr-FR"/>
              </w:rPr>
            </w:pPr>
            <w:r>
              <w:rPr>
                <w:lang w:val="fr-FR"/>
              </w:rPr>
              <w:t xml:space="preserve">Rapport du Sous-Comité d’experts du transport des marchandises dangereuses sur sa </w:t>
            </w:r>
            <w:r>
              <w:rPr>
                <w:lang w:val="fr-FR"/>
              </w:rPr>
              <w:br/>
              <w:t>cinquante-</w:t>
            </w:r>
            <w:r w:rsidR="0027785D">
              <w:rPr>
                <w:lang w:val="fr-FR"/>
              </w:rPr>
              <w:t>huitième</w:t>
            </w:r>
            <w:r>
              <w:rPr>
                <w:lang w:val="fr-FR"/>
              </w:rPr>
              <w:t xml:space="preserve"> session</w:t>
            </w:r>
          </w:p>
        </w:tc>
      </w:tr>
    </w:tbl>
    <w:p w14:paraId="0453B391" w14:textId="5D907568" w:rsidR="00B8156B" w:rsidRPr="007D288C" w:rsidRDefault="00613834" w:rsidP="0084709F">
      <w:pPr>
        <w:pStyle w:val="H1G"/>
        <w:rPr>
          <w:lang w:val="fr-FR"/>
        </w:rPr>
      </w:pPr>
      <w:r>
        <w:rPr>
          <w:lang w:val="fr-FR"/>
        </w:rPr>
        <w:lastRenderedPageBreak/>
        <w:tab/>
      </w:r>
      <w:r w:rsidR="00B8156B">
        <w:rPr>
          <w:lang w:val="fr-FR"/>
        </w:rPr>
        <w:t>2.</w:t>
      </w:r>
      <w:r w:rsidR="00B8156B">
        <w:rPr>
          <w:lang w:val="fr-FR"/>
        </w:rPr>
        <w:tab/>
      </w:r>
      <w:r w:rsidR="00B8156B" w:rsidRPr="00137685">
        <w:rPr>
          <w:lang w:val="fr-FR"/>
        </w:rPr>
        <w:t>Travaux relatifs au Système général harmonisé (SGH)</w:t>
      </w:r>
    </w:p>
    <w:p w14:paraId="1A1C67D1" w14:textId="5CAF39AD" w:rsidR="00B8156B" w:rsidRPr="00613834" w:rsidRDefault="00B8156B" w:rsidP="00FC2881">
      <w:pPr>
        <w:pStyle w:val="H23G"/>
      </w:pPr>
      <w:r>
        <w:rPr>
          <w:lang w:val="fr-FR"/>
        </w:rPr>
        <w:tab/>
      </w:r>
      <w:r w:rsidRPr="00613834">
        <w:t>a)</w:t>
      </w:r>
      <w:r w:rsidRPr="00613834">
        <w:tab/>
        <w:t>Travaux du Sous-Comité d’experts du transport des marchandises dangereuses (Sous-Comité TMD) sur des questions intéressant le Sous-Comité SGH</w:t>
      </w:r>
    </w:p>
    <w:p w14:paraId="4EC781DC" w14:textId="77777777" w:rsidR="00B8156B" w:rsidRPr="007D288C" w:rsidRDefault="00B8156B" w:rsidP="00B8156B">
      <w:pPr>
        <w:pStyle w:val="SingleTxtG"/>
        <w:rPr>
          <w:lang w:val="fr-FR"/>
        </w:rPr>
      </w:pPr>
      <w:r>
        <w:rPr>
          <w:lang w:val="fr-FR"/>
        </w:rPr>
        <w:t>Le Sous-Comité sera tenu au courant des résultats des discussions ayant eu lieu au sein du Sous-Comité TMD sur toute question l’intéressant pour ses travaux.</w:t>
      </w:r>
    </w:p>
    <w:p w14:paraId="24379B30" w14:textId="146F404E" w:rsidR="002507D4" w:rsidRPr="007D288C" w:rsidRDefault="00E71DA2" w:rsidP="00FC2881">
      <w:pPr>
        <w:pStyle w:val="H23G"/>
        <w:rPr>
          <w:lang w:val="fr-FR"/>
        </w:rPr>
      </w:pPr>
      <w:r>
        <w:rPr>
          <w:lang w:val="fr-FR"/>
        </w:rPr>
        <w:tab/>
      </w:r>
      <w:r w:rsidR="002507D4">
        <w:rPr>
          <w:lang w:val="fr-FR"/>
        </w:rPr>
        <w:t>b)</w:t>
      </w:r>
      <w:r w:rsidR="002507D4">
        <w:rPr>
          <w:lang w:val="fr-FR"/>
        </w:rPr>
        <w:tab/>
        <w:t>Classification simultanée dans les classes de danger physique et ordre de prépondérance des dangers</w:t>
      </w:r>
    </w:p>
    <w:p w14:paraId="04495257" w14:textId="5F0F0F84" w:rsidR="002507D4" w:rsidRPr="007D288C" w:rsidRDefault="002507D4" w:rsidP="002507D4">
      <w:pPr>
        <w:pStyle w:val="SingleTxtG"/>
        <w:rPr>
          <w:lang w:val="fr-FR"/>
        </w:rPr>
      </w:pPr>
      <w:r>
        <w:rPr>
          <w:lang w:val="fr-FR"/>
        </w:rPr>
        <w:t xml:space="preserve">L’expert de l’Allemagne souhaitera </w:t>
      </w:r>
      <w:r w:rsidR="008179B3">
        <w:rPr>
          <w:lang w:val="fr-FR"/>
        </w:rPr>
        <w:t>peut-être</w:t>
      </w:r>
      <w:r>
        <w:rPr>
          <w:lang w:val="fr-FR"/>
        </w:rPr>
        <w:t xml:space="preserve"> informer le Sous-Comité de l’état d’avancement des travaux sur </w:t>
      </w:r>
      <w:r w:rsidR="00E7127B">
        <w:rPr>
          <w:lang w:val="fr-FR"/>
        </w:rPr>
        <w:t>ce sujet</w:t>
      </w:r>
      <w:r>
        <w:rPr>
          <w:lang w:val="fr-FR"/>
        </w:rPr>
        <w:t xml:space="preserve"> depuis la </w:t>
      </w:r>
      <w:r w:rsidR="00E71DA2">
        <w:rPr>
          <w:lang w:val="fr-FR"/>
        </w:rPr>
        <w:t>quarantième</w:t>
      </w:r>
      <w:r>
        <w:rPr>
          <w:lang w:val="fr-FR"/>
        </w:rPr>
        <w:t xml:space="preserve"> session (</w:t>
      </w:r>
      <w:r w:rsidR="00E71DA2">
        <w:rPr>
          <w:lang w:val="fr-FR"/>
        </w:rPr>
        <w:t xml:space="preserve">voir </w:t>
      </w:r>
      <w:r>
        <w:rPr>
          <w:lang w:val="fr-FR"/>
        </w:rPr>
        <w:t>ST/SG/AC.10/</w:t>
      </w:r>
      <w:r w:rsidR="00836BED">
        <w:rPr>
          <w:lang w:val="fr-FR"/>
        </w:rPr>
        <w:t>C.4/80</w:t>
      </w:r>
      <w:r>
        <w:rPr>
          <w:lang w:val="fr-FR"/>
        </w:rPr>
        <w:t>, par. </w:t>
      </w:r>
      <w:r w:rsidR="00673469">
        <w:rPr>
          <w:lang w:val="fr-FR"/>
        </w:rPr>
        <w:t>11 et 12</w:t>
      </w:r>
      <w:r>
        <w:rPr>
          <w:lang w:val="fr-FR"/>
        </w:rPr>
        <w:t>).</w:t>
      </w:r>
    </w:p>
    <w:p w14:paraId="0BE8752D" w14:textId="699ADB74" w:rsidR="002507D4" w:rsidRDefault="002507D4" w:rsidP="00FC2881">
      <w:pPr>
        <w:pStyle w:val="H23G"/>
        <w:rPr>
          <w:lang w:val="fr-FR"/>
        </w:rPr>
      </w:pPr>
      <w:r>
        <w:rPr>
          <w:lang w:val="fr-FR"/>
        </w:rPr>
        <w:tab/>
        <w:t>c)</w:t>
      </w:r>
      <w:r>
        <w:rPr>
          <w:lang w:val="fr-FR"/>
        </w:rPr>
        <w:tab/>
      </w:r>
      <w:r w:rsidRPr="00631B11">
        <w:rPr>
          <w:lang w:val="fr-FR"/>
        </w:rPr>
        <w:t>Utilisation de méthodes d</w:t>
      </w:r>
      <w:r>
        <w:rPr>
          <w:lang w:val="fr-FR"/>
        </w:rPr>
        <w:t>’</w:t>
      </w:r>
      <w:r w:rsidRPr="00631B11">
        <w:rPr>
          <w:lang w:val="fr-FR"/>
        </w:rPr>
        <w:t>expérimentation non animales pour le classement des dangers pour la santé</w:t>
      </w:r>
    </w:p>
    <w:p w14:paraId="74CBC04A" w14:textId="3685FDB5" w:rsidR="005F1FF5" w:rsidRPr="005F1FF5" w:rsidRDefault="001446C0" w:rsidP="00FE7994">
      <w:pPr>
        <w:pStyle w:val="SingleTxtG"/>
        <w:rPr>
          <w:lang w:val="fr-FR"/>
        </w:rPr>
      </w:pPr>
      <w:r>
        <w:rPr>
          <w:lang w:val="fr-FR"/>
        </w:rPr>
        <w:t>L</w:t>
      </w:r>
      <w:r w:rsidR="00E951F3">
        <w:rPr>
          <w:lang w:val="fr-FR"/>
        </w:rPr>
        <w:t xml:space="preserve">es </w:t>
      </w:r>
      <w:r>
        <w:rPr>
          <w:lang w:val="fr-FR"/>
        </w:rPr>
        <w:t>expert</w:t>
      </w:r>
      <w:r w:rsidR="00E951F3">
        <w:rPr>
          <w:lang w:val="fr-FR"/>
        </w:rPr>
        <w:t>s du Royaume-Uni et des Pays-Bas sou</w:t>
      </w:r>
      <w:r w:rsidR="00810461">
        <w:rPr>
          <w:lang w:val="fr-FR"/>
        </w:rPr>
        <w:t xml:space="preserve">haiteront </w:t>
      </w:r>
      <w:r w:rsidR="008179B3">
        <w:rPr>
          <w:lang w:val="fr-FR"/>
        </w:rPr>
        <w:t>peut-être</w:t>
      </w:r>
      <w:r>
        <w:rPr>
          <w:lang w:val="fr-FR"/>
        </w:rPr>
        <w:t xml:space="preserve"> informer le Sous-Comité de l’état d’avancement des travaux sur </w:t>
      </w:r>
      <w:r w:rsidR="00E7127B">
        <w:rPr>
          <w:lang w:val="fr-FR"/>
        </w:rPr>
        <w:t>ce sujet</w:t>
      </w:r>
      <w:r>
        <w:rPr>
          <w:lang w:val="fr-FR"/>
        </w:rPr>
        <w:t xml:space="preserve"> depuis la quarantième session (voir ST/SG/AC.10/</w:t>
      </w:r>
      <w:r w:rsidR="00836BED">
        <w:rPr>
          <w:lang w:val="fr-FR"/>
        </w:rPr>
        <w:t>C.4/</w:t>
      </w:r>
      <w:r>
        <w:rPr>
          <w:lang w:val="fr-FR"/>
        </w:rPr>
        <w:t>80, par. 1</w:t>
      </w:r>
      <w:r w:rsidR="00856681">
        <w:rPr>
          <w:lang w:val="fr-FR"/>
        </w:rPr>
        <w:t>3</w:t>
      </w:r>
      <w:r>
        <w:rPr>
          <w:lang w:val="fr-FR"/>
        </w:rPr>
        <w:t xml:space="preserve"> </w:t>
      </w:r>
      <w:r w:rsidR="00856681">
        <w:rPr>
          <w:lang w:val="fr-FR"/>
        </w:rPr>
        <w:t>à</w:t>
      </w:r>
      <w:r>
        <w:rPr>
          <w:lang w:val="fr-FR"/>
        </w:rPr>
        <w:t xml:space="preserve"> 1</w:t>
      </w:r>
      <w:r w:rsidR="00856681">
        <w:rPr>
          <w:lang w:val="fr-FR"/>
        </w:rPr>
        <w:t>7</w:t>
      </w:r>
      <w:r>
        <w:rPr>
          <w:lang w:val="fr-FR"/>
        </w:rPr>
        <w:t>).</w:t>
      </w:r>
    </w:p>
    <w:p w14:paraId="00EC113C" w14:textId="2D56DE3E" w:rsidR="005F1FF5" w:rsidRDefault="005F1FF5" w:rsidP="00FC2881">
      <w:pPr>
        <w:pStyle w:val="H23G"/>
        <w:rPr>
          <w:lang w:val="fr-FR"/>
        </w:rPr>
      </w:pPr>
      <w:r>
        <w:rPr>
          <w:lang w:val="fr-FR"/>
        </w:rPr>
        <w:tab/>
        <w:t>d)</w:t>
      </w:r>
      <w:r>
        <w:rPr>
          <w:lang w:val="fr-FR"/>
        </w:rPr>
        <w:tab/>
        <w:t>Classification des sensibilisants cutanés à l’aide des résultats des méthodes d’essai des tests des ganglions lymphatiques locaux (LLNA) conformément à la ligne directrice de l’OCDE 442B</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604"/>
      </w:tblGrid>
      <w:tr w:rsidR="00DC0966" w:rsidRPr="00CD2FFA" w14:paraId="35F08EE5" w14:textId="77777777" w:rsidTr="00602F31">
        <w:tc>
          <w:tcPr>
            <w:tcW w:w="2766" w:type="dxa"/>
          </w:tcPr>
          <w:p w14:paraId="4037434A" w14:textId="03E9BB76" w:rsidR="00DC0966" w:rsidRPr="00CF1A41" w:rsidRDefault="00DC0966" w:rsidP="00602F31">
            <w:pPr>
              <w:spacing w:before="40" w:after="40"/>
            </w:pPr>
            <w:bookmarkStart w:id="0" w:name="_Hlk88042445"/>
            <w:r>
              <w:t>Document informel INF.6 (Japon)</w:t>
            </w:r>
          </w:p>
        </w:tc>
        <w:tc>
          <w:tcPr>
            <w:tcW w:w="4604" w:type="dxa"/>
          </w:tcPr>
          <w:p w14:paraId="231D4BC5" w14:textId="1ADDE5CF" w:rsidR="00DC0966" w:rsidRPr="00CF1A41" w:rsidRDefault="004D3308" w:rsidP="004D3308">
            <w:pPr>
              <w:spacing w:before="40" w:after="40"/>
              <w:ind w:left="69"/>
            </w:pPr>
            <w:r w:rsidRPr="004D3308">
              <w:t>Clarification des critères de classification pour la sensibilisation cutanée à l'aide d'études sur les animaux</w:t>
            </w:r>
          </w:p>
        </w:tc>
      </w:tr>
    </w:tbl>
    <w:bookmarkEnd w:id="0"/>
    <w:p w14:paraId="2B5D2A3B" w14:textId="44CBEF5B" w:rsidR="001E6877" w:rsidRDefault="00A51905" w:rsidP="00FC2881">
      <w:pPr>
        <w:pStyle w:val="H23G"/>
        <w:rPr>
          <w:lang w:val="fr-FR"/>
        </w:rPr>
      </w:pPr>
      <w:r>
        <w:rPr>
          <w:lang w:val="fr-FR"/>
        </w:rPr>
        <w:tab/>
        <w:t>e)</w:t>
      </w:r>
      <w:r>
        <w:rPr>
          <w:lang w:val="fr-FR"/>
        </w:rPr>
        <w:tab/>
        <w:t>Critères de classification de la mutagénicité sur les cellules germinales (sous-catégorie 1B)</w:t>
      </w:r>
    </w:p>
    <w:p w14:paraId="5EAA5391" w14:textId="7623285C" w:rsidR="007F318B" w:rsidRDefault="00E7127B" w:rsidP="00E7127B">
      <w:pPr>
        <w:pStyle w:val="SingleTxtG"/>
        <w:rPr>
          <w:lang w:val="fr-FR"/>
        </w:rPr>
      </w:pPr>
      <w:r w:rsidRPr="00E7127B">
        <w:rPr>
          <w:lang w:val="fr-FR"/>
        </w:rPr>
        <w:t>Le Sous-Comité sera informé de l'avancement des travaux sur ce sujet depuis la quarantième session</w:t>
      </w:r>
      <w:r w:rsidR="00FD367F">
        <w:rPr>
          <w:lang w:val="fr-FR"/>
        </w:rPr>
        <w:t xml:space="preserve"> (voir ST/SG/AC.10/C.4/80, par. 20 à 22)</w:t>
      </w:r>
      <w:r w:rsidRPr="00E7127B">
        <w:rPr>
          <w:lang w:val="fr-FR"/>
        </w:rPr>
        <w:t>.</w:t>
      </w:r>
    </w:p>
    <w:p w14:paraId="3DD04A6E" w14:textId="56A2EDDD" w:rsidR="00212D09" w:rsidRDefault="00212D09" w:rsidP="00E7127B">
      <w:pPr>
        <w:pStyle w:val="SingleTxtG"/>
        <w:rPr>
          <w:lang w:val="fr-FR"/>
        </w:rPr>
      </w:pPr>
      <w:r w:rsidRPr="00212D09">
        <w:rPr>
          <w:lang w:val="fr-FR"/>
        </w:rPr>
        <w:t>Le groupe de travail informel fera une présentation sur les questions et les défis actuels sur ce sujet, pour examen et discussion par le sous-comité.</w:t>
      </w:r>
    </w:p>
    <w:p w14:paraId="0219D508" w14:textId="01F0B0F3" w:rsidR="007F318B" w:rsidRPr="007D288C" w:rsidRDefault="007F318B" w:rsidP="00FC2881">
      <w:pPr>
        <w:pStyle w:val="H23G"/>
        <w:rPr>
          <w:lang w:val="fr-FR"/>
        </w:rPr>
      </w:pPr>
      <w:r>
        <w:rPr>
          <w:lang w:val="fr-FR"/>
        </w:rPr>
        <w:tab/>
        <w:t>f)</w:t>
      </w:r>
      <w:r>
        <w:rPr>
          <w:lang w:val="fr-FR"/>
        </w:rPr>
        <w:tab/>
        <w:t xml:space="preserve">Questions pratiques de classification (amendements proposés au SGH) </w:t>
      </w:r>
    </w:p>
    <w:p w14:paraId="340E4C8E" w14:textId="0852D94D" w:rsidR="007F318B" w:rsidRPr="007D288C" w:rsidRDefault="007F318B" w:rsidP="007F318B">
      <w:pPr>
        <w:pStyle w:val="SingleTxtG"/>
        <w:rPr>
          <w:lang w:val="fr-FR"/>
        </w:rPr>
      </w:pPr>
      <w:r>
        <w:rPr>
          <w:lang w:val="fr-FR"/>
        </w:rPr>
        <w:t xml:space="preserve">L’expert des États-Unis d’Amérique souhaitera </w:t>
      </w:r>
      <w:r w:rsidR="008179B3">
        <w:rPr>
          <w:lang w:val="fr-FR"/>
        </w:rPr>
        <w:t>peut-être</w:t>
      </w:r>
      <w:r>
        <w:rPr>
          <w:lang w:val="fr-FR"/>
        </w:rPr>
        <w:t xml:space="preserve"> informer le Sous-Comité de l’état d’avancement des travaux sur </w:t>
      </w:r>
      <w:r w:rsidR="00E7127B">
        <w:rPr>
          <w:lang w:val="fr-FR"/>
        </w:rPr>
        <w:t>ce sujet</w:t>
      </w:r>
      <w:r>
        <w:rPr>
          <w:lang w:val="fr-FR"/>
        </w:rPr>
        <w:t xml:space="preserve"> depuis la </w:t>
      </w:r>
      <w:r w:rsidR="00B40823" w:rsidRPr="00E7127B">
        <w:rPr>
          <w:lang w:val="fr-FR"/>
        </w:rPr>
        <w:t xml:space="preserve">quarantième </w:t>
      </w:r>
      <w:r>
        <w:rPr>
          <w:lang w:val="fr-FR"/>
        </w:rPr>
        <w:t>session (</w:t>
      </w:r>
      <w:r w:rsidR="00B40823">
        <w:rPr>
          <w:lang w:val="fr-FR"/>
        </w:rPr>
        <w:t>ST/SG/AC.10/C.4/80</w:t>
      </w:r>
      <w:r>
        <w:rPr>
          <w:lang w:val="fr-FR"/>
        </w:rPr>
        <w:t>, par. </w:t>
      </w:r>
      <w:r w:rsidR="00B40823">
        <w:rPr>
          <w:lang w:val="fr-FR"/>
        </w:rPr>
        <w:t xml:space="preserve">23 et </w:t>
      </w:r>
      <w:r w:rsidR="00D117F7">
        <w:rPr>
          <w:lang w:val="fr-FR"/>
        </w:rPr>
        <w:t>68 à 70</w:t>
      </w:r>
      <w:r>
        <w:rPr>
          <w:lang w:val="fr-FR"/>
        </w:rPr>
        <w:t>).</w:t>
      </w:r>
    </w:p>
    <w:p w14:paraId="1B4EECBC" w14:textId="7EE7AC8D" w:rsidR="008D7587" w:rsidRPr="007D288C" w:rsidRDefault="00D117F7" w:rsidP="00FC2881">
      <w:pPr>
        <w:pStyle w:val="H23G"/>
        <w:rPr>
          <w:lang w:val="fr-FR"/>
        </w:rPr>
      </w:pPr>
      <w:r>
        <w:rPr>
          <w:lang w:val="fr-FR"/>
        </w:rPr>
        <w:tab/>
      </w:r>
      <w:r w:rsidR="008D7587">
        <w:rPr>
          <w:lang w:val="fr-FR"/>
        </w:rPr>
        <w:t>g)</w:t>
      </w:r>
      <w:r w:rsidR="008D7587">
        <w:rPr>
          <w:lang w:val="fr-FR"/>
        </w:rPr>
        <w:tab/>
        <w:t>Nanomatériaux</w:t>
      </w:r>
    </w:p>
    <w:p w14:paraId="3DDCAFDB" w14:textId="77777777" w:rsidR="008D7587" w:rsidRPr="007D288C" w:rsidRDefault="008D7587" w:rsidP="008D7587">
      <w:pPr>
        <w:pStyle w:val="SingleTxtG"/>
        <w:rPr>
          <w:lang w:val="fr-FR"/>
        </w:rPr>
      </w:pPr>
      <w:r>
        <w:rPr>
          <w:lang w:val="fr-FR"/>
        </w:rPr>
        <w:t xml:space="preserve">Aucun document n’avait été soumis au titre de ce point de l’ordre du jour au moment de la rédaction du présent document. </w:t>
      </w:r>
    </w:p>
    <w:p w14:paraId="565329F1" w14:textId="5FD32606" w:rsidR="008D7587" w:rsidRDefault="008D7587" w:rsidP="00FC2881">
      <w:pPr>
        <w:pStyle w:val="H23G"/>
        <w:rPr>
          <w:lang w:val="fr-FR"/>
        </w:rPr>
      </w:pPr>
      <w:r>
        <w:rPr>
          <w:lang w:val="fr-FR"/>
        </w:rPr>
        <w:tab/>
        <w:t>h)</w:t>
      </w:r>
      <w:r>
        <w:rPr>
          <w:lang w:val="fr-FR"/>
        </w:rPr>
        <w:tab/>
        <w:t>Amélioration des annexes 1 à 3 et poursuite de la rationalisation des conseils de prudence</w:t>
      </w:r>
    </w:p>
    <w:p w14:paraId="1C9E5B1B" w14:textId="3015FFED" w:rsidR="007F318B" w:rsidRDefault="00031098" w:rsidP="00031098">
      <w:pPr>
        <w:pStyle w:val="SingleTxtG"/>
        <w:rPr>
          <w:lang w:val="fr-FR"/>
        </w:rPr>
      </w:pPr>
      <w:r w:rsidRPr="00031098">
        <w:rPr>
          <w:lang w:val="fr-FR"/>
        </w:rPr>
        <w:t>L'expert du Royaume-Uni souhaitera peut-être informer le Sous-Comité de l'état d'avancement des travaux sur ce sujet depuis la quarantième session (voir ST/SG/AC.10/C.4/80, par. 25 à 29).</w:t>
      </w:r>
    </w:p>
    <w:p w14:paraId="4036ACF0" w14:textId="1D8E2337" w:rsidR="006C08A8" w:rsidRDefault="0010515F" w:rsidP="00FC2881">
      <w:pPr>
        <w:pStyle w:val="H23G"/>
        <w:rPr>
          <w:lang w:val="fr-FR"/>
        </w:rPr>
      </w:pPr>
      <w:r>
        <w:rPr>
          <w:lang w:val="fr-FR"/>
        </w:rPr>
        <w:tab/>
      </w:r>
      <w:r w:rsidR="006C08A8">
        <w:rPr>
          <w:lang w:val="fr-FR"/>
        </w:rPr>
        <w:t>i)</w:t>
      </w:r>
      <w:r w:rsidR="006C08A8">
        <w:rPr>
          <w:lang w:val="fr-FR"/>
        </w:rPr>
        <w:tab/>
        <w:t>Autres questions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604"/>
      </w:tblGrid>
      <w:tr w:rsidR="006A1CE8" w:rsidRPr="00CD2FFA" w14:paraId="7FF492A2" w14:textId="77777777" w:rsidTr="0026531E">
        <w:tc>
          <w:tcPr>
            <w:tcW w:w="2557" w:type="dxa"/>
          </w:tcPr>
          <w:p w14:paraId="511574FA" w14:textId="69120ED6" w:rsidR="006A1CE8" w:rsidRPr="00CF1A41" w:rsidRDefault="006A1CE8" w:rsidP="0026531E">
            <w:pPr>
              <w:spacing w:before="40" w:after="40"/>
            </w:pPr>
            <w:r w:rsidRPr="00CF1A41">
              <w:t xml:space="preserve">ST/SG/AC.10/C.4/2021/7 </w:t>
            </w:r>
            <w:r w:rsidRPr="00CF1A41">
              <w:br/>
              <w:t>(</w:t>
            </w:r>
            <w:r w:rsidR="00AE6ED6">
              <w:t>Allemagne</w:t>
            </w:r>
            <w:r w:rsidRPr="00CF1A41">
              <w:t>) </w:t>
            </w:r>
          </w:p>
        </w:tc>
        <w:tc>
          <w:tcPr>
            <w:tcW w:w="4257" w:type="dxa"/>
          </w:tcPr>
          <w:p w14:paraId="3F356F1D" w14:textId="65FA6651" w:rsidR="006A1CE8" w:rsidRDefault="006A1CE8" w:rsidP="0026531E">
            <w:pPr>
              <w:spacing w:before="40" w:after="40"/>
            </w:pPr>
            <w:r>
              <w:t>Amendement au chapitre</w:t>
            </w:r>
            <w:r w:rsidRPr="00CF1A41">
              <w:t xml:space="preserve"> 2.17 “</w:t>
            </w:r>
            <w:r w:rsidR="00615106">
              <w:t xml:space="preserve"> </w:t>
            </w:r>
            <w:r w:rsidR="00615106" w:rsidRPr="00615106">
              <w:t>Matières explosibles désensibilisées</w:t>
            </w:r>
            <w:r w:rsidRPr="00CF1A41">
              <w:t xml:space="preserve">” </w:t>
            </w:r>
          </w:p>
        </w:tc>
      </w:tr>
      <w:tr w:rsidR="006A1CE8" w:rsidRPr="00CD2FFA" w14:paraId="140D2A3D" w14:textId="77777777" w:rsidTr="0026531E">
        <w:tc>
          <w:tcPr>
            <w:tcW w:w="2557" w:type="dxa"/>
          </w:tcPr>
          <w:p w14:paraId="64AA4EA7" w14:textId="4860B26D" w:rsidR="006A1CE8" w:rsidRPr="00CF1A41" w:rsidRDefault="006A1CE8" w:rsidP="0026531E">
            <w:pPr>
              <w:spacing w:before="40" w:after="40"/>
            </w:pPr>
            <w:r>
              <w:t>Document informel INF.3 (secr</w:t>
            </w:r>
            <w:r w:rsidR="00BC3B5A">
              <w:t>é</w:t>
            </w:r>
            <w:r>
              <w:t>tariat)</w:t>
            </w:r>
          </w:p>
        </w:tc>
        <w:tc>
          <w:tcPr>
            <w:tcW w:w="4257" w:type="dxa"/>
          </w:tcPr>
          <w:p w14:paraId="74985BF8" w14:textId="3B692DB6" w:rsidR="006A1CE8" w:rsidRPr="00CF1A41" w:rsidRDefault="0042333B" w:rsidP="0026531E">
            <w:pPr>
              <w:spacing w:before="40" w:after="40"/>
            </w:pPr>
            <w:r>
              <w:t>Projet de rectificatif à la neuvième édition révisée du SGH</w:t>
            </w:r>
          </w:p>
        </w:tc>
      </w:tr>
    </w:tbl>
    <w:p w14:paraId="20C951AB" w14:textId="447E17E7" w:rsidR="00FA3890" w:rsidRPr="007D288C" w:rsidRDefault="00276BBD" w:rsidP="00FC2881">
      <w:pPr>
        <w:pStyle w:val="H1G"/>
        <w:rPr>
          <w:lang w:val="fr-FR"/>
        </w:rPr>
      </w:pPr>
      <w:r>
        <w:rPr>
          <w:lang w:val="fr-FR"/>
        </w:rPr>
        <w:tab/>
      </w:r>
      <w:r w:rsidR="00FA3890">
        <w:rPr>
          <w:lang w:val="fr-FR"/>
        </w:rPr>
        <w:t>3.</w:t>
      </w:r>
      <w:r w:rsidR="00FA3890">
        <w:rPr>
          <w:lang w:val="fr-FR"/>
        </w:rPr>
        <w:tab/>
        <w:t>Mise en œuvre du SGH</w:t>
      </w:r>
    </w:p>
    <w:p w14:paraId="664EC218" w14:textId="77777777" w:rsidR="00FA3890" w:rsidRPr="007D288C" w:rsidRDefault="00FA3890" w:rsidP="00FC2881">
      <w:pPr>
        <w:pStyle w:val="H23G"/>
        <w:rPr>
          <w:lang w:val="fr-FR"/>
        </w:rPr>
      </w:pPr>
      <w:r>
        <w:rPr>
          <w:lang w:val="fr-FR"/>
        </w:rPr>
        <w:tab/>
        <w:t>a)</w:t>
      </w:r>
      <w:r>
        <w:rPr>
          <w:lang w:val="fr-FR"/>
        </w:rPr>
        <w:tab/>
        <w:t>Élaboration éventuelle d’une liste des produits chimiques classés conformément au SGH</w:t>
      </w:r>
    </w:p>
    <w:p w14:paraId="7678FCAA" w14:textId="3C94C36C" w:rsidR="00FA3890" w:rsidRPr="007D288C" w:rsidRDefault="00FA3890" w:rsidP="00FA3890">
      <w:pPr>
        <w:pStyle w:val="SingleTxtG"/>
        <w:rPr>
          <w:lang w:val="fr-FR"/>
        </w:rPr>
      </w:pPr>
      <w:r>
        <w:rPr>
          <w:lang w:val="fr-FR"/>
        </w:rPr>
        <w:t xml:space="preserve">Les experts du Canada et des États-Unis d’Amérique souhaiteront </w:t>
      </w:r>
      <w:r w:rsidR="00AB79D2">
        <w:rPr>
          <w:lang w:val="fr-FR"/>
        </w:rPr>
        <w:t>peut-être</w:t>
      </w:r>
      <w:r>
        <w:rPr>
          <w:lang w:val="fr-FR"/>
        </w:rPr>
        <w:t xml:space="preserve"> informer le Sous-Comité de l’état d’avancement des travaux sur </w:t>
      </w:r>
      <w:r w:rsidR="00AB79D2">
        <w:rPr>
          <w:lang w:val="fr-FR"/>
        </w:rPr>
        <w:t>ce sujet</w:t>
      </w:r>
      <w:r>
        <w:rPr>
          <w:lang w:val="fr-FR"/>
        </w:rPr>
        <w:t xml:space="preserve"> depuis la </w:t>
      </w:r>
      <w:r w:rsidR="00AB79D2">
        <w:rPr>
          <w:lang w:val="fr-FR"/>
        </w:rPr>
        <w:t xml:space="preserve">quarantième </w:t>
      </w:r>
      <w:r>
        <w:rPr>
          <w:lang w:val="fr-FR"/>
        </w:rPr>
        <w:t>session (ST/SG/AC.10/</w:t>
      </w:r>
      <w:r w:rsidR="00E6190F">
        <w:rPr>
          <w:lang w:val="fr-FR"/>
        </w:rPr>
        <w:t>C.4/80</w:t>
      </w:r>
      <w:r>
        <w:rPr>
          <w:lang w:val="fr-FR"/>
        </w:rPr>
        <w:t>, par. 4</w:t>
      </w:r>
      <w:r w:rsidR="00E6190F">
        <w:rPr>
          <w:lang w:val="fr-FR"/>
        </w:rPr>
        <w:t xml:space="preserve">1 à </w:t>
      </w:r>
      <w:r>
        <w:rPr>
          <w:lang w:val="fr-FR"/>
        </w:rPr>
        <w:t>4</w:t>
      </w:r>
      <w:r w:rsidR="00E6190F">
        <w:rPr>
          <w:lang w:val="fr-FR"/>
        </w:rPr>
        <w:t>3</w:t>
      </w:r>
      <w:r>
        <w:rPr>
          <w:lang w:val="fr-FR"/>
        </w:rPr>
        <w:t>).</w:t>
      </w:r>
    </w:p>
    <w:p w14:paraId="1A81FFD2" w14:textId="77777777" w:rsidR="00FA3890" w:rsidRDefault="00FA3890" w:rsidP="00FC2881">
      <w:pPr>
        <w:pStyle w:val="H23G"/>
        <w:rPr>
          <w:lang w:val="fr-FR"/>
        </w:rPr>
      </w:pPr>
      <w:r>
        <w:rPr>
          <w:lang w:val="fr-FR"/>
        </w:rPr>
        <w:tab/>
        <w:t>b)</w:t>
      </w:r>
      <w:r>
        <w:rPr>
          <w:lang w:val="fr-FR"/>
        </w:rPr>
        <w:tab/>
        <w:t>Rapports relatifs à l’état de la mise en œuvre</w:t>
      </w:r>
    </w:p>
    <w:p w14:paraId="24B46519" w14:textId="77777777" w:rsidR="00504D6C" w:rsidRDefault="00504D6C" w:rsidP="00504D6C">
      <w:pPr>
        <w:pStyle w:val="SingleTxtG"/>
        <w:spacing w:before="240"/>
      </w:pPr>
      <w:r>
        <w:t xml:space="preserve">Les participants au Sous-Comité SGH seront invités à fournir des informations sur les progrès accomplis dans la mise en œuvre du SGH (y compris les difficultés rencontrées, les enseignements tirés, l'impact) dans leurs pays ou domaines de travail. </w:t>
      </w:r>
    </w:p>
    <w:p w14:paraId="37972DF9" w14:textId="6CE58D6D" w:rsidR="00504D6C" w:rsidRDefault="00504D6C" w:rsidP="00504D6C">
      <w:pPr>
        <w:pStyle w:val="SingleTxtG"/>
        <w:spacing w:before="240"/>
      </w:pPr>
      <w:r>
        <w:t xml:space="preserve">Le Sous-Comité recevra une mise à jour sur la mise en œuvre de la stratégie de durabilité de l'Union européenne pour les produits chimiques, </w:t>
      </w:r>
      <w:r w:rsidR="00D40F18">
        <w:t>à la suite des</w:t>
      </w:r>
      <w:r>
        <w:t xml:space="preserve"> informations fournies à la quarantième session (pour référence, voir ST/SG/AC.10/C.4/80, par. 55 à 60).</w:t>
      </w:r>
    </w:p>
    <w:p w14:paraId="3D2F8ACA" w14:textId="77777777" w:rsidR="00FA3890" w:rsidRPr="007D288C" w:rsidRDefault="00FA3890" w:rsidP="00FC2881">
      <w:pPr>
        <w:pStyle w:val="H23G"/>
        <w:rPr>
          <w:lang w:val="fr-FR"/>
        </w:rPr>
      </w:pPr>
      <w:r>
        <w:rPr>
          <w:lang w:val="fr-FR"/>
        </w:rPr>
        <w:tab/>
        <w:t>c)</w:t>
      </w:r>
      <w:r>
        <w:rPr>
          <w:lang w:val="fr-FR"/>
        </w:rPr>
        <w:tab/>
        <w:t>Coopération avec d’autres organes ou organisations internationales</w:t>
      </w:r>
    </w:p>
    <w:p w14:paraId="32322768" w14:textId="77777777" w:rsidR="00E25078" w:rsidRPr="00E25078" w:rsidRDefault="00E25078" w:rsidP="00E25078">
      <w:pPr>
        <w:pStyle w:val="SingleTxtG"/>
        <w:rPr>
          <w:lang w:val="fr-FR"/>
        </w:rPr>
      </w:pPr>
      <w:r w:rsidRPr="00E25078">
        <w:rPr>
          <w:lang w:val="fr-FR"/>
        </w:rPr>
        <w:t xml:space="preserve">Il est prévu que les représentants de l'Organisation des Nations Unies pour l'alimentation et l'agriculture (FAO) et de l'Organisation mondiale de la santé (OMS) fournissent au Sous-Comité une mise à jour des progrès réalisés dans la mise en œuvre du SGH par le biais d'instruments juridiques, de recommandations ou de directives relevant de leur responsabilité. </w:t>
      </w:r>
    </w:p>
    <w:p w14:paraId="491E7CA6" w14:textId="77777777" w:rsidR="00E25078" w:rsidRPr="00E25078" w:rsidRDefault="00E25078" w:rsidP="00E25078">
      <w:pPr>
        <w:pStyle w:val="SingleTxtG"/>
        <w:rPr>
          <w:lang w:val="fr-FR"/>
        </w:rPr>
      </w:pPr>
      <w:r w:rsidRPr="00E25078">
        <w:rPr>
          <w:lang w:val="fr-FR"/>
        </w:rPr>
        <w:t xml:space="preserve">D'autres organes et organisations internationales peuvent également souhaiter informer le Sous-Comité des développements récents concernant la mise en œuvre du SGH dans leurs domaines de travail. </w:t>
      </w:r>
    </w:p>
    <w:p w14:paraId="7780F10B" w14:textId="77777777" w:rsidR="00FA3890" w:rsidRPr="007D288C" w:rsidRDefault="00FA3890" w:rsidP="00FC2881">
      <w:pPr>
        <w:pStyle w:val="H23G"/>
        <w:rPr>
          <w:lang w:val="fr-FR"/>
        </w:rPr>
      </w:pPr>
      <w:r>
        <w:rPr>
          <w:lang w:val="fr-FR"/>
        </w:rPr>
        <w:tab/>
        <w:t>d)</w:t>
      </w:r>
      <w:r>
        <w:rPr>
          <w:lang w:val="fr-FR"/>
        </w:rPr>
        <w:tab/>
        <w:t>Autres questions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604"/>
      </w:tblGrid>
      <w:tr w:rsidR="007E738A" w:rsidRPr="00CD2FFA" w14:paraId="7A408221" w14:textId="77777777" w:rsidTr="007E738A">
        <w:tc>
          <w:tcPr>
            <w:tcW w:w="2766" w:type="dxa"/>
          </w:tcPr>
          <w:p w14:paraId="71701333" w14:textId="2D5FD883" w:rsidR="007E738A" w:rsidRPr="00CF1A41" w:rsidRDefault="007E738A" w:rsidP="0026531E">
            <w:pPr>
              <w:spacing w:before="40" w:after="40"/>
            </w:pPr>
            <w:r>
              <w:t>Document informel INF.4 (Suède)</w:t>
            </w:r>
          </w:p>
        </w:tc>
        <w:tc>
          <w:tcPr>
            <w:tcW w:w="4604" w:type="dxa"/>
          </w:tcPr>
          <w:p w14:paraId="739D728D" w14:textId="69580805" w:rsidR="007E738A" w:rsidRPr="00CF1A41" w:rsidRDefault="00CD7608" w:rsidP="0026531E">
            <w:pPr>
              <w:spacing w:before="40" w:after="40"/>
            </w:pPr>
            <w:r w:rsidRPr="00CD7608">
              <w:t>Informations sur les activités visant à soutenir la mise en œuvre du SGH</w:t>
            </w:r>
          </w:p>
        </w:tc>
      </w:tr>
    </w:tbl>
    <w:p w14:paraId="6F2CB4C1" w14:textId="77777777" w:rsidR="00FA3890" w:rsidRPr="007D288C" w:rsidRDefault="00FA3890" w:rsidP="00FC2881">
      <w:pPr>
        <w:pStyle w:val="H1G"/>
        <w:rPr>
          <w:lang w:val="fr-FR"/>
        </w:rPr>
      </w:pPr>
      <w:r>
        <w:rPr>
          <w:lang w:val="fr-FR"/>
        </w:rPr>
        <w:tab/>
        <w:t>4.</w:t>
      </w:r>
      <w:r>
        <w:rPr>
          <w:lang w:val="fr-FR"/>
        </w:rPr>
        <w:tab/>
        <w:t xml:space="preserve">Mise au point de directives pour l’application </w:t>
      </w:r>
      <w:r>
        <w:rPr>
          <w:lang w:val="fr-FR"/>
        </w:rPr>
        <w:br/>
        <w:t>des critères du SGH</w:t>
      </w:r>
    </w:p>
    <w:p w14:paraId="211F4873" w14:textId="77777777" w:rsidR="00FA3890" w:rsidRPr="007D288C" w:rsidRDefault="00FA3890" w:rsidP="00FC2881">
      <w:pPr>
        <w:pStyle w:val="H23G"/>
        <w:rPr>
          <w:lang w:val="fr-FR"/>
        </w:rPr>
      </w:pPr>
      <w:r>
        <w:rPr>
          <w:lang w:val="fr-FR"/>
        </w:rPr>
        <w:tab/>
        <w:t>a)</w:t>
      </w:r>
      <w:r>
        <w:rPr>
          <w:lang w:val="fr-FR"/>
        </w:rPr>
        <w:tab/>
        <w:t>Alignement de l’annexe 9 (sect. A9.7) et de l’annexe 10 sur les critères du chapitre 4.1</w:t>
      </w:r>
    </w:p>
    <w:p w14:paraId="482B32D4" w14:textId="3DE39C1D" w:rsidR="00FA3890" w:rsidRPr="007D288C" w:rsidRDefault="00FA3890" w:rsidP="00FA3890">
      <w:pPr>
        <w:pStyle w:val="SingleTxtG"/>
        <w:rPr>
          <w:lang w:val="fr-FR"/>
        </w:rPr>
      </w:pPr>
      <w:r>
        <w:rPr>
          <w:lang w:val="fr-FR"/>
        </w:rPr>
        <w:t xml:space="preserve">Le représentant du Conseil international des mines et des métaux (CIMM) souhaitera </w:t>
      </w:r>
      <w:r w:rsidR="00CC2479">
        <w:rPr>
          <w:lang w:val="fr-FR"/>
        </w:rPr>
        <w:t>peut-être</w:t>
      </w:r>
      <w:r>
        <w:rPr>
          <w:lang w:val="fr-FR"/>
        </w:rPr>
        <w:t xml:space="preserve"> informer le Sous-Comité de l’état d’avancement des travaux sur </w:t>
      </w:r>
      <w:r w:rsidR="00CC2479">
        <w:rPr>
          <w:lang w:val="fr-FR"/>
        </w:rPr>
        <w:t>ce sujet</w:t>
      </w:r>
      <w:r>
        <w:rPr>
          <w:lang w:val="fr-FR"/>
        </w:rPr>
        <w:t xml:space="preserve"> depuis </w:t>
      </w:r>
      <w:r w:rsidR="00CC2479">
        <w:rPr>
          <w:lang w:val="fr-FR"/>
        </w:rPr>
        <w:t xml:space="preserve">quarantième </w:t>
      </w:r>
      <w:r>
        <w:rPr>
          <w:lang w:val="fr-FR"/>
        </w:rPr>
        <w:t>session (</w:t>
      </w:r>
      <w:r w:rsidR="006335A5">
        <w:rPr>
          <w:lang w:val="fr-FR"/>
        </w:rPr>
        <w:t xml:space="preserve">voir </w:t>
      </w:r>
      <w:r>
        <w:rPr>
          <w:lang w:val="fr-FR"/>
        </w:rPr>
        <w:t>ST/SG/AC.10/</w:t>
      </w:r>
      <w:r w:rsidR="00CC2479">
        <w:rPr>
          <w:lang w:val="fr-FR"/>
        </w:rPr>
        <w:t>C.4/</w:t>
      </w:r>
      <w:r>
        <w:rPr>
          <w:lang w:val="fr-FR"/>
        </w:rPr>
        <w:t>8</w:t>
      </w:r>
      <w:r w:rsidR="00CC2479">
        <w:rPr>
          <w:lang w:val="fr-FR"/>
        </w:rPr>
        <w:t>0</w:t>
      </w:r>
      <w:r>
        <w:rPr>
          <w:lang w:val="fr-FR"/>
        </w:rPr>
        <w:t>, par. </w:t>
      </w:r>
      <w:r w:rsidR="00CC2479">
        <w:rPr>
          <w:lang w:val="fr-FR"/>
        </w:rPr>
        <w:t>67</w:t>
      </w:r>
      <w:r>
        <w:rPr>
          <w:lang w:val="fr-FR"/>
        </w:rPr>
        <w:t>).</w:t>
      </w:r>
    </w:p>
    <w:p w14:paraId="3C49BAB2" w14:textId="77777777" w:rsidR="00FA3890" w:rsidRPr="007D288C" w:rsidRDefault="00FA3890" w:rsidP="00FC2881">
      <w:pPr>
        <w:pStyle w:val="H23G"/>
        <w:rPr>
          <w:lang w:val="fr-FR"/>
        </w:rPr>
      </w:pPr>
      <w:r>
        <w:rPr>
          <w:lang w:val="fr-FR"/>
        </w:rPr>
        <w:tab/>
        <w:t>b)</w:t>
      </w:r>
      <w:r>
        <w:rPr>
          <w:lang w:val="fr-FR"/>
        </w:rPr>
        <w:tab/>
        <w:t>Questions pratiques de classification</w:t>
      </w:r>
    </w:p>
    <w:p w14:paraId="738C03AC" w14:textId="3F16A9B7" w:rsidR="00FA3890" w:rsidRPr="007D288C" w:rsidRDefault="00FA3890" w:rsidP="00FA3890">
      <w:pPr>
        <w:pStyle w:val="SingleTxtG"/>
        <w:rPr>
          <w:lang w:val="fr-FR"/>
        </w:rPr>
      </w:pPr>
      <w:r>
        <w:rPr>
          <w:lang w:val="fr-FR"/>
        </w:rPr>
        <w:t xml:space="preserve">L’expert des États-Unis d’Amérique souhaitera </w:t>
      </w:r>
      <w:r w:rsidR="00544EA7">
        <w:rPr>
          <w:lang w:val="fr-FR"/>
        </w:rPr>
        <w:t>peut-être</w:t>
      </w:r>
      <w:r>
        <w:rPr>
          <w:lang w:val="fr-FR"/>
        </w:rPr>
        <w:t xml:space="preserve"> informer le Sous-Comité de l’état d’avancement de l’élaboration d’exemples concernant l’application des critères du SGH depuis </w:t>
      </w:r>
      <w:r w:rsidR="006335A5">
        <w:rPr>
          <w:lang w:val="fr-FR"/>
        </w:rPr>
        <w:t>quarantième</w:t>
      </w:r>
      <w:r>
        <w:rPr>
          <w:lang w:val="fr-FR"/>
        </w:rPr>
        <w:t xml:space="preserve"> session (</w:t>
      </w:r>
      <w:r w:rsidR="006335A5">
        <w:rPr>
          <w:lang w:val="fr-FR"/>
        </w:rPr>
        <w:t xml:space="preserve">voir </w:t>
      </w:r>
      <w:r>
        <w:rPr>
          <w:lang w:val="fr-FR"/>
        </w:rPr>
        <w:t>ST/SG/AC.10/</w:t>
      </w:r>
      <w:r w:rsidR="006335A5">
        <w:rPr>
          <w:lang w:val="fr-FR"/>
        </w:rPr>
        <w:t>C.4/</w:t>
      </w:r>
      <w:r>
        <w:rPr>
          <w:lang w:val="fr-FR"/>
        </w:rPr>
        <w:t>8</w:t>
      </w:r>
      <w:r w:rsidR="006335A5">
        <w:rPr>
          <w:lang w:val="fr-FR"/>
        </w:rPr>
        <w:t>0</w:t>
      </w:r>
      <w:r>
        <w:rPr>
          <w:lang w:val="fr-FR"/>
        </w:rPr>
        <w:t>, par. </w:t>
      </w:r>
      <w:r w:rsidR="00A5786B">
        <w:rPr>
          <w:lang w:val="fr-FR"/>
        </w:rPr>
        <w:t>68 à 70</w:t>
      </w:r>
      <w:r>
        <w:rPr>
          <w:lang w:val="fr-FR"/>
        </w:rPr>
        <w:t>).</w:t>
      </w:r>
    </w:p>
    <w:p w14:paraId="5D75C27C" w14:textId="77777777" w:rsidR="00FA3890" w:rsidRPr="007D288C" w:rsidRDefault="00FA3890" w:rsidP="00FC2881">
      <w:pPr>
        <w:pStyle w:val="H23G"/>
        <w:rPr>
          <w:lang w:val="fr-FR"/>
        </w:rPr>
      </w:pPr>
      <w:r>
        <w:rPr>
          <w:lang w:val="fr-FR"/>
        </w:rPr>
        <w:tab/>
        <w:t>c)</w:t>
      </w:r>
      <w:r>
        <w:rPr>
          <w:lang w:val="fr-FR"/>
        </w:rPr>
        <w:tab/>
        <w:t>Questions pratiques d’étiquetage</w:t>
      </w:r>
    </w:p>
    <w:p w14:paraId="09B3098F" w14:textId="414116A4" w:rsidR="00FA3890" w:rsidRDefault="00FA3890" w:rsidP="00FA3890">
      <w:pPr>
        <w:pStyle w:val="SingleTxtG"/>
        <w:rPr>
          <w:lang w:val="fr-FR"/>
        </w:rPr>
      </w:pPr>
      <w:r>
        <w:rPr>
          <w:lang w:val="fr-FR"/>
        </w:rPr>
        <w:t xml:space="preserve">Le représentant du Conseil européen de l’industrie chimique (CEFIC) souhaitera </w:t>
      </w:r>
      <w:r w:rsidR="00A5786B">
        <w:rPr>
          <w:lang w:val="fr-FR"/>
        </w:rPr>
        <w:t>peut-être</w:t>
      </w:r>
      <w:r>
        <w:rPr>
          <w:lang w:val="fr-FR"/>
        </w:rPr>
        <w:t xml:space="preserve"> informer le Sous-Comité de l’état d’avancement des travaux sur </w:t>
      </w:r>
      <w:r w:rsidR="00A5786B">
        <w:rPr>
          <w:lang w:val="fr-FR"/>
        </w:rPr>
        <w:t>ce sujet</w:t>
      </w:r>
      <w:r>
        <w:rPr>
          <w:lang w:val="fr-FR"/>
        </w:rPr>
        <w:t xml:space="preserve"> depuis la </w:t>
      </w:r>
      <w:r w:rsidR="00A5786B">
        <w:rPr>
          <w:lang w:val="fr-FR"/>
        </w:rPr>
        <w:t xml:space="preserve">quarantième </w:t>
      </w:r>
      <w:r>
        <w:rPr>
          <w:lang w:val="fr-FR"/>
        </w:rPr>
        <w:t>session (</w:t>
      </w:r>
      <w:r w:rsidR="00A5786B">
        <w:rPr>
          <w:lang w:val="fr-FR"/>
        </w:rPr>
        <w:t xml:space="preserve">voir </w:t>
      </w:r>
      <w:r>
        <w:rPr>
          <w:lang w:val="fr-FR"/>
        </w:rPr>
        <w:t>ST/SG/AC.10/</w:t>
      </w:r>
      <w:r w:rsidR="00A5786B">
        <w:rPr>
          <w:lang w:val="fr-FR"/>
        </w:rPr>
        <w:t>C.4/</w:t>
      </w:r>
      <w:r>
        <w:rPr>
          <w:lang w:val="fr-FR"/>
        </w:rPr>
        <w:t>8</w:t>
      </w:r>
      <w:r w:rsidR="00A5786B">
        <w:rPr>
          <w:lang w:val="fr-FR"/>
        </w:rPr>
        <w:t>0</w:t>
      </w:r>
      <w:r>
        <w:rPr>
          <w:lang w:val="fr-FR"/>
        </w:rPr>
        <w:t>, par. </w:t>
      </w:r>
      <w:r w:rsidR="00A5786B">
        <w:rPr>
          <w:lang w:val="fr-FR"/>
        </w:rPr>
        <w:t>71 et 72</w:t>
      </w:r>
      <w:r>
        <w:rPr>
          <w:lang w:val="fr-FR"/>
        </w:rPr>
        <w:t>).</w:t>
      </w:r>
    </w:p>
    <w:p w14:paraId="790E6053" w14:textId="0294AB39" w:rsidR="00ED3444" w:rsidRPr="007D288C" w:rsidRDefault="00ED3444" w:rsidP="00FA3890">
      <w:pPr>
        <w:pStyle w:val="SingleTxtG"/>
        <w:rPr>
          <w:lang w:val="fr-FR"/>
        </w:rPr>
      </w:pPr>
      <w:r w:rsidRPr="00ED3444">
        <w:rPr>
          <w:lang w:val="fr-FR"/>
        </w:rPr>
        <w:t>Le Sous-Comité sera informé des résultats préliminaires d'une étude sur l'étiquetage numérique des produits soumis aux dispositions du règlement sur la classification, l'étiquetage et l'emballage mettant en œuvre le SGH dans l'Union européenne.</w:t>
      </w:r>
    </w:p>
    <w:p w14:paraId="348265C0" w14:textId="77777777" w:rsidR="00FA3890" w:rsidRPr="007D288C" w:rsidRDefault="00FA3890" w:rsidP="00FC2881">
      <w:pPr>
        <w:pStyle w:val="H23G"/>
        <w:rPr>
          <w:lang w:val="fr-FR"/>
        </w:rPr>
      </w:pPr>
      <w:r>
        <w:rPr>
          <w:lang w:val="fr-FR"/>
        </w:rPr>
        <w:tab/>
        <w:t>d)</w:t>
      </w:r>
      <w:r>
        <w:rPr>
          <w:lang w:val="fr-FR"/>
        </w:rPr>
        <w:tab/>
        <w:t>Autres questions</w:t>
      </w:r>
    </w:p>
    <w:p w14:paraId="09865670" w14:textId="77777777" w:rsidR="00FA3890" w:rsidRPr="007D288C" w:rsidRDefault="00FA3890" w:rsidP="00FA3890">
      <w:pPr>
        <w:pStyle w:val="SingleTxtG"/>
        <w:rPr>
          <w:lang w:val="fr-FR"/>
        </w:rPr>
      </w:pPr>
      <w:r>
        <w:rPr>
          <w:lang w:val="fr-FR"/>
        </w:rPr>
        <w:t xml:space="preserve">Aucun document n’avait été soumis au titre de ce point de l’ordre du jour au moment de la rédaction du présent document. </w:t>
      </w:r>
    </w:p>
    <w:p w14:paraId="01AEB872" w14:textId="77777777" w:rsidR="00FA3890" w:rsidRPr="007D288C" w:rsidRDefault="00FA3890" w:rsidP="00FC2881">
      <w:pPr>
        <w:pStyle w:val="H1G"/>
        <w:rPr>
          <w:lang w:val="fr-FR"/>
        </w:rPr>
      </w:pPr>
      <w:r>
        <w:rPr>
          <w:lang w:val="fr-FR"/>
        </w:rPr>
        <w:tab/>
        <w:t>5.</w:t>
      </w:r>
      <w:r>
        <w:rPr>
          <w:lang w:val="fr-FR"/>
        </w:rPr>
        <w:tab/>
        <w:t>Renforcement des capacités</w:t>
      </w:r>
    </w:p>
    <w:p w14:paraId="26E691E8" w14:textId="77777777" w:rsidR="00FA3890" w:rsidRPr="007D288C" w:rsidRDefault="00FA3890" w:rsidP="00FA3890">
      <w:pPr>
        <w:pStyle w:val="SingleTxtG"/>
        <w:rPr>
          <w:lang w:val="fr-FR"/>
        </w:rPr>
      </w:pPr>
      <w:r>
        <w:rPr>
          <w:lang w:val="fr-FR"/>
        </w:rPr>
        <w:t>Les experts, observateurs et organisations internationales souhaiteront peut-être informer le Sous-Comité de toutes les activités et de tous les projets de renforcement des capacités entrepris en lien avec le SGH.</w:t>
      </w:r>
    </w:p>
    <w:p w14:paraId="7678365D" w14:textId="77777777" w:rsidR="00FA3890" w:rsidRPr="007D288C" w:rsidRDefault="00FA3890" w:rsidP="00FC2881">
      <w:pPr>
        <w:pStyle w:val="H1G"/>
        <w:rPr>
          <w:lang w:val="fr-FR"/>
        </w:rPr>
      </w:pPr>
      <w:r>
        <w:rPr>
          <w:lang w:val="fr-FR"/>
        </w:rPr>
        <w:tab/>
        <w:t>6.</w:t>
      </w:r>
      <w:r>
        <w:rPr>
          <w:lang w:val="fr-FR"/>
        </w:rPr>
        <w:tab/>
        <w:t>Questions diverses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604"/>
      </w:tblGrid>
      <w:tr w:rsidR="00B23729" w:rsidRPr="00CD2FFA" w14:paraId="7DE66C4F" w14:textId="77777777" w:rsidTr="0026531E">
        <w:tc>
          <w:tcPr>
            <w:tcW w:w="2766" w:type="dxa"/>
          </w:tcPr>
          <w:p w14:paraId="6E07473E" w14:textId="2D4E6F02" w:rsidR="00B23729" w:rsidRPr="00CF1A41" w:rsidRDefault="00B23729" w:rsidP="0026531E">
            <w:pPr>
              <w:spacing w:before="40" w:after="40"/>
            </w:pPr>
            <w:r>
              <w:t>Document informel INF.5 (secrétariat)</w:t>
            </w:r>
          </w:p>
        </w:tc>
        <w:tc>
          <w:tcPr>
            <w:tcW w:w="4604" w:type="dxa"/>
          </w:tcPr>
          <w:p w14:paraId="28451940" w14:textId="053FC3F8" w:rsidR="00B23729" w:rsidRPr="00CF1A41" w:rsidRDefault="00445F71" w:rsidP="0026531E">
            <w:pPr>
              <w:spacing w:before="40" w:after="40"/>
            </w:pPr>
            <w:r w:rsidRPr="00445F71">
              <w:t>Examen des organes subsidiaires de l'ECOSOC à réaliser lors de la session 2022 de l'ECOSOC, contributions attendues du sous-comité SGH et actions de suivi correspondantes.</w:t>
            </w:r>
          </w:p>
        </w:tc>
      </w:tr>
    </w:tbl>
    <w:p w14:paraId="02204FCD" w14:textId="77777777" w:rsidR="00FA3890" w:rsidRPr="007D288C" w:rsidRDefault="00FA3890" w:rsidP="00FC2881">
      <w:pPr>
        <w:pStyle w:val="H1G"/>
        <w:rPr>
          <w:lang w:val="fr-FR"/>
        </w:rPr>
      </w:pPr>
      <w:r>
        <w:rPr>
          <w:lang w:val="fr-FR"/>
        </w:rPr>
        <w:tab/>
        <w:t>7.</w:t>
      </w:r>
      <w:r>
        <w:rPr>
          <w:lang w:val="fr-FR"/>
        </w:rPr>
        <w:tab/>
        <w:t>Adoption du rapport</w:t>
      </w:r>
    </w:p>
    <w:p w14:paraId="2CA21F8D" w14:textId="1BE86EFD" w:rsidR="00FA3890" w:rsidRDefault="00FA3890" w:rsidP="00FA3890">
      <w:pPr>
        <w:pStyle w:val="SingleTxtG"/>
      </w:pPr>
      <w:r>
        <w:rPr>
          <w:lang w:val="fr-FR"/>
        </w:rPr>
        <w:t xml:space="preserve">Conformément à l’usage, </w:t>
      </w:r>
      <w:r w:rsidR="00DB7154" w:rsidRPr="00DB7154">
        <w:rPr>
          <w:lang w:val="fr-FR"/>
        </w:rPr>
        <w:t>le Sous-Comité souhaitera peut-être adopter le rapport sur sa quarante et unième session sur la base d'un projet établi par le secrétariat.</w:t>
      </w:r>
    </w:p>
    <w:p w14:paraId="62A120EA" w14:textId="77777777" w:rsidR="00FA3890" w:rsidRPr="000810BA" w:rsidRDefault="00FA3890" w:rsidP="00FA3890">
      <w:pPr>
        <w:pStyle w:val="SingleTxtG"/>
        <w:spacing w:before="240" w:after="0"/>
        <w:jc w:val="center"/>
        <w:rPr>
          <w:u w:val="single"/>
        </w:rPr>
      </w:pPr>
      <w:r>
        <w:rPr>
          <w:u w:val="single"/>
        </w:rPr>
        <w:tab/>
      </w:r>
      <w:r>
        <w:rPr>
          <w:u w:val="single"/>
        </w:rPr>
        <w:tab/>
      </w:r>
      <w:r>
        <w:rPr>
          <w:u w:val="single"/>
        </w:rPr>
        <w:tab/>
      </w:r>
    </w:p>
    <w:p w14:paraId="77194DC4" w14:textId="77777777" w:rsidR="00FA3890" w:rsidRPr="007F318B" w:rsidRDefault="00FA3890" w:rsidP="007F318B">
      <w:pPr>
        <w:rPr>
          <w:lang w:val="fr-FR"/>
        </w:rPr>
      </w:pPr>
    </w:p>
    <w:sectPr w:rsidR="00FA3890" w:rsidRPr="007F318B" w:rsidSect="00B55DC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5058" w14:textId="77777777" w:rsidR="008B32DA" w:rsidRDefault="008B32DA" w:rsidP="00F95C08">
      <w:pPr>
        <w:spacing w:line="240" w:lineRule="auto"/>
      </w:pPr>
    </w:p>
  </w:endnote>
  <w:endnote w:type="continuationSeparator" w:id="0">
    <w:p w14:paraId="2B34F426" w14:textId="77777777" w:rsidR="008B32DA" w:rsidRPr="00AC3823" w:rsidRDefault="008B32DA" w:rsidP="00AC3823">
      <w:pPr>
        <w:pStyle w:val="Footer"/>
      </w:pPr>
    </w:p>
  </w:endnote>
  <w:endnote w:type="continuationNotice" w:id="1">
    <w:p w14:paraId="417267AB" w14:textId="77777777" w:rsidR="008B32DA" w:rsidRDefault="008B32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34DB" w14:textId="77777777" w:rsidR="00B55DC8" w:rsidRPr="00B55DC8" w:rsidRDefault="00B55DC8" w:rsidP="00B55DC8">
    <w:pPr>
      <w:pStyle w:val="Footer"/>
      <w:tabs>
        <w:tab w:val="right" w:pos="9638"/>
      </w:tabs>
      <w:rPr>
        <w:sz w:val="18"/>
      </w:rPr>
    </w:pPr>
    <w:r w:rsidRPr="00B55DC8">
      <w:rPr>
        <w:b/>
        <w:sz w:val="18"/>
      </w:rPr>
      <w:fldChar w:fldCharType="begin"/>
    </w:r>
    <w:r w:rsidRPr="00B55DC8">
      <w:rPr>
        <w:b/>
        <w:sz w:val="18"/>
      </w:rPr>
      <w:instrText xml:space="preserve"> PAGE  \* MERGEFORMAT </w:instrText>
    </w:r>
    <w:r w:rsidRPr="00B55DC8">
      <w:rPr>
        <w:b/>
        <w:sz w:val="18"/>
      </w:rPr>
      <w:fldChar w:fldCharType="separate"/>
    </w:r>
    <w:r w:rsidRPr="00B55DC8">
      <w:rPr>
        <w:b/>
        <w:noProof/>
        <w:sz w:val="18"/>
      </w:rPr>
      <w:t>2</w:t>
    </w:r>
    <w:r w:rsidRPr="00B55D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E457" w14:textId="77777777" w:rsidR="00B55DC8" w:rsidRPr="00B55DC8" w:rsidRDefault="00B55DC8" w:rsidP="00B55DC8">
    <w:pPr>
      <w:pStyle w:val="Footer"/>
      <w:tabs>
        <w:tab w:val="right" w:pos="9638"/>
      </w:tabs>
      <w:rPr>
        <w:b/>
        <w:sz w:val="18"/>
      </w:rPr>
    </w:pPr>
    <w:r>
      <w:tab/>
    </w:r>
    <w:r w:rsidRPr="00B55DC8">
      <w:rPr>
        <w:b/>
        <w:sz w:val="18"/>
      </w:rPr>
      <w:fldChar w:fldCharType="begin"/>
    </w:r>
    <w:r w:rsidRPr="00B55DC8">
      <w:rPr>
        <w:b/>
        <w:sz w:val="18"/>
      </w:rPr>
      <w:instrText xml:space="preserve"> PAGE  \* MERGEFORMAT </w:instrText>
    </w:r>
    <w:r w:rsidRPr="00B55DC8">
      <w:rPr>
        <w:b/>
        <w:sz w:val="18"/>
      </w:rPr>
      <w:fldChar w:fldCharType="separate"/>
    </w:r>
    <w:r w:rsidRPr="00B55DC8">
      <w:rPr>
        <w:b/>
        <w:noProof/>
        <w:sz w:val="18"/>
      </w:rPr>
      <w:t>3</w:t>
    </w:r>
    <w:r w:rsidRPr="00B55D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F97A" w14:textId="77777777" w:rsidR="0068456F" w:rsidRPr="00B55DC8" w:rsidRDefault="0068456F">
    <w:pPr>
      <w:pStyle w:val="Footer"/>
      <w:rPr>
        <w:sz w:val="20"/>
      </w:rPr>
    </w:pPr>
    <w:r>
      <w:rPr>
        <w:noProof/>
        <w:lang w:eastAsia="fr-CH"/>
      </w:rPr>
      <w:drawing>
        <wp:anchor distT="0" distB="0" distL="114300" distR="114300" simplePos="0" relativeHeight="251659264" behindDoc="0" locked="0" layoutInCell="1" allowOverlap="0" wp14:anchorId="77206353" wp14:editId="308F55E6">
          <wp:simplePos x="0" y="0"/>
          <wp:positionH relativeFrom="margin">
            <wp:posOffset>5003800</wp:posOffset>
          </wp:positionH>
          <wp:positionV relativeFrom="margin">
            <wp:posOffset>9323705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B360" w14:textId="77777777" w:rsidR="008B32DA" w:rsidRPr="00AC3823" w:rsidRDefault="008B32DA" w:rsidP="00AC3823">
      <w:pPr>
        <w:pStyle w:val="Footer"/>
        <w:tabs>
          <w:tab w:val="right" w:pos="2155"/>
        </w:tabs>
        <w:spacing w:after="80" w:line="240" w:lineRule="atLeast"/>
        <w:ind w:left="680"/>
        <w:rPr>
          <w:u w:val="single"/>
        </w:rPr>
      </w:pPr>
      <w:r>
        <w:rPr>
          <w:u w:val="single"/>
        </w:rPr>
        <w:tab/>
      </w:r>
    </w:p>
  </w:footnote>
  <w:footnote w:type="continuationSeparator" w:id="0">
    <w:p w14:paraId="0BDBCAF5" w14:textId="77777777" w:rsidR="008B32DA" w:rsidRPr="00AC3823" w:rsidRDefault="008B32DA" w:rsidP="00AC3823">
      <w:pPr>
        <w:pStyle w:val="Footer"/>
        <w:tabs>
          <w:tab w:val="right" w:pos="2155"/>
        </w:tabs>
        <w:spacing w:after="80" w:line="240" w:lineRule="atLeast"/>
        <w:ind w:left="680"/>
        <w:rPr>
          <w:u w:val="single"/>
        </w:rPr>
      </w:pPr>
      <w:r>
        <w:rPr>
          <w:u w:val="single"/>
        </w:rPr>
        <w:tab/>
      </w:r>
    </w:p>
  </w:footnote>
  <w:footnote w:type="continuationNotice" w:id="1">
    <w:p w14:paraId="19A531D4" w14:textId="77777777" w:rsidR="008B32DA" w:rsidRPr="00AC3823" w:rsidRDefault="008B32D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BDC6" w14:textId="77533AB1" w:rsidR="00B55DC8" w:rsidRPr="00B55DC8" w:rsidRDefault="008B32DA">
    <w:pPr>
      <w:pStyle w:val="Header"/>
    </w:pPr>
    <w:r>
      <w:fldChar w:fldCharType="begin"/>
    </w:r>
    <w:r>
      <w:instrText xml:space="preserve"> TITLE  \* MERGEFORMAT </w:instrText>
    </w:r>
    <w:r>
      <w:fldChar w:fldCharType="separate"/>
    </w:r>
    <w:r w:rsidR="002F1B60">
      <w:t>ST/SG/AC.10/C.4/81/Add.1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C59F" w14:textId="3E0BE44D" w:rsidR="00B55DC8" w:rsidRPr="00B55DC8" w:rsidRDefault="008B32DA" w:rsidP="00B55DC8">
    <w:pPr>
      <w:pStyle w:val="Header"/>
      <w:jc w:val="right"/>
    </w:pPr>
    <w:r>
      <w:fldChar w:fldCharType="begin"/>
    </w:r>
    <w:r>
      <w:instrText xml:space="preserve"> TITLE  \* MERGEFORMAT </w:instrText>
    </w:r>
    <w:r>
      <w:fldChar w:fldCharType="separate"/>
    </w:r>
    <w:r w:rsidR="002F1B60">
      <w:t>ST/SG/AC.10/C.4/81/Add.1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8"/>
    <w:rsid w:val="00017F94"/>
    <w:rsid w:val="00023842"/>
    <w:rsid w:val="000305D3"/>
    <w:rsid w:val="00031098"/>
    <w:rsid w:val="000334F9"/>
    <w:rsid w:val="0007796D"/>
    <w:rsid w:val="00086374"/>
    <w:rsid w:val="000B7790"/>
    <w:rsid w:val="0010515F"/>
    <w:rsid w:val="00111F2F"/>
    <w:rsid w:val="00132EA9"/>
    <w:rsid w:val="00137E2C"/>
    <w:rsid w:val="0014365E"/>
    <w:rsid w:val="001446C0"/>
    <w:rsid w:val="00145FB5"/>
    <w:rsid w:val="00167865"/>
    <w:rsid w:val="00176178"/>
    <w:rsid w:val="00176865"/>
    <w:rsid w:val="001820BB"/>
    <w:rsid w:val="0019265B"/>
    <w:rsid w:val="001E6877"/>
    <w:rsid w:val="001F525A"/>
    <w:rsid w:val="00212D09"/>
    <w:rsid w:val="00223272"/>
    <w:rsid w:val="0024779E"/>
    <w:rsid w:val="002507D4"/>
    <w:rsid w:val="00276BBD"/>
    <w:rsid w:val="0027785D"/>
    <w:rsid w:val="00283190"/>
    <w:rsid w:val="002832AC"/>
    <w:rsid w:val="002D7C93"/>
    <w:rsid w:val="002F1B60"/>
    <w:rsid w:val="00326AFD"/>
    <w:rsid w:val="003B107D"/>
    <w:rsid w:val="004049E1"/>
    <w:rsid w:val="0042333B"/>
    <w:rsid w:val="00441C3B"/>
    <w:rsid w:val="00445F71"/>
    <w:rsid w:val="00446FE5"/>
    <w:rsid w:val="00452396"/>
    <w:rsid w:val="00493391"/>
    <w:rsid w:val="004D3308"/>
    <w:rsid w:val="004D55EF"/>
    <w:rsid w:val="004E468C"/>
    <w:rsid w:val="00503921"/>
    <w:rsid w:val="00504D6C"/>
    <w:rsid w:val="005237A8"/>
    <w:rsid w:val="00544EA7"/>
    <w:rsid w:val="005505B7"/>
    <w:rsid w:val="00573BE5"/>
    <w:rsid w:val="00584DC4"/>
    <w:rsid w:val="00586ED3"/>
    <w:rsid w:val="00596AA9"/>
    <w:rsid w:val="005B2B4D"/>
    <w:rsid w:val="005E0A4F"/>
    <w:rsid w:val="005F1FF5"/>
    <w:rsid w:val="00613834"/>
    <w:rsid w:val="00615106"/>
    <w:rsid w:val="006335A5"/>
    <w:rsid w:val="0064407C"/>
    <w:rsid w:val="00673469"/>
    <w:rsid w:val="00680F0D"/>
    <w:rsid w:val="0068456F"/>
    <w:rsid w:val="006A1CE8"/>
    <w:rsid w:val="006C08A8"/>
    <w:rsid w:val="006D417D"/>
    <w:rsid w:val="0071601D"/>
    <w:rsid w:val="007272C1"/>
    <w:rsid w:val="00746C90"/>
    <w:rsid w:val="007513FE"/>
    <w:rsid w:val="00755D57"/>
    <w:rsid w:val="0077443D"/>
    <w:rsid w:val="007A62E6"/>
    <w:rsid w:val="007E738A"/>
    <w:rsid w:val="007F318B"/>
    <w:rsid w:val="0080684C"/>
    <w:rsid w:val="00810461"/>
    <w:rsid w:val="008179B3"/>
    <w:rsid w:val="00836BED"/>
    <w:rsid w:val="0084709F"/>
    <w:rsid w:val="00853B7C"/>
    <w:rsid w:val="00856681"/>
    <w:rsid w:val="00871C75"/>
    <w:rsid w:val="008776DC"/>
    <w:rsid w:val="008B32DA"/>
    <w:rsid w:val="008B40CD"/>
    <w:rsid w:val="008D1004"/>
    <w:rsid w:val="008D7587"/>
    <w:rsid w:val="008F014F"/>
    <w:rsid w:val="00934A68"/>
    <w:rsid w:val="009705C8"/>
    <w:rsid w:val="009744DF"/>
    <w:rsid w:val="009C1CF4"/>
    <w:rsid w:val="00A15FF1"/>
    <w:rsid w:val="00A30353"/>
    <w:rsid w:val="00A51905"/>
    <w:rsid w:val="00A5786B"/>
    <w:rsid w:val="00A941F1"/>
    <w:rsid w:val="00AA648C"/>
    <w:rsid w:val="00AB79D2"/>
    <w:rsid w:val="00AC3823"/>
    <w:rsid w:val="00AE323C"/>
    <w:rsid w:val="00AE6ED6"/>
    <w:rsid w:val="00B00181"/>
    <w:rsid w:val="00B00B0D"/>
    <w:rsid w:val="00B23729"/>
    <w:rsid w:val="00B40823"/>
    <w:rsid w:val="00B55DC8"/>
    <w:rsid w:val="00B765F7"/>
    <w:rsid w:val="00B8156B"/>
    <w:rsid w:val="00BA0CA9"/>
    <w:rsid w:val="00BC3B5A"/>
    <w:rsid w:val="00BD0DBC"/>
    <w:rsid w:val="00C02897"/>
    <w:rsid w:val="00C90100"/>
    <w:rsid w:val="00C96CEE"/>
    <w:rsid w:val="00CC2479"/>
    <w:rsid w:val="00CD7608"/>
    <w:rsid w:val="00CF5099"/>
    <w:rsid w:val="00D117F7"/>
    <w:rsid w:val="00D339F8"/>
    <w:rsid w:val="00D3439C"/>
    <w:rsid w:val="00D40F18"/>
    <w:rsid w:val="00DB099A"/>
    <w:rsid w:val="00DB1831"/>
    <w:rsid w:val="00DB7154"/>
    <w:rsid w:val="00DC0966"/>
    <w:rsid w:val="00DD3BFD"/>
    <w:rsid w:val="00DF6678"/>
    <w:rsid w:val="00E04600"/>
    <w:rsid w:val="00E25078"/>
    <w:rsid w:val="00E6190F"/>
    <w:rsid w:val="00E7127B"/>
    <w:rsid w:val="00E71DA2"/>
    <w:rsid w:val="00E92B49"/>
    <w:rsid w:val="00E951F3"/>
    <w:rsid w:val="00ED3444"/>
    <w:rsid w:val="00EF2E22"/>
    <w:rsid w:val="00F01738"/>
    <w:rsid w:val="00F17966"/>
    <w:rsid w:val="00F660DF"/>
    <w:rsid w:val="00F730C8"/>
    <w:rsid w:val="00F95C08"/>
    <w:rsid w:val="00FA3890"/>
    <w:rsid w:val="00FB5785"/>
    <w:rsid w:val="00FC2881"/>
    <w:rsid w:val="00FD367F"/>
    <w:rsid w:val="00FE7994"/>
    <w:rsid w:val="00FF33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1E04"/>
  <w15:docId w15:val="{A0B8D578-25AE-4DD0-BE64-E7AE3362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6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50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3F6D0-A90D-40AA-9F35-A6C69FC69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3.xml><?xml version="1.0" encoding="utf-8"?>
<ds:datastoreItem xmlns:ds="http://schemas.openxmlformats.org/officeDocument/2006/customXml" ds:itemID="{F156D5BA-BD04-4665-B68B-80F4B6DE9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E582D-9A70-4578-9EE6-A401B8321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SGAC10_F.dotm</Template>
  <TotalTime>53</TotalTime>
  <Pages>4</Pages>
  <Words>1190</Words>
  <Characters>6786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ST/SG/AC.10/C.4/81/Add.1</dc:title>
  <dc:creator>Rosa Garcia-Couto</dc:creator>
  <cp:lastModifiedBy>Laurence Berthet</cp:lastModifiedBy>
  <cp:revision>85</cp:revision>
  <cp:lastPrinted>2021-11-17T11:37:00Z</cp:lastPrinted>
  <dcterms:created xsi:type="dcterms:W3CDTF">2021-11-16T19:15:00Z</dcterms:created>
  <dcterms:modified xsi:type="dcterms:W3CDTF">2021-11-17T11:37:00Z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