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1847" w14:textId="77777777" w:rsidR="00D14683" w:rsidRDefault="00C667A8" w:rsidP="00C750B3">
      <w:pPr>
        <w:pStyle w:val="HChG"/>
        <w:jc w:val="both"/>
      </w:pPr>
      <w:r>
        <w:tab/>
      </w:r>
      <w:r>
        <w:tab/>
      </w:r>
      <w:r w:rsidR="00B72CB2">
        <w:t>Amendment</w:t>
      </w:r>
      <w:r w:rsidR="00CB68AA">
        <w:t>s</w:t>
      </w:r>
      <w:r w:rsidR="00D14683">
        <w:t xml:space="preserve"> to </w:t>
      </w:r>
      <w:r w:rsidR="00CB68AA" w:rsidRPr="00CB68AA">
        <w:t>ECE/TRANS/WP.29/GRSP/2021/28</w:t>
      </w:r>
      <w:r w:rsidR="00CB68AA">
        <w:br/>
        <w:t>(</w:t>
      </w:r>
      <w:r w:rsidR="001157B4">
        <w:t xml:space="preserve">UN </w:t>
      </w:r>
      <w:r w:rsidR="00D14683">
        <w:t>Regulation No</w:t>
      </w:r>
      <w:r w:rsidR="0055515A">
        <w:t xml:space="preserve">. </w:t>
      </w:r>
      <w:r w:rsidR="00123B30">
        <w:t>1</w:t>
      </w:r>
      <w:r w:rsidR="00CB68AA">
        <w:t>2</w:t>
      </w:r>
      <w:r w:rsidR="00123B30">
        <w:t>7</w:t>
      </w:r>
    </w:p>
    <w:p w14:paraId="4C075819" w14:textId="77777777" w:rsidR="00D14683" w:rsidRPr="004D3A1C" w:rsidRDefault="00D14683" w:rsidP="00D14683">
      <w:pPr>
        <w:pStyle w:val="H1G"/>
        <w:ind w:firstLine="0"/>
      </w:pPr>
      <w:r>
        <w:t xml:space="preserve">Submitted by </w:t>
      </w:r>
      <w:r w:rsidRPr="00C94EE1">
        <w:t xml:space="preserve">the expert from the </w:t>
      </w:r>
      <w:r w:rsidR="00C667A8">
        <w:t>European Commission</w:t>
      </w:r>
    </w:p>
    <w:p w14:paraId="50CB9E1C" w14:textId="77777777" w:rsidR="00D14683" w:rsidRDefault="000E3BC5" w:rsidP="00D14683">
      <w:pPr>
        <w:pStyle w:val="SingleTxtG"/>
        <w:ind w:firstLine="567"/>
        <w:rPr>
          <w:szCs w:val="23"/>
        </w:rPr>
      </w:pPr>
      <w:r>
        <w:rPr>
          <w:szCs w:val="23"/>
        </w:rPr>
        <w:t xml:space="preserve">The text reproduced below was prepared by the expert from the </w:t>
      </w:r>
      <w:r w:rsidR="00C667A8">
        <w:t>European Commission</w:t>
      </w:r>
      <w:r w:rsidR="00C25B4A">
        <w:rPr>
          <w:szCs w:val="23"/>
        </w:rPr>
        <w:t xml:space="preserve"> </w:t>
      </w:r>
      <w:r w:rsidR="00377081">
        <w:rPr>
          <w:szCs w:val="23"/>
        </w:rPr>
        <w:t>to</w:t>
      </w:r>
      <w:r w:rsidR="00162CC8">
        <w:rPr>
          <w:szCs w:val="23"/>
        </w:rPr>
        <w:t xml:space="preserve"> </w:t>
      </w:r>
      <w:r w:rsidR="00CB68AA">
        <w:rPr>
          <w:szCs w:val="23"/>
        </w:rPr>
        <w:t xml:space="preserve">clarify the position of the European Union on the proposed amendments and the ‘square bracketed’ </w:t>
      </w:r>
      <w:proofErr w:type="gramStart"/>
      <w:r w:rsidR="00CB68AA">
        <w:rPr>
          <w:szCs w:val="23"/>
        </w:rPr>
        <w:t>items in particular</w:t>
      </w:r>
      <w:proofErr w:type="gramEnd"/>
      <w:r>
        <w:rPr>
          <w:szCs w:val="23"/>
        </w:rPr>
        <w:t>.</w:t>
      </w:r>
    </w:p>
    <w:p w14:paraId="2E7D68A5" w14:textId="77777777" w:rsidR="00CB68AA" w:rsidRPr="00CB68AA" w:rsidRDefault="00CB68AA" w:rsidP="00525CFE">
      <w:pPr>
        <w:pStyle w:val="SingleTxtG"/>
        <w:ind w:firstLine="567"/>
        <w:rPr>
          <w:lang w:val="en-US"/>
        </w:rPr>
      </w:pPr>
      <w:r w:rsidRPr="004500D4">
        <w:t xml:space="preserve">The modifications to </w:t>
      </w:r>
      <w:r w:rsidR="00525CFE">
        <w:t xml:space="preserve">working document </w:t>
      </w:r>
      <w:r w:rsidR="00525CFE" w:rsidRPr="00CB68AA">
        <w:t>ECE/TRANS/WP.29/GRSP/2021/28</w:t>
      </w:r>
      <w:r w:rsidR="00525CFE">
        <w:t xml:space="preserve"> </w:t>
      </w:r>
      <w:r w:rsidRPr="004500D4">
        <w:t>are marked in bold for new or strikethrough for deleted characters</w:t>
      </w:r>
      <w:r>
        <w:t>.</w:t>
      </w:r>
    </w:p>
    <w:p w14:paraId="1C245EEE" w14:textId="77777777" w:rsidR="00C667A8" w:rsidRPr="00B95EC0" w:rsidRDefault="008E7873" w:rsidP="00C667A8">
      <w:pPr>
        <w:pStyle w:val="HChG"/>
      </w:pPr>
      <w:r>
        <w:tab/>
      </w:r>
      <w:r w:rsidR="00C667A8" w:rsidRPr="00B95EC0">
        <w:t>I.</w:t>
      </w:r>
      <w:r w:rsidR="00C667A8" w:rsidRPr="00B95EC0">
        <w:tab/>
      </w:r>
      <w:r w:rsidR="00CB68AA" w:rsidRPr="00CB68AA">
        <w:t>Proposal for the 03 series of amendments to UN Regulation No. 127 (Pedestrian Safety)</w:t>
      </w:r>
    </w:p>
    <w:p w14:paraId="3A5A93E6" w14:textId="77777777" w:rsidR="00AA7343" w:rsidRDefault="00974D03" w:rsidP="00AA7343">
      <w:pPr>
        <w:pStyle w:val="SingleTxtG"/>
      </w:pPr>
      <w:r>
        <w:rPr>
          <w:i/>
        </w:rPr>
        <w:t>P</w:t>
      </w:r>
      <w:r w:rsidR="00AA7343" w:rsidRPr="00AA7343">
        <w:rPr>
          <w:i/>
        </w:rPr>
        <w:t>aragraph</w:t>
      </w:r>
      <w:r>
        <w:rPr>
          <w:i/>
        </w:rPr>
        <w:t xml:space="preserve"> </w:t>
      </w:r>
      <w:r w:rsidR="00CB68AA">
        <w:rPr>
          <w:i/>
        </w:rPr>
        <w:t>2.</w:t>
      </w:r>
      <w:r>
        <w:rPr>
          <w:i/>
        </w:rPr>
        <w:t>1</w:t>
      </w:r>
      <w:r w:rsidR="00AA7343" w:rsidRPr="00AA7343">
        <w:rPr>
          <w:i/>
        </w:rPr>
        <w:t>.</w:t>
      </w:r>
      <w:r w:rsidRPr="00974D03">
        <w:t>,</w:t>
      </w:r>
      <w:r w:rsidR="00AA7343" w:rsidRPr="00AA7343">
        <w:rPr>
          <w:i/>
        </w:rPr>
        <w:t xml:space="preserve"> </w:t>
      </w:r>
      <w:r w:rsidRPr="00974D03">
        <w:t xml:space="preserve">amend </w:t>
      </w:r>
      <w:r w:rsidR="00AA7343">
        <w:t>to read:</w:t>
      </w:r>
    </w:p>
    <w:p w14:paraId="3FE8A450" w14:textId="77777777" w:rsidR="00CB68AA" w:rsidRDefault="00AA7343" w:rsidP="00712E8C">
      <w:pPr>
        <w:spacing w:after="120"/>
        <w:ind w:left="567" w:right="1134" w:firstLine="567"/>
        <w:jc w:val="both"/>
      </w:pPr>
      <w:r>
        <w:t>"</w:t>
      </w:r>
      <w:r w:rsidR="00712E8C">
        <w:t>2.1.</w:t>
      </w:r>
      <w:r w:rsidR="00712E8C">
        <w:tab/>
      </w:r>
      <w:r w:rsidR="00712E8C">
        <w:tab/>
      </w:r>
      <w:r w:rsidR="00CB68AA">
        <w:t>…</w:t>
      </w:r>
    </w:p>
    <w:p w14:paraId="5AF46F05" w14:textId="77777777" w:rsidR="00CB68AA" w:rsidRDefault="00CB68AA" w:rsidP="00CB68AA">
      <w:pPr>
        <w:spacing w:after="120"/>
        <w:ind w:left="2800" w:right="1134" w:hanging="534"/>
        <w:jc w:val="both"/>
      </w:pPr>
      <w:r w:rsidRPr="004500D4">
        <w:t>(b)</w:t>
      </w:r>
      <w:r w:rsidRPr="004500D4">
        <w:tab/>
        <w:t xml:space="preserve">At the rear, by a WAD </w:t>
      </w:r>
      <w:r w:rsidR="00525CFE">
        <w:rPr>
          <w:strike/>
        </w:rPr>
        <w:t>[</w:t>
      </w:r>
      <w:r w:rsidRPr="00525CFE">
        <w:t>2,500</w:t>
      </w:r>
      <w:r w:rsidRPr="00525CFE">
        <w:rPr>
          <w:rStyle w:val="FootnoteReference"/>
        </w:rPr>
        <w:footnoteReference w:id="2"/>
      </w:r>
      <w:r w:rsidR="00525CFE">
        <w:rPr>
          <w:strike/>
        </w:rPr>
        <w:t>]</w:t>
      </w:r>
      <w:r w:rsidRPr="004500D4">
        <w:rPr>
          <w:b/>
        </w:rPr>
        <w:t xml:space="preserve"> </w:t>
      </w:r>
      <w:r w:rsidRPr="004500D4">
        <w:t>or a line 82.5 mm forward of the bonnet rear reference line, whichever is most forward at a given lateral position, and</w:t>
      </w:r>
      <w:r>
        <w:t xml:space="preserve"> </w:t>
      </w:r>
    </w:p>
    <w:p w14:paraId="6E540A79" w14:textId="77777777" w:rsidR="00AA7343" w:rsidRPr="00AA7343" w:rsidRDefault="00CB68AA" w:rsidP="00CB68AA">
      <w:pPr>
        <w:spacing w:after="120"/>
        <w:ind w:left="2800" w:right="1134" w:hanging="534"/>
        <w:jc w:val="both"/>
        <w:rPr>
          <w:b/>
        </w:rPr>
      </w:pPr>
      <w:r>
        <w:t>…</w:t>
      </w:r>
      <w:r w:rsidR="00AA7343">
        <w:t>"</w:t>
      </w:r>
    </w:p>
    <w:p w14:paraId="2922C73C" w14:textId="77777777" w:rsidR="00C667A8" w:rsidRDefault="00C667A8" w:rsidP="00C667A8">
      <w:pPr>
        <w:pStyle w:val="SingleTxtG"/>
      </w:pPr>
      <w:r>
        <w:rPr>
          <w:i/>
        </w:rPr>
        <w:t xml:space="preserve">Paragraph </w:t>
      </w:r>
      <w:r w:rsidR="00712E8C">
        <w:rPr>
          <w:i/>
        </w:rPr>
        <w:t>2.45</w:t>
      </w:r>
      <w:r w:rsidR="00974D03">
        <w:rPr>
          <w:i/>
        </w:rPr>
        <w:t>.</w:t>
      </w:r>
      <w:r>
        <w:t>, amend to read:</w:t>
      </w:r>
    </w:p>
    <w:p w14:paraId="36420544" w14:textId="77777777" w:rsidR="00712E8C" w:rsidRPr="00525CFE" w:rsidRDefault="00C667A8" w:rsidP="00C667A8">
      <w:pPr>
        <w:pStyle w:val="SingleTxtG"/>
        <w:ind w:left="2268" w:hanging="1134"/>
      </w:pPr>
      <w:r w:rsidRPr="00525CFE">
        <w:t>"</w:t>
      </w:r>
      <w:r w:rsidR="00712E8C" w:rsidRPr="00525CFE">
        <w:t>2.45</w:t>
      </w:r>
      <w:r w:rsidR="00974D03" w:rsidRPr="00525CFE">
        <w:t>.</w:t>
      </w:r>
      <w:r w:rsidR="006022E6" w:rsidRPr="00525CFE">
        <w:tab/>
      </w:r>
      <w:r w:rsidR="006022E6" w:rsidRPr="00525CFE">
        <w:tab/>
      </w:r>
      <w:r w:rsidR="00712E8C" w:rsidRPr="00525CFE">
        <w:t>…</w:t>
      </w:r>
    </w:p>
    <w:p w14:paraId="1DD0CB96" w14:textId="77777777" w:rsidR="00DB4C50" w:rsidRPr="00525CFE" w:rsidRDefault="00DB4C50" w:rsidP="00DB4C50">
      <w:pPr>
        <w:spacing w:after="120"/>
        <w:ind w:left="2800" w:right="1134" w:hanging="534"/>
        <w:jc w:val="both"/>
      </w:pPr>
      <w:r w:rsidRPr="00525CFE">
        <w:t>(b)</w:t>
      </w:r>
      <w:r w:rsidRPr="00525CFE">
        <w:tab/>
        <w:t xml:space="preserve">At the rear, by a WAD </w:t>
      </w:r>
      <w:r w:rsidR="00525CFE">
        <w:rPr>
          <w:strike/>
        </w:rPr>
        <w:t>[</w:t>
      </w:r>
      <w:r w:rsidRPr="00525CFE">
        <w:t>2,500</w:t>
      </w:r>
      <w:r w:rsidRPr="00525CFE">
        <w:rPr>
          <w:rStyle w:val="FootnoteReference"/>
        </w:rPr>
        <w:footnoteReference w:id="3"/>
      </w:r>
      <w:r w:rsidR="00525CFE">
        <w:rPr>
          <w:strike/>
        </w:rPr>
        <w:t>]</w:t>
      </w:r>
      <w:r w:rsidRPr="00525CFE">
        <w:t xml:space="preserve"> or the front of the windscreen test area, whichever is most forward at a given lateral position.</w:t>
      </w:r>
    </w:p>
    <w:p w14:paraId="6E1EF0B6" w14:textId="77777777" w:rsidR="00C667A8" w:rsidRDefault="00DB4C50" w:rsidP="00712E8C">
      <w:pPr>
        <w:pStyle w:val="SingleTxtG"/>
        <w:ind w:left="2268"/>
      </w:pPr>
      <w:r>
        <w:t>…</w:t>
      </w:r>
      <w:r w:rsidR="00C667A8">
        <w:t>"</w:t>
      </w:r>
    </w:p>
    <w:p w14:paraId="3405714D" w14:textId="77777777" w:rsidR="00C02674" w:rsidRPr="00E4336D" w:rsidRDefault="00C02674" w:rsidP="00C02674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  <w:lang w:val="en-US"/>
        </w:rPr>
      </w:pPr>
      <w:r>
        <w:rPr>
          <w:i/>
          <w:lang w:val="en-US" w:eastAsia="ar-SA"/>
        </w:rPr>
        <w:t>Insert new parag</w:t>
      </w:r>
      <w:r w:rsidRPr="00E4336D">
        <w:rPr>
          <w:i/>
          <w:lang w:val="en-US" w:eastAsia="ar-SA"/>
        </w:rPr>
        <w:t>raph</w:t>
      </w:r>
      <w:r>
        <w:rPr>
          <w:i/>
          <w:lang w:val="en-US" w:eastAsia="ar-SA"/>
        </w:rPr>
        <w:t>s 11.</w:t>
      </w:r>
      <w:r w:rsidR="006F7FB0">
        <w:rPr>
          <w:i/>
          <w:lang w:val="en-US" w:eastAsia="ar-SA"/>
        </w:rPr>
        <w:t>5</w:t>
      </w:r>
      <w:r>
        <w:rPr>
          <w:i/>
          <w:lang w:val="en-US" w:eastAsia="ar-SA"/>
        </w:rPr>
        <w:t xml:space="preserve"> to 11.</w:t>
      </w:r>
      <w:r w:rsidR="001947CC" w:rsidRPr="00525CFE">
        <w:rPr>
          <w:b/>
          <w:i/>
          <w:lang w:val="en-US" w:eastAsia="ar-SA"/>
        </w:rPr>
        <w:t>11</w:t>
      </w:r>
      <w:r>
        <w:rPr>
          <w:i/>
          <w:lang w:val="en-US" w:eastAsia="ar-SA"/>
        </w:rPr>
        <w:t>.</w:t>
      </w:r>
      <w:r>
        <w:rPr>
          <w:lang w:val="en-US" w:eastAsia="ar-SA"/>
        </w:rPr>
        <w:t xml:space="preserve">, </w:t>
      </w:r>
      <w:r w:rsidRPr="00E4336D">
        <w:rPr>
          <w:lang w:val="en-US" w:eastAsia="ar-SA"/>
        </w:rPr>
        <w:t>to read:</w:t>
      </w:r>
    </w:p>
    <w:p w14:paraId="4FD86220" w14:textId="77777777" w:rsidR="00C02674" w:rsidRPr="00C31568" w:rsidRDefault="00C02674" w:rsidP="00C02674">
      <w:pPr>
        <w:tabs>
          <w:tab w:val="left" w:pos="2268"/>
        </w:tabs>
        <w:spacing w:after="120"/>
        <w:ind w:left="2268" w:right="1134" w:hanging="1134"/>
        <w:jc w:val="both"/>
      </w:pPr>
      <w:r>
        <w:t>"</w:t>
      </w:r>
      <w:r w:rsidRPr="00C31568">
        <w:t>11.</w:t>
      </w:r>
      <w:r w:rsidR="006F7FB0" w:rsidRPr="00C31568">
        <w:t>5</w:t>
      </w:r>
      <w:r w:rsidRPr="00C31568">
        <w:tab/>
      </w:r>
      <w:r w:rsidR="001947CC" w:rsidRPr="00C31568">
        <w:t>…</w:t>
      </w:r>
    </w:p>
    <w:p w14:paraId="3B394695" w14:textId="77777777" w:rsidR="001947CC" w:rsidRPr="00C31568" w:rsidRDefault="001947CC" w:rsidP="00C02674">
      <w:pPr>
        <w:tabs>
          <w:tab w:val="left" w:pos="2268"/>
        </w:tabs>
        <w:spacing w:after="120"/>
        <w:ind w:left="2268" w:right="1134" w:hanging="1134"/>
        <w:jc w:val="both"/>
      </w:pPr>
      <w:r w:rsidRPr="00C31568">
        <w:t>…</w:t>
      </w:r>
    </w:p>
    <w:p w14:paraId="1F559D9E" w14:textId="77777777" w:rsidR="001947CC" w:rsidRDefault="001947CC" w:rsidP="001947CC">
      <w:pPr>
        <w:spacing w:after="120"/>
        <w:ind w:left="2268" w:right="1134" w:hanging="1134"/>
        <w:jc w:val="both"/>
        <w:rPr>
          <w:b/>
        </w:rPr>
      </w:pPr>
      <w:r w:rsidRPr="00C31568">
        <w:t>11.9.</w:t>
      </w:r>
      <w:r w:rsidRPr="00C31568">
        <w:tab/>
      </w:r>
      <w:r w:rsidRPr="004A76BC">
        <w:rPr>
          <w:strike/>
        </w:rPr>
        <w:t xml:space="preserve">As </w:t>
      </w:r>
      <w:r w:rsidRPr="004A76BC">
        <w:rPr>
          <w:rFonts w:eastAsia="MS Mincho"/>
          <w:strike/>
          <w:lang w:eastAsia="ja-JP"/>
        </w:rPr>
        <w:t>from</w:t>
      </w:r>
      <w:r w:rsidRPr="00C31568">
        <w:t xml:space="preserve"> </w:t>
      </w:r>
      <w:r w:rsidR="006066E0">
        <w:rPr>
          <w:b/>
        </w:rPr>
        <w:t xml:space="preserve">Until </w:t>
      </w:r>
      <w:r w:rsidRPr="00C31568">
        <w:t>1 September 2028, Contracting Parties</w:t>
      </w:r>
      <w:r w:rsidRPr="004500D4">
        <w:rPr>
          <w:b/>
        </w:rPr>
        <w:t xml:space="preserve"> </w:t>
      </w:r>
      <w:r w:rsidRPr="00C31568">
        <w:rPr>
          <w:b/>
        </w:rPr>
        <w:t>applying this Regulation</w:t>
      </w:r>
      <w:r>
        <w:rPr>
          <w:b/>
        </w:rPr>
        <w:t xml:space="preserve"> </w:t>
      </w:r>
      <w:r w:rsidRPr="004A76BC">
        <w:rPr>
          <w:strike/>
        </w:rPr>
        <w:t>shall no longer permit</w:t>
      </w:r>
      <w:r w:rsidRPr="00C31568">
        <w:t xml:space="preserve"> </w:t>
      </w:r>
      <w:r w:rsidR="006066E0">
        <w:rPr>
          <w:b/>
        </w:rPr>
        <w:t xml:space="preserve">can continue to grant type approvals using </w:t>
      </w:r>
      <w:r w:rsidRPr="00C31568">
        <w:t xml:space="preserve">the specific provisions related to </w:t>
      </w:r>
      <w:r w:rsidRPr="00C31568">
        <w:rPr>
          <w:u w:color="000000"/>
        </w:rPr>
        <w:t>atypical windscreen fracture behaviour (</w:t>
      </w:r>
      <w:r w:rsidRPr="00C31568">
        <w:t xml:space="preserve">see Annex 5 paragraphs 4.8. and 5.8.) and </w:t>
      </w:r>
      <w:r w:rsidR="00C31568">
        <w:rPr>
          <w:strike/>
        </w:rPr>
        <w:t>[</w:t>
      </w:r>
      <w:r w:rsidRPr="00C31568">
        <w:t xml:space="preserve">WAD 2,100 </w:t>
      </w:r>
      <w:r w:rsidRPr="00C31568">
        <w:rPr>
          <w:b/>
        </w:rPr>
        <w:t>monitoring front boundary</w:t>
      </w:r>
      <w:r w:rsidRPr="00C31568">
        <w:t xml:space="preserve"> (see paragraphs 2.1. and 2.45.)</w:t>
      </w:r>
      <w:r w:rsidR="00C31568">
        <w:rPr>
          <w:strike/>
        </w:rPr>
        <w:t>]</w:t>
      </w:r>
      <w:r w:rsidRPr="004A76BC">
        <w:rPr>
          <w:strike/>
        </w:rPr>
        <w:t xml:space="preserve"> for the purpose of granting type-approval</w:t>
      </w:r>
      <w:r w:rsidRPr="00C31568">
        <w:t>.</w:t>
      </w:r>
    </w:p>
    <w:p w14:paraId="328C87EC" w14:textId="77777777" w:rsidR="001947CC" w:rsidRPr="00C31568" w:rsidRDefault="001947CC" w:rsidP="001947CC">
      <w:pPr>
        <w:spacing w:after="120"/>
        <w:ind w:left="2268" w:right="1134" w:hanging="1134"/>
        <w:jc w:val="both"/>
        <w:rPr>
          <w:b/>
        </w:rPr>
      </w:pPr>
      <w:r w:rsidRPr="00C31568">
        <w:rPr>
          <w:b/>
        </w:rPr>
        <w:t>11.10.</w:t>
      </w:r>
      <w:r w:rsidRPr="00C31568">
        <w:rPr>
          <w:b/>
        </w:rPr>
        <w:tab/>
        <w:t xml:space="preserve">As </w:t>
      </w:r>
      <w:r w:rsidRPr="00C31568">
        <w:rPr>
          <w:rFonts w:eastAsia="MS Mincho"/>
          <w:b/>
          <w:lang w:eastAsia="ja-JP"/>
        </w:rPr>
        <w:t>from</w:t>
      </w:r>
      <w:r w:rsidRPr="00C31568">
        <w:rPr>
          <w:b/>
        </w:rPr>
        <w:t xml:space="preserve"> 1 September 2029, Contracting Parties applying this Regulation shall not be obliged to accept type approvals issued for a vehicle with a cowl monitoring area WAD 2,100 front boundary on the bonnet top (see paragraphs 2.1. and 2.45.)</w:t>
      </w:r>
    </w:p>
    <w:p w14:paraId="54473430" w14:textId="77777777" w:rsidR="00974D03" w:rsidRPr="00C0063B" w:rsidRDefault="001947CC" w:rsidP="001947CC">
      <w:pPr>
        <w:spacing w:after="120"/>
        <w:ind w:left="2268" w:right="1134" w:hanging="1134"/>
        <w:jc w:val="both"/>
        <w:rPr>
          <w:i/>
          <w:lang w:val="en-US"/>
        </w:rPr>
      </w:pPr>
      <w:r w:rsidRPr="00C31568">
        <w:lastRenderedPageBreak/>
        <w:t>11.1</w:t>
      </w:r>
      <w:r w:rsidR="00C31568" w:rsidRPr="00C31568">
        <w:rPr>
          <w:strike/>
        </w:rPr>
        <w:t>0</w:t>
      </w:r>
      <w:r w:rsidRPr="00C31568">
        <w:rPr>
          <w:b/>
        </w:rPr>
        <w:t>1</w:t>
      </w:r>
      <w:r w:rsidRPr="00C31568">
        <w:t>.</w:t>
      </w:r>
      <w:r w:rsidRPr="00C31568">
        <w:tab/>
        <w:t xml:space="preserve">Contracting Parties applying this Regulation shall not refuse to grant type approvals </w:t>
      </w:r>
      <w:r w:rsidRPr="00C31568">
        <w:rPr>
          <w:lang w:eastAsia="ja-JP"/>
        </w:rPr>
        <w:t>according to any preceding series of amendments to this Regulation</w:t>
      </w:r>
      <w:r w:rsidRPr="00C31568">
        <w:t xml:space="preserve"> or extensions thereof</w:t>
      </w:r>
      <w:r w:rsidRPr="004500D4">
        <w:rPr>
          <w:bCs/>
        </w:rPr>
        <w:t>.</w:t>
      </w:r>
      <w:r w:rsidR="00C02674">
        <w:t>"</w:t>
      </w:r>
    </w:p>
    <w:p w14:paraId="4AA9EBE8" w14:textId="77777777" w:rsidR="00C667A8" w:rsidRPr="00B95EC0" w:rsidRDefault="00C667A8" w:rsidP="00C667A8">
      <w:pPr>
        <w:pStyle w:val="HChG"/>
      </w:pPr>
      <w:r>
        <w:tab/>
      </w:r>
      <w:r w:rsidR="00C02674">
        <w:t>I</w:t>
      </w:r>
      <w:r w:rsidR="00190D52">
        <w:t>I</w:t>
      </w:r>
      <w:r w:rsidRPr="00B95EC0">
        <w:t>.</w:t>
      </w:r>
      <w:r w:rsidRPr="00B95EC0">
        <w:tab/>
        <w:t>Justification</w:t>
      </w:r>
    </w:p>
    <w:p w14:paraId="73CBEE48" w14:textId="77777777" w:rsidR="00C667A8" w:rsidRPr="0035414C" w:rsidRDefault="00C667A8" w:rsidP="00C02674">
      <w:pPr>
        <w:pStyle w:val="SingleTxtG"/>
        <w:ind w:hanging="426"/>
        <w:rPr>
          <w:b/>
          <w:color w:val="FF0000"/>
        </w:rPr>
      </w:pPr>
      <w:r>
        <w:tab/>
      </w:r>
      <w:r w:rsidRPr="00B95EC0">
        <w:t>1.</w:t>
      </w:r>
      <w:r w:rsidRPr="00B95EC0">
        <w:tab/>
      </w:r>
      <w:r w:rsidR="001947CC">
        <w:t>The position of the Member States of the European Union has been coordinated in the Member State Expert Group of 18 November 2021.</w:t>
      </w:r>
      <w:r w:rsidR="00525CFE">
        <w:t xml:space="preserve"> This document reflects the outcome.</w:t>
      </w:r>
    </w:p>
    <w:p w14:paraId="7181398A" w14:textId="77777777" w:rsidR="00C667A8" w:rsidRDefault="009836C5" w:rsidP="00F21FE5">
      <w:pPr>
        <w:pStyle w:val="SingleTxtG"/>
      </w:pPr>
      <w:r>
        <w:t>2.</w:t>
      </w:r>
      <w:r>
        <w:tab/>
      </w:r>
      <w:r w:rsidR="001947CC">
        <w:t>In paragraph 2.1</w:t>
      </w:r>
      <w:r w:rsidR="00525CFE">
        <w:t>.</w:t>
      </w:r>
      <w:r w:rsidR="001947CC">
        <w:t xml:space="preserve"> </w:t>
      </w:r>
      <w:r w:rsidR="00525CFE">
        <w:t>the square brackets are removed. The footnote is updated to include 11.10</w:t>
      </w:r>
      <w:r w:rsidR="00C02674">
        <w:t>.</w:t>
      </w:r>
    </w:p>
    <w:p w14:paraId="058946DE" w14:textId="77777777" w:rsidR="00C667A8" w:rsidRDefault="00C667A8" w:rsidP="00C667A8">
      <w:pPr>
        <w:pStyle w:val="SingleTxtG"/>
      </w:pPr>
      <w:r>
        <w:t>3</w:t>
      </w:r>
      <w:r w:rsidRPr="00B95EC0">
        <w:t>.</w:t>
      </w:r>
      <w:r w:rsidRPr="00B95EC0">
        <w:tab/>
      </w:r>
      <w:r w:rsidR="00525CFE">
        <w:t>In paragraph 2.45. the square brackets are removed. The footnote is updated to include 11.10.</w:t>
      </w:r>
    </w:p>
    <w:p w14:paraId="7E705D21" w14:textId="77777777" w:rsidR="00E26668" w:rsidRDefault="006F7FB0" w:rsidP="00C667A8">
      <w:pPr>
        <w:pStyle w:val="SingleTxtG"/>
      </w:pPr>
      <w:r>
        <w:t>4</w:t>
      </w:r>
      <w:r w:rsidR="00C47A6F">
        <w:t xml:space="preserve">. </w:t>
      </w:r>
      <w:r w:rsidR="00C47A6F">
        <w:tab/>
      </w:r>
      <w:r w:rsidR="00525CFE">
        <w:t>In paragraph 11.9. the square brackets are removed. Minor rewording for clarity</w:t>
      </w:r>
      <w:r w:rsidR="006066E0">
        <w:t xml:space="preserve"> and consistency with the general guidelines </w:t>
      </w:r>
      <w:r w:rsidR="006066E0" w:rsidRPr="006066E0">
        <w:t>ECE/TRANS/WP.29/1044/Rev.3</w:t>
      </w:r>
      <w:r w:rsidR="006066E0">
        <w:t xml:space="preserve"> point 44</w:t>
      </w:r>
      <w:r w:rsidR="00DB2939">
        <w:t>.</w:t>
      </w:r>
    </w:p>
    <w:p w14:paraId="37B1BAD1" w14:textId="77777777" w:rsidR="00DB2939" w:rsidRDefault="006F7FB0" w:rsidP="00C667A8">
      <w:pPr>
        <w:pStyle w:val="SingleTxtG"/>
      </w:pPr>
      <w:r>
        <w:t>5</w:t>
      </w:r>
      <w:r w:rsidR="00DB2939">
        <w:t>.</w:t>
      </w:r>
      <w:r w:rsidR="00DB2939">
        <w:tab/>
      </w:r>
      <w:r w:rsidR="00525CFE">
        <w:t>New paragraph 11.10. introduces a sunset clause for existing types, as requested by the Member States.</w:t>
      </w:r>
    </w:p>
    <w:p w14:paraId="3858B945" w14:textId="77777777" w:rsidR="00525CFE" w:rsidRPr="00B95EC0" w:rsidRDefault="00525CFE" w:rsidP="00C667A8">
      <w:pPr>
        <w:pStyle w:val="SingleTxtG"/>
      </w:pPr>
      <w:r>
        <w:t xml:space="preserve">6. </w:t>
      </w:r>
      <w:r>
        <w:tab/>
        <w:t xml:space="preserve">Renumbered paragraph 11.11. </w:t>
      </w:r>
    </w:p>
    <w:p w14:paraId="3EC861A3" w14:textId="77777777" w:rsidR="00915EF6" w:rsidRPr="00C750B3" w:rsidRDefault="00C750B3" w:rsidP="00C750B3">
      <w:pPr>
        <w:spacing w:before="240"/>
        <w:ind w:left="1134" w:right="1134"/>
        <w:jc w:val="center"/>
        <w:rPr>
          <w:u w:val="single"/>
        </w:rPr>
      </w:pP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sectPr w:rsidR="00915EF6" w:rsidRPr="00C750B3" w:rsidSect="00C3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08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0B1" w14:textId="77777777" w:rsidR="00F87CD6" w:rsidRDefault="00F87CD6"/>
  </w:endnote>
  <w:endnote w:type="continuationSeparator" w:id="0">
    <w:p w14:paraId="50CDA010" w14:textId="77777777" w:rsidR="00F87CD6" w:rsidRDefault="00F87CD6"/>
  </w:endnote>
  <w:endnote w:type="continuationNotice" w:id="1">
    <w:p w14:paraId="52042DB4" w14:textId="77777777" w:rsidR="00F87CD6" w:rsidRDefault="00F87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9D15" w14:textId="77777777"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4A76BC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C096" w14:textId="77777777"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123B30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17B8" w14:textId="77777777" w:rsidR="00C31568" w:rsidRDefault="00C3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6E54" w14:textId="77777777" w:rsidR="00F87CD6" w:rsidRPr="000B175B" w:rsidRDefault="00F87C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EE9D93" w14:textId="77777777" w:rsidR="00F87CD6" w:rsidRPr="00FC68B7" w:rsidRDefault="00F87C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A3C71F" w14:textId="77777777" w:rsidR="00F87CD6" w:rsidRDefault="00F87CD6"/>
  </w:footnote>
  <w:footnote w:id="2">
    <w:p w14:paraId="5F412F10" w14:textId="77777777" w:rsidR="00CB68AA" w:rsidRPr="00525CFE" w:rsidRDefault="00CB68AA" w:rsidP="00CB68AA">
      <w:pPr>
        <w:pStyle w:val="FootnoteText"/>
        <w:rPr>
          <w:bCs/>
        </w:rPr>
      </w:pPr>
      <w:r w:rsidRPr="00525CFE">
        <w:tab/>
      </w:r>
      <w:r w:rsidRPr="00525CFE">
        <w:rPr>
          <w:rStyle w:val="FootnoteReference"/>
          <w:bCs/>
        </w:rPr>
        <w:footnoteRef/>
      </w:r>
      <w:r w:rsidRPr="00525CFE">
        <w:rPr>
          <w:bCs/>
        </w:rPr>
        <w:tab/>
        <w:t xml:space="preserve"> or WAD 2,100 in accordance with paragraph</w:t>
      </w:r>
      <w:r w:rsidRPr="00525CFE">
        <w:rPr>
          <w:b/>
          <w:bCs/>
          <w:sz w:val="20"/>
        </w:rPr>
        <w:t>s</w:t>
      </w:r>
      <w:r w:rsidRPr="00525CFE">
        <w:rPr>
          <w:bCs/>
        </w:rPr>
        <w:t xml:space="preserve"> 11.9 </w:t>
      </w:r>
      <w:r w:rsidRPr="00525CFE">
        <w:rPr>
          <w:b/>
          <w:bCs/>
        </w:rPr>
        <w:t>and 11.10</w:t>
      </w:r>
      <w:r w:rsidRPr="00525CFE">
        <w:rPr>
          <w:bCs/>
        </w:rPr>
        <w:t>.</w:t>
      </w:r>
    </w:p>
  </w:footnote>
  <w:footnote w:id="3">
    <w:p w14:paraId="62B753A0" w14:textId="77777777" w:rsidR="00DB4C50" w:rsidRPr="005802B1" w:rsidRDefault="00DB4C50" w:rsidP="00DB4C50">
      <w:pPr>
        <w:pStyle w:val="FootnoteText"/>
        <w:rPr>
          <w:b/>
          <w:bCs/>
        </w:rPr>
      </w:pPr>
      <w:r w:rsidRPr="00525CFE">
        <w:rPr>
          <w:bCs/>
        </w:rPr>
        <w:tab/>
      </w:r>
      <w:r w:rsidRPr="00525CFE">
        <w:rPr>
          <w:rStyle w:val="FootnoteReference"/>
          <w:bCs/>
        </w:rPr>
        <w:footnoteRef/>
      </w:r>
      <w:r w:rsidRPr="00525CFE">
        <w:rPr>
          <w:bCs/>
        </w:rPr>
        <w:t xml:space="preserve"> </w:t>
      </w:r>
      <w:r w:rsidRPr="00525CFE">
        <w:rPr>
          <w:bCs/>
        </w:rPr>
        <w:tab/>
        <w:t>from WAD 2,100 front boundary, if applicable, in accordance with paragraph</w:t>
      </w:r>
      <w:r w:rsidRPr="00525CFE">
        <w:rPr>
          <w:b/>
          <w:bCs/>
          <w:sz w:val="20"/>
        </w:rPr>
        <w:t>s</w:t>
      </w:r>
      <w:r w:rsidRPr="00525CFE">
        <w:rPr>
          <w:bCs/>
        </w:rPr>
        <w:t xml:space="preserve"> 11.9</w:t>
      </w:r>
      <w:r w:rsidRPr="00525CFE">
        <w:rPr>
          <w:b/>
          <w:bCs/>
        </w:rPr>
        <w:t xml:space="preserve"> and 11.10.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511" w14:textId="77777777" w:rsidR="00C02674" w:rsidRPr="009B3280" w:rsidRDefault="00C02674" w:rsidP="00C02674">
    <w:pPr>
      <w:rPr>
        <w:lang w:val="nl-NL"/>
      </w:rPr>
    </w:pPr>
    <w:r w:rsidRPr="009B3280">
      <w:rPr>
        <w:b/>
        <w:lang w:val="nl-NL"/>
      </w:rPr>
      <w:t>GRSP-</w:t>
    </w:r>
    <w:r w:rsidR="00C31568">
      <w:rPr>
        <w:b/>
        <w:lang w:val="nl-NL"/>
      </w:rPr>
      <w:t>70</w:t>
    </w:r>
    <w:r w:rsidRPr="009B3280">
      <w:rPr>
        <w:b/>
        <w:lang w:val="nl-NL"/>
      </w:rPr>
      <w:t>-XX</w:t>
    </w:r>
  </w:p>
  <w:p w14:paraId="2D6920A4" w14:textId="77777777" w:rsidR="00D14683" w:rsidRPr="00C02674" w:rsidRDefault="00D14683">
    <w:pPr>
      <w:pStyle w:val="Header"/>
    </w:pPr>
  </w:p>
  <w:p w14:paraId="351609F9" w14:textId="77777777" w:rsidR="00C54465" w:rsidRDefault="00C544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0DEB" w14:textId="77777777" w:rsidR="00D14683" w:rsidRPr="008E7873" w:rsidRDefault="00D14683" w:rsidP="00D14683">
    <w:pPr>
      <w:pStyle w:val="Header"/>
      <w:jc w:val="right"/>
      <w:rPr>
        <w:strike/>
      </w:rPr>
    </w:pPr>
    <w:r w:rsidRPr="008E7873">
      <w:rPr>
        <w:strike/>
      </w:rPr>
      <w:t>ECE/TRANS/WP.29/GRSP/201</w:t>
    </w:r>
    <w:r w:rsidR="00D35047" w:rsidRPr="008E7873">
      <w:rPr>
        <w:strike/>
      </w:rPr>
      <w:t>7</w:t>
    </w:r>
    <w:r w:rsidRPr="008E7873">
      <w:rPr>
        <w:strike/>
      </w:rPr>
      <w:t>/</w:t>
    </w:r>
    <w:r w:rsidR="00D35047" w:rsidRPr="008E7873">
      <w:rPr>
        <w:strike/>
      </w:rP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8E7873" w:rsidRPr="008E7873" w14:paraId="494F41A5" w14:textId="77777777" w:rsidTr="00FF0598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2AC011E4" w14:textId="77777777" w:rsidR="008E7873" w:rsidRPr="008E7873" w:rsidRDefault="008E7873" w:rsidP="008E7873">
          <w:r w:rsidRPr="008E7873">
            <w:t>Subm</w:t>
          </w:r>
          <w:r>
            <w:t>itted by the expert from EC</w:t>
          </w:r>
        </w:p>
        <w:p w14:paraId="257B15F2" w14:textId="77777777" w:rsidR="008E7873" w:rsidRPr="008E7873" w:rsidRDefault="008E7873" w:rsidP="008E7873">
          <w:r w:rsidRPr="008E7873"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7E05AEA4" w14:textId="598AF2AC" w:rsidR="008E7873" w:rsidRPr="00F457AA" w:rsidRDefault="008E7873" w:rsidP="008E7873">
          <w:r w:rsidRPr="00F457AA">
            <w:rPr>
              <w:u w:val="single"/>
            </w:rPr>
            <w:t>Informal document</w:t>
          </w:r>
          <w:r w:rsidRPr="00F457AA">
            <w:t xml:space="preserve"> </w:t>
          </w:r>
          <w:r w:rsidRPr="00F457AA">
            <w:rPr>
              <w:b/>
            </w:rPr>
            <w:t>GR</w:t>
          </w:r>
          <w:r w:rsidR="00B72CB2" w:rsidRPr="00F457AA">
            <w:rPr>
              <w:b/>
            </w:rPr>
            <w:t>S</w:t>
          </w:r>
          <w:r w:rsidR="009B3280" w:rsidRPr="00F457AA">
            <w:rPr>
              <w:b/>
            </w:rPr>
            <w:t>P</w:t>
          </w:r>
          <w:r w:rsidRPr="00F457AA">
            <w:rPr>
              <w:b/>
            </w:rPr>
            <w:t>-</w:t>
          </w:r>
          <w:r w:rsidR="00CB68AA">
            <w:rPr>
              <w:b/>
            </w:rPr>
            <w:t>70</w:t>
          </w:r>
          <w:r w:rsidRPr="00F457AA">
            <w:rPr>
              <w:b/>
            </w:rPr>
            <w:t>-</w:t>
          </w:r>
          <w:r w:rsidR="00611478">
            <w:rPr>
              <w:b/>
            </w:rPr>
            <w:t>13</w:t>
          </w:r>
        </w:p>
        <w:p w14:paraId="3B09BF97" w14:textId="77777777" w:rsidR="008E7873" w:rsidRPr="00F457AA" w:rsidRDefault="008E7873" w:rsidP="008E7873">
          <w:r w:rsidRPr="00F457AA">
            <w:t>(</w:t>
          </w:r>
          <w:r w:rsidR="00CB68AA">
            <w:t>70</w:t>
          </w:r>
          <w:r w:rsidR="0069728C" w:rsidRPr="00F457AA">
            <w:rPr>
              <w:vertAlign w:val="superscript"/>
            </w:rPr>
            <w:t xml:space="preserve">th </w:t>
          </w:r>
          <w:r w:rsidRPr="00F457AA">
            <w:t>GRS</w:t>
          </w:r>
          <w:r w:rsidR="009B3280" w:rsidRPr="00F457AA">
            <w:t>P</w:t>
          </w:r>
          <w:r w:rsidRPr="00F457AA">
            <w:t xml:space="preserve">, </w:t>
          </w:r>
          <w:r w:rsidR="00CB68AA">
            <w:t>6-10 December 2021</w:t>
          </w:r>
          <w:r w:rsidRPr="00F457AA">
            <w:t xml:space="preserve"> </w:t>
          </w:r>
        </w:p>
        <w:p w14:paraId="0007E0FF" w14:textId="6DBC6874" w:rsidR="008E7873" w:rsidRPr="008E7873" w:rsidRDefault="008E7873" w:rsidP="00B72CB2">
          <w:r w:rsidRPr="00F457AA">
            <w:t xml:space="preserve"> </w:t>
          </w:r>
          <w:r>
            <w:t xml:space="preserve">agenda item </w:t>
          </w:r>
          <w:r w:rsidR="00611478">
            <w:t>10</w:t>
          </w:r>
          <w:r w:rsidRPr="008E7873">
            <w:t>)</w:t>
          </w:r>
        </w:p>
      </w:tc>
    </w:tr>
  </w:tbl>
  <w:p w14:paraId="00963AD4" w14:textId="77777777" w:rsidR="008E7873" w:rsidRDefault="008E7873" w:rsidP="008E7873">
    <w:pPr>
      <w:pStyle w:val="Header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14683"/>
    <w:rsid w:val="0000032E"/>
    <w:rsid w:val="00003F99"/>
    <w:rsid w:val="00004E7E"/>
    <w:rsid w:val="00011417"/>
    <w:rsid w:val="00046B1F"/>
    <w:rsid w:val="00050F6B"/>
    <w:rsid w:val="00052635"/>
    <w:rsid w:val="00057E97"/>
    <w:rsid w:val="000646F4"/>
    <w:rsid w:val="000656CD"/>
    <w:rsid w:val="00072C8C"/>
    <w:rsid w:val="000733B5"/>
    <w:rsid w:val="00081815"/>
    <w:rsid w:val="00083C2A"/>
    <w:rsid w:val="00084E64"/>
    <w:rsid w:val="000931C0"/>
    <w:rsid w:val="00095BF8"/>
    <w:rsid w:val="00097C31"/>
    <w:rsid w:val="000A436F"/>
    <w:rsid w:val="000B0595"/>
    <w:rsid w:val="000B175B"/>
    <w:rsid w:val="000B2F02"/>
    <w:rsid w:val="000B3A0F"/>
    <w:rsid w:val="000B4EF7"/>
    <w:rsid w:val="000C28F2"/>
    <w:rsid w:val="000C2C03"/>
    <w:rsid w:val="000C2D2E"/>
    <w:rsid w:val="000E0415"/>
    <w:rsid w:val="000E13A1"/>
    <w:rsid w:val="000E3BC5"/>
    <w:rsid w:val="000F0772"/>
    <w:rsid w:val="000F436F"/>
    <w:rsid w:val="000F767E"/>
    <w:rsid w:val="00101CA0"/>
    <w:rsid w:val="001103AA"/>
    <w:rsid w:val="00110402"/>
    <w:rsid w:val="001157B4"/>
    <w:rsid w:val="00115C12"/>
    <w:rsid w:val="0011666B"/>
    <w:rsid w:val="0012063C"/>
    <w:rsid w:val="00123B30"/>
    <w:rsid w:val="00134053"/>
    <w:rsid w:val="00134250"/>
    <w:rsid w:val="001413A4"/>
    <w:rsid w:val="001558CD"/>
    <w:rsid w:val="001570A7"/>
    <w:rsid w:val="00162CC8"/>
    <w:rsid w:val="00165F3A"/>
    <w:rsid w:val="00182290"/>
    <w:rsid w:val="00183157"/>
    <w:rsid w:val="0018324F"/>
    <w:rsid w:val="00190D52"/>
    <w:rsid w:val="001947CC"/>
    <w:rsid w:val="001A3955"/>
    <w:rsid w:val="001B4B04"/>
    <w:rsid w:val="001C18E2"/>
    <w:rsid w:val="001C6663"/>
    <w:rsid w:val="001C7895"/>
    <w:rsid w:val="001D0C8C"/>
    <w:rsid w:val="001D1419"/>
    <w:rsid w:val="001D26DF"/>
    <w:rsid w:val="001D3A03"/>
    <w:rsid w:val="001D5147"/>
    <w:rsid w:val="001D51A3"/>
    <w:rsid w:val="001E6C26"/>
    <w:rsid w:val="001E7B67"/>
    <w:rsid w:val="00202DA8"/>
    <w:rsid w:val="00206755"/>
    <w:rsid w:val="0020759A"/>
    <w:rsid w:val="00211E0B"/>
    <w:rsid w:val="00226076"/>
    <w:rsid w:val="00234EDA"/>
    <w:rsid w:val="0024459A"/>
    <w:rsid w:val="002466E3"/>
    <w:rsid w:val="0024772E"/>
    <w:rsid w:val="002508C6"/>
    <w:rsid w:val="002578FB"/>
    <w:rsid w:val="00267F5F"/>
    <w:rsid w:val="00286B4D"/>
    <w:rsid w:val="002A6714"/>
    <w:rsid w:val="002A69F4"/>
    <w:rsid w:val="002B53F9"/>
    <w:rsid w:val="002B54F9"/>
    <w:rsid w:val="002B5A41"/>
    <w:rsid w:val="002C3BD0"/>
    <w:rsid w:val="002C4940"/>
    <w:rsid w:val="002D0AEC"/>
    <w:rsid w:val="002D4643"/>
    <w:rsid w:val="002D63CB"/>
    <w:rsid w:val="002F175C"/>
    <w:rsid w:val="002F7DE0"/>
    <w:rsid w:val="00302E18"/>
    <w:rsid w:val="00303042"/>
    <w:rsid w:val="00304755"/>
    <w:rsid w:val="003070DB"/>
    <w:rsid w:val="003229D8"/>
    <w:rsid w:val="00331DFA"/>
    <w:rsid w:val="00332907"/>
    <w:rsid w:val="00341C83"/>
    <w:rsid w:val="00342935"/>
    <w:rsid w:val="00343BBD"/>
    <w:rsid w:val="00352709"/>
    <w:rsid w:val="003619B5"/>
    <w:rsid w:val="00361AC3"/>
    <w:rsid w:val="00365763"/>
    <w:rsid w:val="00371178"/>
    <w:rsid w:val="00375FCA"/>
    <w:rsid w:val="00377081"/>
    <w:rsid w:val="0038570D"/>
    <w:rsid w:val="00392E47"/>
    <w:rsid w:val="003A6810"/>
    <w:rsid w:val="003B0225"/>
    <w:rsid w:val="003C2CC4"/>
    <w:rsid w:val="003C534D"/>
    <w:rsid w:val="003D4B23"/>
    <w:rsid w:val="003D65A1"/>
    <w:rsid w:val="003E130E"/>
    <w:rsid w:val="003E1FCF"/>
    <w:rsid w:val="003E6C9E"/>
    <w:rsid w:val="003E79E2"/>
    <w:rsid w:val="00404EE7"/>
    <w:rsid w:val="00406ACA"/>
    <w:rsid w:val="00410571"/>
    <w:rsid w:val="00410C89"/>
    <w:rsid w:val="004167DE"/>
    <w:rsid w:val="00422E03"/>
    <w:rsid w:val="00426B9B"/>
    <w:rsid w:val="004312B4"/>
    <w:rsid w:val="004325CB"/>
    <w:rsid w:val="00442A83"/>
    <w:rsid w:val="00450153"/>
    <w:rsid w:val="0045495B"/>
    <w:rsid w:val="004561E5"/>
    <w:rsid w:val="00465B85"/>
    <w:rsid w:val="0048397A"/>
    <w:rsid w:val="00485CBB"/>
    <w:rsid w:val="004866B7"/>
    <w:rsid w:val="00491D33"/>
    <w:rsid w:val="00491FAE"/>
    <w:rsid w:val="00492886"/>
    <w:rsid w:val="004A76BC"/>
    <w:rsid w:val="004C1A4F"/>
    <w:rsid w:val="004C2461"/>
    <w:rsid w:val="004C7462"/>
    <w:rsid w:val="004D2E22"/>
    <w:rsid w:val="004D6601"/>
    <w:rsid w:val="004E02E0"/>
    <w:rsid w:val="004E46C7"/>
    <w:rsid w:val="004E6D1D"/>
    <w:rsid w:val="004E77B2"/>
    <w:rsid w:val="005046E1"/>
    <w:rsid w:val="00504B2D"/>
    <w:rsid w:val="0052136D"/>
    <w:rsid w:val="00525743"/>
    <w:rsid w:val="00525CFE"/>
    <w:rsid w:val="0052775E"/>
    <w:rsid w:val="00527E04"/>
    <w:rsid w:val="00536456"/>
    <w:rsid w:val="005420F2"/>
    <w:rsid w:val="00542BE8"/>
    <w:rsid w:val="0054402A"/>
    <w:rsid w:val="0055515A"/>
    <w:rsid w:val="0056209A"/>
    <w:rsid w:val="005628B6"/>
    <w:rsid w:val="005739B7"/>
    <w:rsid w:val="005851DF"/>
    <w:rsid w:val="00586686"/>
    <w:rsid w:val="005941EC"/>
    <w:rsid w:val="005952CB"/>
    <w:rsid w:val="0059724D"/>
    <w:rsid w:val="005B206A"/>
    <w:rsid w:val="005B320C"/>
    <w:rsid w:val="005B3DB3"/>
    <w:rsid w:val="005B4E13"/>
    <w:rsid w:val="005C342F"/>
    <w:rsid w:val="005C7D1E"/>
    <w:rsid w:val="005C7D71"/>
    <w:rsid w:val="005D55B9"/>
    <w:rsid w:val="005E138B"/>
    <w:rsid w:val="005F7B75"/>
    <w:rsid w:val="006001EE"/>
    <w:rsid w:val="006022E6"/>
    <w:rsid w:val="00604DBB"/>
    <w:rsid w:val="00605042"/>
    <w:rsid w:val="006066E0"/>
    <w:rsid w:val="00611478"/>
    <w:rsid w:val="00611FC4"/>
    <w:rsid w:val="006176FB"/>
    <w:rsid w:val="00626505"/>
    <w:rsid w:val="006271CC"/>
    <w:rsid w:val="006279C8"/>
    <w:rsid w:val="00636463"/>
    <w:rsid w:val="00640B26"/>
    <w:rsid w:val="00644E74"/>
    <w:rsid w:val="00652D0A"/>
    <w:rsid w:val="00662BB6"/>
    <w:rsid w:val="006676D6"/>
    <w:rsid w:val="00671B51"/>
    <w:rsid w:val="0067362F"/>
    <w:rsid w:val="00676606"/>
    <w:rsid w:val="006769D5"/>
    <w:rsid w:val="00680A55"/>
    <w:rsid w:val="00684C21"/>
    <w:rsid w:val="0069728C"/>
    <w:rsid w:val="006A2530"/>
    <w:rsid w:val="006C3589"/>
    <w:rsid w:val="006C6D4F"/>
    <w:rsid w:val="006D37AF"/>
    <w:rsid w:val="006D51D0"/>
    <w:rsid w:val="006D5625"/>
    <w:rsid w:val="006D5FB9"/>
    <w:rsid w:val="006D658E"/>
    <w:rsid w:val="006E2C1E"/>
    <w:rsid w:val="006E46A8"/>
    <w:rsid w:val="006E4DD7"/>
    <w:rsid w:val="006E564B"/>
    <w:rsid w:val="006E7191"/>
    <w:rsid w:val="006F34EB"/>
    <w:rsid w:val="006F7FB0"/>
    <w:rsid w:val="00703577"/>
    <w:rsid w:val="00705894"/>
    <w:rsid w:val="00712E8C"/>
    <w:rsid w:val="0072632A"/>
    <w:rsid w:val="007327D5"/>
    <w:rsid w:val="00757D7C"/>
    <w:rsid w:val="007629C8"/>
    <w:rsid w:val="0077047D"/>
    <w:rsid w:val="007B5E32"/>
    <w:rsid w:val="007B6BA5"/>
    <w:rsid w:val="007C045F"/>
    <w:rsid w:val="007C3390"/>
    <w:rsid w:val="007C4F4B"/>
    <w:rsid w:val="007C7CFC"/>
    <w:rsid w:val="007D1A12"/>
    <w:rsid w:val="007E01E9"/>
    <w:rsid w:val="007E1B56"/>
    <w:rsid w:val="007E6249"/>
    <w:rsid w:val="007E63F3"/>
    <w:rsid w:val="007F6611"/>
    <w:rsid w:val="00800925"/>
    <w:rsid w:val="0080540A"/>
    <w:rsid w:val="0081141A"/>
    <w:rsid w:val="00811920"/>
    <w:rsid w:val="00812F0B"/>
    <w:rsid w:val="00813552"/>
    <w:rsid w:val="00815AD0"/>
    <w:rsid w:val="00815EDB"/>
    <w:rsid w:val="00816E35"/>
    <w:rsid w:val="00822EF3"/>
    <w:rsid w:val="008242D7"/>
    <w:rsid w:val="008257B1"/>
    <w:rsid w:val="0083046D"/>
    <w:rsid w:val="00832334"/>
    <w:rsid w:val="00834806"/>
    <w:rsid w:val="00834BC9"/>
    <w:rsid w:val="00843191"/>
    <w:rsid w:val="00843767"/>
    <w:rsid w:val="008637B4"/>
    <w:rsid w:val="008679D9"/>
    <w:rsid w:val="00874951"/>
    <w:rsid w:val="008878DE"/>
    <w:rsid w:val="008979B1"/>
    <w:rsid w:val="008A1ED5"/>
    <w:rsid w:val="008A6B25"/>
    <w:rsid w:val="008A6C4F"/>
    <w:rsid w:val="008B2335"/>
    <w:rsid w:val="008B2E36"/>
    <w:rsid w:val="008D10E9"/>
    <w:rsid w:val="008E0678"/>
    <w:rsid w:val="008E2B2F"/>
    <w:rsid w:val="008E7873"/>
    <w:rsid w:val="008F31D2"/>
    <w:rsid w:val="009034C1"/>
    <w:rsid w:val="00913B1D"/>
    <w:rsid w:val="00915EF6"/>
    <w:rsid w:val="009223CA"/>
    <w:rsid w:val="00940F93"/>
    <w:rsid w:val="009448C3"/>
    <w:rsid w:val="009451F6"/>
    <w:rsid w:val="0095131A"/>
    <w:rsid w:val="00955198"/>
    <w:rsid w:val="00955924"/>
    <w:rsid w:val="00974D03"/>
    <w:rsid w:val="009760F3"/>
    <w:rsid w:val="00976CFB"/>
    <w:rsid w:val="00976F59"/>
    <w:rsid w:val="009836C5"/>
    <w:rsid w:val="009964F6"/>
    <w:rsid w:val="0099690C"/>
    <w:rsid w:val="009A0830"/>
    <w:rsid w:val="009A0E8D"/>
    <w:rsid w:val="009B0F0E"/>
    <w:rsid w:val="009B26E7"/>
    <w:rsid w:val="009B3280"/>
    <w:rsid w:val="009B64BB"/>
    <w:rsid w:val="009D30EE"/>
    <w:rsid w:val="009D38BE"/>
    <w:rsid w:val="009F5CB6"/>
    <w:rsid w:val="00A00697"/>
    <w:rsid w:val="00A00A3F"/>
    <w:rsid w:val="00A01489"/>
    <w:rsid w:val="00A066EE"/>
    <w:rsid w:val="00A1023C"/>
    <w:rsid w:val="00A3026E"/>
    <w:rsid w:val="00A3170F"/>
    <w:rsid w:val="00A338F1"/>
    <w:rsid w:val="00A35BE0"/>
    <w:rsid w:val="00A37FE8"/>
    <w:rsid w:val="00A46A28"/>
    <w:rsid w:val="00A57F4F"/>
    <w:rsid w:val="00A6129C"/>
    <w:rsid w:val="00A716F1"/>
    <w:rsid w:val="00A72F22"/>
    <w:rsid w:val="00A7360F"/>
    <w:rsid w:val="00A748A6"/>
    <w:rsid w:val="00A769F4"/>
    <w:rsid w:val="00A776B4"/>
    <w:rsid w:val="00A93636"/>
    <w:rsid w:val="00A93ECC"/>
    <w:rsid w:val="00A94361"/>
    <w:rsid w:val="00AA180E"/>
    <w:rsid w:val="00AA293C"/>
    <w:rsid w:val="00AA72CC"/>
    <w:rsid w:val="00AA7343"/>
    <w:rsid w:val="00AB19AE"/>
    <w:rsid w:val="00AB3399"/>
    <w:rsid w:val="00AB4B1F"/>
    <w:rsid w:val="00AC230D"/>
    <w:rsid w:val="00AC493F"/>
    <w:rsid w:val="00AD1FB1"/>
    <w:rsid w:val="00AD3972"/>
    <w:rsid w:val="00AE4FAA"/>
    <w:rsid w:val="00AE5B44"/>
    <w:rsid w:val="00AF35A1"/>
    <w:rsid w:val="00B04EFB"/>
    <w:rsid w:val="00B30179"/>
    <w:rsid w:val="00B377A3"/>
    <w:rsid w:val="00B421C1"/>
    <w:rsid w:val="00B53C21"/>
    <w:rsid w:val="00B55C71"/>
    <w:rsid w:val="00B56E4A"/>
    <w:rsid w:val="00B56E9C"/>
    <w:rsid w:val="00B64B1F"/>
    <w:rsid w:val="00B6553F"/>
    <w:rsid w:val="00B72CB2"/>
    <w:rsid w:val="00B7475F"/>
    <w:rsid w:val="00B77D05"/>
    <w:rsid w:val="00B81206"/>
    <w:rsid w:val="00B81E12"/>
    <w:rsid w:val="00B8473B"/>
    <w:rsid w:val="00B90F1E"/>
    <w:rsid w:val="00B97750"/>
    <w:rsid w:val="00BA5467"/>
    <w:rsid w:val="00BA6647"/>
    <w:rsid w:val="00BC2AC9"/>
    <w:rsid w:val="00BC3FA0"/>
    <w:rsid w:val="00BC74E9"/>
    <w:rsid w:val="00BD4BA1"/>
    <w:rsid w:val="00BF30B3"/>
    <w:rsid w:val="00BF68A8"/>
    <w:rsid w:val="00C0063B"/>
    <w:rsid w:val="00C01A73"/>
    <w:rsid w:val="00C02674"/>
    <w:rsid w:val="00C02E91"/>
    <w:rsid w:val="00C11A03"/>
    <w:rsid w:val="00C14E4E"/>
    <w:rsid w:val="00C22C0C"/>
    <w:rsid w:val="00C256D3"/>
    <w:rsid w:val="00C25B4A"/>
    <w:rsid w:val="00C31568"/>
    <w:rsid w:val="00C35A05"/>
    <w:rsid w:val="00C401F7"/>
    <w:rsid w:val="00C4527F"/>
    <w:rsid w:val="00C463DD"/>
    <w:rsid w:val="00C4724C"/>
    <w:rsid w:val="00C47A6F"/>
    <w:rsid w:val="00C500A9"/>
    <w:rsid w:val="00C50912"/>
    <w:rsid w:val="00C54465"/>
    <w:rsid w:val="00C629A0"/>
    <w:rsid w:val="00C64629"/>
    <w:rsid w:val="00C667A8"/>
    <w:rsid w:val="00C67E84"/>
    <w:rsid w:val="00C745C3"/>
    <w:rsid w:val="00C74DF1"/>
    <w:rsid w:val="00C750B3"/>
    <w:rsid w:val="00C84325"/>
    <w:rsid w:val="00C96DF2"/>
    <w:rsid w:val="00CA7023"/>
    <w:rsid w:val="00CB3E03"/>
    <w:rsid w:val="00CB68AA"/>
    <w:rsid w:val="00CC27AB"/>
    <w:rsid w:val="00CC5A5B"/>
    <w:rsid w:val="00CC65BA"/>
    <w:rsid w:val="00CC6936"/>
    <w:rsid w:val="00CD4AA6"/>
    <w:rsid w:val="00CE4A8F"/>
    <w:rsid w:val="00CF6B46"/>
    <w:rsid w:val="00D036C2"/>
    <w:rsid w:val="00D14683"/>
    <w:rsid w:val="00D2031B"/>
    <w:rsid w:val="00D248B6"/>
    <w:rsid w:val="00D25FE2"/>
    <w:rsid w:val="00D26E07"/>
    <w:rsid w:val="00D35047"/>
    <w:rsid w:val="00D35BE2"/>
    <w:rsid w:val="00D36374"/>
    <w:rsid w:val="00D43252"/>
    <w:rsid w:val="00D46641"/>
    <w:rsid w:val="00D47EEA"/>
    <w:rsid w:val="00D52637"/>
    <w:rsid w:val="00D773DF"/>
    <w:rsid w:val="00D82D07"/>
    <w:rsid w:val="00D83295"/>
    <w:rsid w:val="00D95303"/>
    <w:rsid w:val="00D95714"/>
    <w:rsid w:val="00D978C6"/>
    <w:rsid w:val="00DA3C1C"/>
    <w:rsid w:val="00DA596B"/>
    <w:rsid w:val="00DB2939"/>
    <w:rsid w:val="00DB4C50"/>
    <w:rsid w:val="00DC0508"/>
    <w:rsid w:val="00DC2458"/>
    <w:rsid w:val="00DC6D39"/>
    <w:rsid w:val="00DE79F5"/>
    <w:rsid w:val="00E01658"/>
    <w:rsid w:val="00E046DF"/>
    <w:rsid w:val="00E17ACC"/>
    <w:rsid w:val="00E205F5"/>
    <w:rsid w:val="00E22B0C"/>
    <w:rsid w:val="00E26668"/>
    <w:rsid w:val="00E27346"/>
    <w:rsid w:val="00E3289A"/>
    <w:rsid w:val="00E329E4"/>
    <w:rsid w:val="00E40A45"/>
    <w:rsid w:val="00E523BC"/>
    <w:rsid w:val="00E560CA"/>
    <w:rsid w:val="00E56EA4"/>
    <w:rsid w:val="00E62F96"/>
    <w:rsid w:val="00E71BC8"/>
    <w:rsid w:val="00E7260F"/>
    <w:rsid w:val="00E73F5D"/>
    <w:rsid w:val="00E74331"/>
    <w:rsid w:val="00E77E4E"/>
    <w:rsid w:val="00E94403"/>
    <w:rsid w:val="00E96630"/>
    <w:rsid w:val="00E978FA"/>
    <w:rsid w:val="00EA2A77"/>
    <w:rsid w:val="00EC0D83"/>
    <w:rsid w:val="00ED7A2A"/>
    <w:rsid w:val="00EE60D3"/>
    <w:rsid w:val="00EE726A"/>
    <w:rsid w:val="00EE7A9E"/>
    <w:rsid w:val="00EF1D7F"/>
    <w:rsid w:val="00F07024"/>
    <w:rsid w:val="00F072E9"/>
    <w:rsid w:val="00F16B31"/>
    <w:rsid w:val="00F214F0"/>
    <w:rsid w:val="00F21FE5"/>
    <w:rsid w:val="00F2549C"/>
    <w:rsid w:val="00F27E35"/>
    <w:rsid w:val="00F30D68"/>
    <w:rsid w:val="00F31E5F"/>
    <w:rsid w:val="00F457AA"/>
    <w:rsid w:val="00F53261"/>
    <w:rsid w:val="00F6100A"/>
    <w:rsid w:val="00F81E8E"/>
    <w:rsid w:val="00F87CD6"/>
    <w:rsid w:val="00F9290D"/>
    <w:rsid w:val="00F93781"/>
    <w:rsid w:val="00FB613B"/>
    <w:rsid w:val="00FC1B26"/>
    <w:rsid w:val="00FC68B7"/>
    <w:rsid w:val="00FD3F98"/>
    <w:rsid w:val="00FD5B03"/>
    <w:rsid w:val="00FE0C30"/>
    <w:rsid w:val="00FE0CF0"/>
    <w:rsid w:val="00FE106A"/>
    <w:rsid w:val="00FE7450"/>
    <w:rsid w:val="00FF145D"/>
    <w:rsid w:val="00FF3AB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1AD96380"/>
  <w15:docId w15:val="{36339A51-724C-4026-A271-38E5761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aliases w:val="6_G Char"/>
    <w:link w:val="Header"/>
    <w:uiPriority w:val="99"/>
    <w:rsid w:val="00C750B3"/>
    <w:rPr>
      <w:b/>
      <w:sz w:val="18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02E9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186FF-D4F9-4853-881D-2308AFCB5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9526F-14AF-4AF9-95FA-E423EF7C4C05}"/>
</file>

<file path=customXml/itemProps3.xml><?xml version="1.0" encoding="utf-8"?>
<ds:datastoreItem xmlns:ds="http://schemas.openxmlformats.org/officeDocument/2006/customXml" ds:itemID="{BD721FC1-E52D-4BBA-8742-89760807B6FA}"/>
</file>

<file path=customXml/itemProps4.xml><?xml version="1.0" encoding="utf-8"?>
<ds:datastoreItem xmlns:ds="http://schemas.openxmlformats.org/officeDocument/2006/customXml" ds:itemID="{17B1A36D-83D8-4CF0-80AC-98DC19CE90D8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412</Words>
  <Characters>2073</Characters>
  <Application>Microsoft Office Word</Application>
  <DocSecurity>4</DocSecurity>
  <Lines>54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1716683</vt:lpstr>
      <vt:lpstr>United Nations</vt:lpstr>
      <vt:lpstr>United Nations</vt:lpstr>
    </vt:vector>
  </TitlesOfParts>
  <Company>CSD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1716683</dc:title>
  <dc:subject>ECE/TRANS/WP.29/GRSP/2017/27</dc:subject>
  <dc:creator>Gianotti</dc:creator>
  <cp:lastModifiedBy>Edoardo Gianotti</cp:lastModifiedBy>
  <cp:revision>2</cp:revision>
  <cp:lastPrinted>2017-09-19T08:06:00Z</cp:lastPrinted>
  <dcterms:created xsi:type="dcterms:W3CDTF">2021-11-30T17:26:00Z</dcterms:created>
  <dcterms:modified xsi:type="dcterms:W3CDTF">2021-11-30T17:26:00Z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