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5831" w14:textId="4AA99F70" w:rsidR="00951AE1" w:rsidRDefault="00951AE1" w:rsidP="00951AE1">
      <w:pPr>
        <w:pStyle w:val="Default"/>
      </w:pPr>
    </w:p>
    <w:p w14:paraId="68565D22" w14:textId="77777777" w:rsidR="00CE0DD3" w:rsidRDefault="00CE0DD3" w:rsidP="00951AE1">
      <w:pPr>
        <w:pStyle w:val="Default"/>
      </w:pPr>
    </w:p>
    <w:p w14:paraId="316C2512" w14:textId="577515EA" w:rsidR="00951AE1" w:rsidRPr="009766C4" w:rsidRDefault="00CE0DD3" w:rsidP="00720589">
      <w:pPr>
        <w:pStyle w:val="Default"/>
        <w:ind w:right="826"/>
        <w:rPr>
          <w:b/>
          <w:bCs/>
          <w:color w:val="auto"/>
          <w:sz w:val="36"/>
          <w:szCs w:val="36"/>
          <w:lang w:val="en-GB"/>
        </w:rPr>
      </w:pPr>
      <w:r w:rsidRPr="009766C4">
        <w:rPr>
          <w:b/>
          <w:bCs/>
          <w:color w:val="auto"/>
          <w:sz w:val="32"/>
          <w:szCs w:val="32"/>
          <w:lang w:val="en-US"/>
        </w:rPr>
        <w:t xml:space="preserve">Proposal </w:t>
      </w:r>
      <w:r w:rsidR="00720589" w:rsidRPr="009766C4">
        <w:rPr>
          <w:b/>
          <w:bCs/>
          <w:color w:val="auto"/>
          <w:sz w:val="32"/>
          <w:szCs w:val="32"/>
          <w:lang w:val="en-US"/>
        </w:rPr>
        <w:t>to amend Working Documents ECE-TRANS-WP29-GRPE-2021-21 (proposed 02 series of amendments to UN-R 154) and ECE-TRANS-WP29-GRPE-2021-22 (proposed 03 series of amendments to UN-R 154)</w:t>
      </w:r>
    </w:p>
    <w:p w14:paraId="1BF9ADCA" w14:textId="543FCC33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2E899B1E" w14:textId="77777777" w:rsidR="00CE0DD3" w:rsidRDefault="00CE0DD3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2A9ABC7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2C41D49E" w14:textId="6013E0CF" w:rsidR="00CA1F03" w:rsidRPr="00CA1F03" w:rsidRDefault="00CE0DD3" w:rsidP="009766C4">
      <w:pPr>
        <w:pStyle w:val="Default"/>
        <w:ind w:left="709" w:hanging="709"/>
        <w:rPr>
          <w:bCs/>
          <w:sz w:val="20"/>
          <w:szCs w:val="20"/>
          <w:lang w:val="en-US"/>
        </w:rPr>
      </w:pPr>
      <w:r w:rsidRPr="00CA1F03">
        <w:rPr>
          <w:sz w:val="20"/>
          <w:szCs w:val="20"/>
          <w:lang w:val="en-US"/>
        </w:rPr>
        <w:t xml:space="preserve">This document </w:t>
      </w:r>
      <w:r w:rsidRPr="00CA1F03">
        <w:rPr>
          <w:bCs/>
          <w:sz w:val="20"/>
          <w:szCs w:val="20"/>
          <w:lang w:val="en-US"/>
        </w:rPr>
        <w:t xml:space="preserve">aims </w:t>
      </w:r>
      <w:r w:rsidR="00CA1F03" w:rsidRPr="00CA1F03">
        <w:rPr>
          <w:bCs/>
          <w:sz w:val="20"/>
          <w:szCs w:val="20"/>
          <w:lang w:val="en-US"/>
        </w:rPr>
        <w:t>to:</w:t>
      </w:r>
    </w:p>
    <w:p w14:paraId="6DEFBD26" w14:textId="6A6B472C" w:rsidR="005A4913" w:rsidRDefault="009A582D" w:rsidP="009766C4">
      <w:pPr>
        <w:pStyle w:val="Default"/>
        <w:numPr>
          <w:ilvl w:val="0"/>
          <w:numId w:val="4"/>
        </w:numPr>
        <w:ind w:left="709" w:right="1110" w:hanging="63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5A4913">
        <w:rPr>
          <w:sz w:val="20"/>
          <w:szCs w:val="20"/>
          <w:lang w:val="en-US"/>
        </w:rPr>
        <w:t>pply the approach to use the number of CD cycles from vehicle for the EAER calculation</w:t>
      </w:r>
      <w:r>
        <w:rPr>
          <w:sz w:val="20"/>
          <w:szCs w:val="20"/>
          <w:lang w:val="en-US"/>
        </w:rPr>
        <w:t xml:space="preserve"> (approach already implemented for e.g. Annex B8, 4.3.1.: </w:t>
      </w:r>
      <w:proofErr w:type="gramStart"/>
      <w:r>
        <w:rPr>
          <w:sz w:val="20"/>
          <w:szCs w:val="20"/>
          <w:lang w:val="en-US"/>
        </w:rPr>
        <w:t>EC</w:t>
      </w:r>
      <w:r w:rsidRPr="009A582D">
        <w:rPr>
          <w:sz w:val="20"/>
          <w:szCs w:val="20"/>
          <w:vertAlign w:val="subscript"/>
          <w:lang w:val="en-US"/>
        </w:rPr>
        <w:t>AC,CD</w:t>
      </w:r>
      <w:proofErr w:type="gramEnd"/>
      <w:r>
        <w:rPr>
          <w:sz w:val="20"/>
          <w:szCs w:val="20"/>
          <w:lang w:val="en-US"/>
        </w:rPr>
        <w:t>)</w:t>
      </w:r>
    </w:p>
    <w:p w14:paraId="434D42DF" w14:textId="77777777" w:rsidR="002D43E3" w:rsidRPr="00CA1F03" w:rsidRDefault="002D43E3" w:rsidP="009766C4">
      <w:pPr>
        <w:pStyle w:val="Default"/>
        <w:ind w:left="709" w:right="1110"/>
        <w:jc w:val="both"/>
        <w:rPr>
          <w:sz w:val="20"/>
          <w:szCs w:val="20"/>
          <w:lang w:val="en-US"/>
        </w:rPr>
      </w:pPr>
    </w:p>
    <w:p w14:paraId="74FBB17E" w14:textId="3514ADA2" w:rsidR="0081205A" w:rsidRPr="00CA1F03" w:rsidRDefault="00911A23" w:rsidP="009766C4">
      <w:pPr>
        <w:pStyle w:val="Default"/>
        <w:ind w:right="-24"/>
        <w:rPr>
          <w:b/>
          <w:bCs/>
          <w:sz w:val="20"/>
          <w:szCs w:val="20"/>
          <w:lang w:val="en-US"/>
        </w:rPr>
      </w:pPr>
      <w:r w:rsidRPr="00CA1F03">
        <w:rPr>
          <w:sz w:val="20"/>
          <w:szCs w:val="20"/>
          <w:lang w:val="en-US"/>
        </w:rPr>
        <w:t>The modifications to the current text of the Regulation are marked in bold for new or strikethrough for deleted characters.</w:t>
      </w:r>
      <w:r w:rsidR="00AF473D" w:rsidRPr="00CA1F03">
        <w:rPr>
          <w:sz w:val="20"/>
          <w:szCs w:val="20"/>
          <w:lang w:val="en-US"/>
        </w:rPr>
        <w:t xml:space="preserve"> </w:t>
      </w:r>
    </w:p>
    <w:p w14:paraId="3BB75B70" w14:textId="70109886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47B84996" w14:textId="77777777" w:rsidR="00CE0DD3" w:rsidRDefault="00CE0DD3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1E449108" w14:textId="77777777" w:rsidR="009A582D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I. Proposal</w:t>
      </w:r>
    </w:p>
    <w:p w14:paraId="1CD6F224" w14:textId="08F44696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 </w:t>
      </w:r>
    </w:p>
    <w:p w14:paraId="104F5A10" w14:textId="779718BD" w:rsidR="00CA1F03" w:rsidRPr="0006586B" w:rsidRDefault="00327D8E" w:rsidP="00CA1F03">
      <w:pPr>
        <w:pStyle w:val="SingleTxtG"/>
        <w:rPr>
          <w:i/>
          <w:iCs/>
          <w:lang w:val="en-US"/>
        </w:rPr>
      </w:pPr>
      <w:r w:rsidRPr="0006586B">
        <w:rPr>
          <w:i/>
          <w:iCs/>
          <w:lang w:val="en-US"/>
        </w:rPr>
        <w:t xml:space="preserve">Annex </w:t>
      </w:r>
      <w:r w:rsidR="009A582D" w:rsidRPr="0006586B">
        <w:rPr>
          <w:i/>
          <w:iCs/>
          <w:lang w:val="en-US"/>
        </w:rPr>
        <w:t>B</w:t>
      </w:r>
      <w:r w:rsidRPr="0006586B">
        <w:rPr>
          <w:i/>
          <w:iCs/>
          <w:lang w:val="en-US"/>
        </w:rPr>
        <w:t>8</w:t>
      </w:r>
      <w:r w:rsidR="005467A8" w:rsidRPr="0006586B">
        <w:rPr>
          <w:i/>
          <w:iCs/>
          <w:lang w:val="en-US"/>
        </w:rPr>
        <w:t xml:space="preserve">, </w:t>
      </w:r>
      <w:r w:rsidR="00CA1F03" w:rsidRPr="0006586B">
        <w:rPr>
          <w:i/>
          <w:iCs/>
          <w:lang w:val="en-US"/>
        </w:rPr>
        <w:t xml:space="preserve">Paragraph </w:t>
      </w:r>
      <w:r w:rsidR="009A582D" w:rsidRPr="0006586B">
        <w:rPr>
          <w:i/>
          <w:iCs/>
          <w:lang w:val="en-US"/>
        </w:rPr>
        <w:t>4.4.3.</w:t>
      </w:r>
      <w:r w:rsidRPr="0006586B">
        <w:rPr>
          <w:i/>
          <w:iCs/>
          <w:lang w:val="en-US"/>
        </w:rPr>
        <w:t xml:space="preserve"> </w:t>
      </w:r>
      <w:r w:rsidR="00B86189" w:rsidRPr="0006586B">
        <w:rPr>
          <w:i/>
          <w:iCs/>
          <w:lang w:val="en-US"/>
        </w:rPr>
        <w:t xml:space="preserve">of </w:t>
      </w:r>
      <w:r w:rsidR="00D17573" w:rsidRPr="0006586B">
        <w:rPr>
          <w:i/>
          <w:iCs/>
          <w:lang w:val="en-US"/>
        </w:rPr>
        <w:t>0</w:t>
      </w:r>
      <w:r w:rsidR="009A582D" w:rsidRPr="0006586B">
        <w:rPr>
          <w:i/>
          <w:iCs/>
          <w:lang w:val="en-US"/>
        </w:rPr>
        <w:t>2</w:t>
      </w:r>
      <w:r w:rsidR="00B86189" w:rsidRPr="0006586B">
        <w:rPr>
          <w:i/>
          <w:iCs/>
          <w:lang w:val="en-US"/>
        </w:rPr>
        <w:t xml:space="preserve"> </w:t>
      </w:r>
      <w:r w:rsidR="009A582D" w:rsidRPr="0006586B">
        <w:rPr>
          <w:i/>
          <w:iCs/>
          <w:lang w:val="en-US"/>
        </w:rPr>
        <w:t xml:space="preserve">and 03 </w:t>
      </w:r>
      <w:r w:rsidR="00B86189" w:rsidRPr="0006586B">
        <w:rPr>
          <w:i/>
          <w:iCs/>
          <w:lang w:val="en-US"/>
        </w:rPr>
        <w:t>series</w:t>
      </w:r>
      <w:r w:rsidR="00554C49" w:rsidRPr="0006586B">
        <w:rPr>
          <w:i/>
          <w:iCs/>
          <w:lang w:val="en-US"/>
        </w:rPr>
        <w:t>;</w:t>
      </w:r>
      <w:r w:rsidR="00CA1F03" w:rsidRPr="0006586B">
        <w:rPr>
          <w:i/>
          <w:iCs/>
          <w:lang w:val="en-US"/>
        </w:rPr>
        <w:t xml:space="preserve"> </w:t>
      </w:r>
      <w:r w:rsidR="00F4130C" w:rsidRPr="0006586B">
        <w:rPr>
          <w:i/>
          <w:iCs/>
          <w:lang w:val="en-US"/>
        </w:rPr>
        <w:t xml:space="preserve">amend </w:t>
      </w:r>
      <w:r w:rsidR="00CA1F03" w:rsidRPr="0006586B">
        <w:rPr>
          <w:i/>
          <w:iCs/>
          <w:lang w:val="en-US"/>
        </w:rPr>
        <w:t>to read:</w:t>
      </w:r>
    </w:p>
    <w:p w14:paraId="7032CC97" w14:textId="7BD1ABCA" w:rsidR="009A582D" w:rsidRPr="0006586B" w:rsidRDefault="00CA1F03" w:rsidP="0006586B">
      <w:pPr>
        <w:pStyle w:val="SingleTxtG"/>
        <w:ind w:left="2268" w:hanging="1125"/>
        <w:rPr>
          <w:color w:val="000000"/>
        </w:rPr>
      </w:pPr>
      <w:r w:rsidRPr="0006586B">
        <w:rPr>
          <w:rFonts w:eastAsia="MS Mincho"/>
        </w:rPr>
        <w:t>"</w:t>
      </w:r>
      <w:r w:rsidR="009A582D" w:rsidRPr="0006586B">
        <w:rPr>
          <w:color w:val="000000"/>
        </w:rPr>
        <w:t>4.4.3.</w:t>
      </w:r>
      <w:r w:rsidR="009A582D" w:rsidRPr="0006586B">
        <w:rPr>
          <w:color w:val="000000"/>
        </w:rPr>
        <w:tab/>
        <w:t xml:space="preserve">Charge-depleting cycle range </w:t>
      </w:r>
      <w:r w:rsidR="009A582D" w:rsidRPr="0006586B">
        <w:rPr>
          <w:strike/>
          <w:color w:val="000000"/>
        </w:rPr>
        <w:t>for OVC-HEVs</w:t>
      </w:r>
    </w:p>
    <w:p w14:paraId="67DFB51D" w14:textId="77777777" w:rsidR="009A582D" w:rsidRPr="0006586B" w:rsidRDefault="009A582D" w:rsidP="0006586B">
      <w:pPr>
        <w:pStyle w:val="SingleTxtG"/>
        <w:ind w:left="2268"/>
      </w:pPr>
      <w:r w:rsidRPr="0006586B">
        <w:rPr>
          <w:color w:val="000000"/>
        </w:rPr>
        <w:t>The charge-depleting cycle range R</w:t>
      </w:r>
      <w:r w:rsidRPr="0006586B">
        <w:rPr>
          <w:color w:val="000000"/>
          <w:vertAlign w:val="subscript"/>
        </w:rPr>
        <w:t>CDC</w:t>
      </w:r>
      <w:r w:rsidRPr="0006586B">
        <w:rPr>
          <w:color w:val="000000"/>
        </w:rPr>
        <w:t xml:space="preserve"> </w:t>
      </w:r>
      <w:r w:rsidRPr="0006586B">
        <w:t>shall be determined from the charge-depleting Type 1 test</w:t>
      </w:r>
      <w:r w:rsidRPr="0006586B">
        <w:rPr>
          <w:color w:val="000000"/>
        </w:rPr>
        <w:t xml:space="preserve"> described in paragraph 3.2.4.3. of this </w:t>
      </w:r>
      <w:r w:rsidRPr="0006586B">
        <w:t xml:space="preserve">annex </w:t>
      </w:r>
      <w:r w:rsidRPr="0006586B">
        <w:rPr>
          <w:color w:val="000000"/>
        </w:rPr>
        <w:t xml:space="preserve">as part of the Option 1 test sequence and referenced in paragraph 3.2.6.1. of this </w:t>
      </w:r>
      <w:r w:rsidRPr="0006586B">
        <w:t>annex</w:t>
      </w:r>
      <w:r w:rsidRPr="0006586B" w:rsidDel="00A5601C">
        <w:rPr>
          <w:color w:val="000000"/>
        </w:rPr>
        <w:t xml:space="preserve"> </w:t>
      </w:r>
      <w:r w:rsidRPr="0006586B">
        <w:rPr>
          <w:color w:val="000000"/>
        </w:rPr>
        <w:t xml:space="preserve">as part of the Option 3 test sequence. 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CDC</m:t>
            </m:r>
          </m:sub>
        </m:sSub>
      </m:oMath>
      <w:r w:rsidRPr="0006586B">
        <w:t xml:space="preserve"> is the distance driven from the beginning of the charge-depleting Type 1 test to the end of the transition cycle according to paragraph 3.2.4.4. of this annex.</w:t>
      </w:r>
    </w:p>
    <w:p w14:paraId="0C3407E8" w14:textId="1914A02E" w:rsidR="009A582D" w:rsidRPr="0006586B" w:rsidRDefault="009A582D" w:rsidP="0006586B">
      <w:pPr>
        <w:pStyle w:val="SingleTxtG"/>
        <w:ind w:left="2268"/>
        <w:rPr>
          <w:color w:val="000000"/>
          <w:lang w:val="en-US"/>
        </w:rPr>
      </w:pPr>
      <w:r w:rsidRPr="0006586B">
        <w:rPr>
          <w:b/>
          <w:bCs/>
          <w:color w:val="000000"/>
          <w:lang w:val="en-US"/>
        </w:rPr>
        <w:t xml:space="preserve">In the case that the interpolation method is applied, the transition cycle of vehicle L </w:t>
      </w:r>
      <w:proofErr w:type="spellStart"/>
      <w:r w:rsidRPr="0006586B">
        <w:rPr>
          <w:b/>
          <w:bCs/>
          <w:color w:val="000000"/>
          <w:lang w:val="en-US"/>
        </w:rPr>
        <w:t>n</w:t>
      </w:r>
      <w:r w:rsidRPr="0006586B">
        <w:rPr>
          <w:b/>
          <w:bCs/>
          <w:color w:val="000000"/>
          <w:vertAlign w:val="subscript"/>
          <w:lang w:val="en-US"/>
        </w:rPr>
        <w:t>veh_L</w:t>
      </w:r>
      <w:proofErr w:type="spellEnd"/>
      <w:r w:rsidRPr="0006586B">
        <w:rPr>
          <w:b/>
          <w:bCs/>
          <w:color w:val="000000"/>
          <w:vertAlign w:val="subscript"/>
          <w:lang w:val="en-US"/>
        </w:rPr>
        <w:t xml:space="preserve"> </w:t>
      </w:r>
      <w:r w:rsidRPr="0006586B">
        <w:rPr>
          <w:b/>
          <w:bCs/>
          <w:color w:val="000000"/>
          <w:lang w:val="en-US"/>
        </w:rPr>
        <w:t>shall be used for the R</w:t>
      </w:r>
      <w:r w:rsidRPr="0006586B">
        <w:rPr>
          <w:b/>
          <w:bCs/>
          <w:color w:val="000000"/>
          <w:vertAlign w:val="subscript"/>
          <w:lang w:val="en-US"/>
        </w:rPr>
        <w:t>CDC</w:t>
      </w:r>
      <w:r w:rsidRPr="0006586B">
        <w:rPr>
          <w:b/>
          <w:bCs/>
          <w:color w:val="000000"/>
          <w:lang w:val="en-US"/>
        </w:rPr>
        <w:t xml:space="preserve"> determination. If the transition cycle number driven by vehicle H, </w:t>
      </w:r>
      <w:proofErr w:type="spellStart"/>
      <w:r w:rsidRPr="0006586B">
        <w:rPr>
          <w:b/>
          <w:bCs/>
          <w:color w:val="000000"/>
          <w:lang w:val="en-US"/>
        </w:rPr>
        <w:t>n</w:t>
      </w:r>
      <w:r w:rsidRPr="0006586B">
        <w:rPr>
          <w:b/>
          <w:bCs/>
          <w:color w:val="000000"/>
          <w:vertAlign w:val="subscript"/>
          <w:lang w:val="en-US"/>
        </w:rPr>
        <w:t>vehH</w:t>
      </w:r>
      <w:proofErr w:type="spellEnd"/>
      <w:r w:rsidRPr="0006586B">
        <w:rPr>
          <w:b/>
          <w:bCs/>
          <w:color w:val="000000"/>
          <w:lang w:val="en-US"/>
        </w:rPr>
        <w:t xml:space="preserve"> , and, if applicable, by an individual vehicle within the vehicle interpolation family </w:t>
      </w:r>
      <w:proofErr w:type="spellStart"/>
      <w:r w:rsidRPr="0006586B">
        <w:rPr>
          <w:b/>
          <w:bCs/>
          <w:color w:val="000000"/>
          <w:lang w:val="en-US"/>
        </w:rPr>
        <w:t>n</w:t>
      </w:r>
      <w:r w:rsidRPr="0006586B">
        <w:rPr>
          <w:b/>
          <w:bCs/>
          <w:color w:val="000000"/>
          <w:vertAlign w:val="subscript"/>
          <w:lang w:val="en-US"/>
        </w:rPr>
        <w:t>vehind</w:t>
      </w:r>
      <w:proofErr w:type="spellEnd"/>
      <w:r w:rsidRPr="0006586B">
        <w:rPr>
          <w:b/>
          <w:bCs/>
          <w:color w:val="000000"/>
          <w:lang w:val="en-US"/>
        </w:rPr>
        <w:t xml:space="preserve"> is lower than the transition cycle number driven by vehicle L, </w:t>
      </w:r>
      <w:proofErr w:type="spellStart"/>
      <w:r w:rsidRPr="0006586B">
        <w:rPr>
          <w:b/>
          <w:bCs/>
          <w:color w:val="000000"/>
          <w:lang w:val="en-US"/>
        </w:rPr>
        <w:t>n</w:t>
      </w:r>
      <w:r w:rsidRPr="0006586B">
        <w:rPr>
          <w:b/>
          <w:bCs/>
          <w:color w:val="000000"/>
          <w:vertAlign w:val="subscript"/>
          <w:lang w:val="en-US"/>
        </w:rPr>
        <w:t>veh_L</w:t>
      </w:r>
      <w:proofErr w:type="spellEnd"/>
      <w:r w:rsidRPr="0006586B">
        <w:rPr>
          <w:b/>
          <w:bCs/>
          <w:color w:val="000000"/>
          <w:lang w:val="en-US"/>
        </w:rPr>
        <w:t>, the confirmation cycle of vehicle H and, if applicable, an individual vehicle shall be used as the end of the transition cycle.</w:t>
      </w:r>
      <w:r w:rsidR="0006586B" w:rsidRPr="0006586B">
        <w:rPr>
          <w:rFonts w:eastAsia="MS Mincho"/>
        </w:rPr>
        <w:t>"</w:t>
      </w:r>
    </w:p>
    <w:p w14:paraId="098E4CFF" w14:textId="77777777" w:rsidR="009A582D" w:rsidRPr="0006586B" w:rsidRDefault="009A582D" w:rsidP="009A582D">
      <w:pPr>
        <w:pStyle w:val="SingleTxtG"/>
        <w:rPr>
          <w:i/>
          <w:iCs/>
          <w:lang w:val="en-US"/>
        </w:rPr>
      </w:pPr>
    </w:p>
    <w:p w14:paraId="3A758B4C" w14:textId="3DB7CDE1" w:rsidR="009A582D" w:rsidRPr="0006586B" w:rsidRDefault="009A582D" w:rsidP="00554C49">
      <w:pPr>
        <w:pStyle w:val="SingleTxtG"/>
        <w:rPr>
          <w:i/>
          <w:iCs/>
          <w:lang w:val="en-US"/>
        </w:rPr>
      </w:pPr>
      <w:r w:rsidRPr="0006586B">
        <w:rPr>
          <w:i/>
          <w:iCs/>
          <w:lang w:val="en-US"/>
        </w:rPr>
        <w:t xml:space="preserve">Annex B8, Paragraph 4.4.4.1. of 02 and 03 series; </w:t>
      </w:r>
      <w:r w:rsidR="00554C49" w:rsidRPr="0006586B">
        <w:rPr>
          <w:i/>
          <w:iCs/>
          <w:lang w:val="en-US"/>
        </w:rPr>
        <w:t>add at the end of paragraph</w:t>
      </w:r>
      <w:r w:rsidRPr="0006586B">
        <w:rPr>
          <w:i/>
          <w:iCs/>
          <w:lang w:val="en-US"/>
        </w:rPr>
        <w:t>:</w:t>
      </w:r>
    </w:p>
    <w:p w14:paraId="098FF55A" w14:textId="77777777" w:rsidR="00554C49" w:rsidRPr="0006586B" w:rsidRDefault="009A582D" w:rsidP="00554C49">
      <w:pPr>
        <w:pStyle w:val="SingleTxtG"/>
        <w:keepNext/>
        <w:keepLines/>
        <w:ind w:left="2268" w:hanging="1134"/>
      </w:pPr>
      <w:r w:rsidRPr="0006586B">
        <w:rPr>
          <w:rFonts w:eastAsia="MS Mincho"/>
        </w:rPr>
        <w:t>"</w:t>
      </w:r>
      <w:r w:rsidR="00554C49" w:rsidRPr="0006586B">
        <w:t>4.4.4.1.</w:t>
      </w:r>
      <w:r w:rsidR="00554C49" w:rsidRPr="0006586B">
        <w:tab/>
        <w:t>Determination of cycle-specific equivalent all-electric range</w:t>
      </w:r>
    </w:p>
    <w:p w14:paraId="72C433A4" w14:textId="77777777" w:rsidR="00554C49" w:rsidRPr="0006586B" w:rsidRDefault="00554C49" w:rsidP="00554C49">
      <w:pPr>
        <w:pStyle w:val="SingleTxtG"/>
        <w:keepNext/>
        <w:keepLines/>
        <w:ind w:left="2268"/>
      </w:pPr>
      <w:r w:rsidRPr="0006586B">
        <w:t xml:space="preserve">The cycle-specific equivalent all-electric range shall be calculated </w:t>
      </w:r>
      <w:r w:rsidRPr="0006586B">
        <w:rPr>
          <w:bCs/>
        </w:rPr>
        <w:t>using the following equation:</w:t>
      </w:r>
      <w:r w:rsidRPr="0006586B">
        <w:t xml:space="preserve"> </w:t>
      </w:r>
    </w:p>
    <w:p w14:paraId="6BFE1263" w14:textId="77777777" w:rsidR="00554C49" w:rsidRPr="0006586B" w:rsidRDefault="00554C49" w:rsidP="00554C49">
      <w:pPr>
        <w:spacing w:after="120"/>
        <w:ind w:left="2268" w:right="1134"/>
        <w:rPr>
          <w:rFonts w:ascii="Times New Roman" w:hAnsi="Times New Roman" w:cs="Times New Roman"/>
          <w:sz w:val="20"/>
          <w:szCs w:val="20"/>
          <w:lang w:val="en-GB" w:eastAsia="ja-JP"/>
        </w:rPr>
      </w:pPr>
      <w:bookmarkStart w:id="0" w:name="_Hlk77151327"/>
      <w:r w:rsidRPr="0006586B">
        <w:rPr>
          <w:rFonts w:ascii="Times New Roman" w:hAnsi="Times New Roman" w:cs="Times New Roman"/>
          <w:sz w:val="20"/>
          <w:szCs w:val="20"/>
          <w:lang w:val="en-GB" w:eastAsia="ja-JP"/>
        </w:rPr>
        <w:t>For Level 1A;</w:t>
      </w:r>
      <w:bookmarkEnd w:id="0"/>
    </w:p>
    <w:p w14:paraId="0D144AE4" w14:textId="77777777" w:rsidR="00554C49" w:rsidRPr="0006586B" w:rsidRDefault="00554C49" w:rsidP="00554C49">
      <w:pPr>
        <w:spacing w:after="120"/>
        <w:ind w:left="2268" w:right="1134"/>
        <w:jc w:val="center"/>
        <w:rPr>
          <w:rFonts w:ascii="Times New Roman" w:hAnsi="Times New Roman" w:cs="Times New Roman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lang w:val="en-GB"/>
          </w:rPr>
          <m:t>EAER=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 xml:space="preserve">CO2, CS,declared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CO2, CD,avg</m:t>
                    </m:r>
                  </m:sub>
                </m:sSub>
                <m:r>
                  <w:rPr>
                    <w:rFonts w:ascii="Cambria Math" w:hAnsi="Cambria Math" w:cs="Times New Roman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CO</m:t>
                        </m:r>
                        <m:r>
                          <w:rPr>
                            <w:rFonts w:ascii="Cambria Math" w:hAnsi="Cambria Math" w:cs="Times New Roman"/>
                            <w:lang w:val="en-GB"/>
                          </w:rPr>
                          <m:t>2,</m:t>
                        </m:r>
                        <m:r>
                          <w:rPr>
                            <w:rFonts w:ascii="Cambria Math" w:hAnsi="Cambria Math" w:cs="Times New Roman"/>
                          </w:rPr>
                          <m:t>CD</m:t>
                        </m:r>
                        <m:r>
                          <w:rPr>
                            <w:rFonts w:ascii="Cambria Math" w:hAnsi="Cambria Math" w:cs="Times New Roman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</w:rPr>
                          <m:t>declared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CO</m:t>
                        </m:r>
                        <m:r>
                          <w:rPr>
                            <w:rFonts w:ascii="Cambria Math" w:hAnsi="Cambria Math" w:cs="Times New Roman"/>
                            <w:lang w:val="en-GB"/>
                          </w:rPr>
                          <m:t>2,</m:t>
                        </m:r>
                        <m:r>
                          <w:rPr>
                            <w:rFonts w:ascii="Cambria Math" w:hAnsi="Cambria Math" w:cs="Times New Roman"/>
                          </w:rPr>
                          <m:t>CD</m:t>
                        </m:r>
                        <m:r>
                          <w:rPr>
                            <w:rFonts w:ascii="Cambria Math" w:hAnsi="Cambria Math" w:cs="Times New Roman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</w:rPr>
                          <m:t>ave</m:t>
                        </m:r>
                      </m:sub>
                    </m:sSub>
                  </m:den>
                </m:f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CO2, CS,declared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lang w:val="en-GB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CDC</m:t>
            </m:r>
          </m:sub>
        </m:sSub>
      </m:oMath>
      <w:r w:rsidRPr="0006586B" w:rsidDel="00C80D8D">
        <w:rPr>
          <w:rFonts w:ascii="Times New Roman" w:hAnsi="Times New Roman" w:cs="Times New Roman"/>
          <w:lang w:val="en-GB"/>
        </w:rPr>
        <w:t xml:space="preserve"> </w:t>
      </w:r>
    </w:p>
    <w:p w14:paraId="5E89C818" w14:textId="77777777" w:rsidR="00554C49" w:rsidRPr="0006586B" w:rsidRDefault="00554C49" w:rsidP="00554C49">
      <w:pPr>
        <w:pStyle w:val="SingleTxtG"/>
        <w:keepNext/>
        <w:keepLines/>
        <w:ind w:left="2268"/>
        <w:rPr>
          <w:lang w:eastAsia="ja-JP"/>
        </w:rPr>
      </w:pPr>
      <w:bookmarkStart w:id="1" w:name="_Hlk77151410"/>
      <w:r w:rsidRPr="0006586B">
        <w:rPr>
          <w:lang w:eastAsia="ja-JP"/>
        </w:rPr>
        <w:t>For Level 1B;</w:t>
      </w:r>
    </w:p>
    <w:p w14:paraId="66CE348E" w14:textId="77777777" w:rsidR="00554C49" w:rsidRPr="0006586B" w:rsidRDefault="00554C49" w:rsidP="00554C49">
      <w:pPr>
        <w:pStyle w:val="SingleTxtG"/>
        <w:keepNext/>
        <w:keepLines/>
        <w:ind w:left="2268"/>
      </w:pPr>
      <w:bookmarkStart w:id="2" w:name="_Hlk77154330"/>
      <m:oMathPara>
        <m:oMath>
          <m:r>
            <m:rPr>
              <m:sty m:val="p"/>
            </m:rPr>
            <w:rPr>
              <w:rFonts w:ascii="Cambria Math" w:hAnsi="Cambria Math"/>
            </w:rPr>
            <m:t>EAER=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CO2, CS,ave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CO2, CD,avg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CO2, CS,ave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CDC</m:t>
              </m:r>
            </m:sub>
          </m:sSub>
        </m:oMath>
      </m:oMathPara>
    </w:p>
    <w:bookmarkEnd w:id="1"/>
    <w:bookmarkEnd w:id="2"/>
    <w:p w14:paraId="0FC324C0" w14:textId="77777777" w:rsidR="00554C49" w:rsidRPr="0006586B" w:rsidRDefault="00554C49" w:rsidP="00554C49">
      <w:pPr>
        <w:pStyle w:val="SingleTxtG"/>
        <w:ind w:left="2268"/>
      </w:pPr>
      <w:r w:rsidRPr="0006586B">
        <w:t>where:</w:t>
      </w:r>
    </w:p>
    <w:p w14:paraId="4C658236" w14:textId="77777777" w:rsidR="00554C49" w:rsidRPr="0006586B" w:rsidRDefault="00554C49" w:rsidP="00554C49">
      <w:pPr>
        <w:pStyle w:val="SingleTxtG"/>
        <w:ind w:left="3969" w:hanging="1701"/>
      </w:pPr>
      <m:oMath>
        <m:r>
          <m:rPr>
            <m:sty m:val="p"/>
          </m:rPr>
          <w:rPr>
            <w:rFonts w:ascii="Cambria Math" w:hAnsi="Cambria Math"/>
          </w:rPr>
          <m:t>EAER</m:t>
        </m:r>
      </m:oMath>
      <w:r w:rsidRPr="0006586B">
        <w:tab/>
        <w:t>is the cycle-specific equivalent all-electric range, km;</w:t>
      </w:r>
    </w:p>
    <w:p w14:paraId="6D412EC0" w14:textId="7C18CEDD" w:rsidR="00554C49" w:rsidRPr="0006586B" w:rsidRDefault="00524049" w:rsidP="00554C49">
      <w:pPr>
        <w:pStyle w:val="SingleTxtG"/>
        <w:ind w:left="3969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 CS,declared </m:t>
            </m:r>
          </m:sub>
        </m:sSub>
      </m:oMath>
      <w:r w:rsidR="00554C49" w:rsidRPr="0006586B">
        <w:tab/>
        <w:t>is the declared charge-sustaining CO</w:t>
      </w:r>
      <w:r w:rsidR="00554C49" w:rsidRPr="0006586B">
        <w:rPr>
          <w:vertAlign w:val="subscript"/>
        </w:rPr>
        <w:t>2</w:t>
      </w:r>
      <w:r w:rsidR="00554C49" w:rsidRPr="0006586B">
        <w:t xml:space="preserve"> emission according to Table A8/5, step No. 7, g/km;</w:t>
      </w:r>
    </w:p>
    <w:p w14:paraId="78AB737B" w14:textId="5EC4F41C" w:rsidR="00554C49" w:rsidRPr="0006586B" w:rsidRDefault="00524049" w:rsidP="00554C49">
      <w:pPr>
        <w:pStyle w:val="SingleTxtG"/>
        <w:ind w:left="3969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 CD,avg </m:t>
            </m:r>
          </m:sub>
        </m:sSub>
      </m:oMath>
      <w:r w:rsidR="00554C49" w:rsidRPr="0006586B">
        <w:tab/>
        <w:t>is the arithmetic average charge-depleting CO</w:t>
      </w:r>
      <w:r w:rsidR="00554C49" w:rsidRPr="0006586B">
        <w:rPr>
          <w:vertAlign w:val="subscript"/>
        </w:rPr>
        <w:t>2</w:t>
      </w:r>
      <w:r w:rsidR="00554C49" w:rsidRPr="0006586B">
        <w:t xml:space="preserve"> emission according to the equation below, g/km;</w:t>
      </w:r>
    </w:p>
    <w:p w14:paraId="647A4013" w14:textId="44D5D1E1" w:rsidR="00554C49" w:rsidRPr="0006586B" w:rsidRDefault="00524049" w:rsidP="00554C49">
      <w:pPr>
        <w:spacing w:after="120"/>
        <w:ind w:left="3969" w:right="1134" w:hanging="170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CO2, CD,declared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declared charge-depleting CO</w:t>
      </w:r>
      <w:r w:rsidR="00554C49" w:rsidRPr="0006586B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 emission according to Table A8/8, step no. 14, g/km;</w:t>
      </w:r>
    </w:p>
    <w:p w14:paraId="40F905A0" w14:textId="59E17A4E" w:rsidR="00554C49" w:rsidRPr="0006586B" w:rsidRDefault="00524049" w:rsidP="00554C49">
      <w:pPr>
        <w:spacing w:after="120"/>
        <w:ind w:left="3969" w:right="1134" w:hanging="170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CO2, CD,ave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arithmetic average charge-depleting CO</w:t>
      </w:r>
      <w:r w:rsidR="00554C49" w:rsidRPr="0006586B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 emission according to Table A8/8, step no. 13, g/km;</w:t>
      </w:r>
    </w:p>
    <w:p w14:paraId="2C59941B" w14:textId="1150A32B" w:rsidR="00554C49" w:rsidRPr="0006586B" w:rsidRDefault="00524049" w:rsidP="00554C49">
      <w:pPr>
        <w:pStyle w:val="SingleTxtG"/>
        <w:ind w:left="3969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CDC</m:t>
            </m:r>
          </m:sub>
        </m:sSub>
      </m:oMath>
      <w:r w:rsidR="00554C49" w:rsidRPr="0006586B">
        <w:tab/>
        <w:t xml:space="preserve">is the charge-depleting cycle range according to paragraph 4.4.3. of this annex, km; </w:t>
      </w:r>
    </w:p>
    <w:bookmarkStart w:id="3" w:name="_Hlk77750115"/>
    <w:p w14:paraId="0393A681" w14:textId="5D905FD7" w:rsidR="00554C49" w:rsidRPr="0006586B" w:rsidRDefault="00524049" w:rsidP="00554C49">
      <w:pPr>
        <w:pStyle w:val="SingleTxtG"/>
        <w:ind w:left="3969" w:hanging="1701"/>
        <w:rPr>
          <w:b/>
          <w:b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 CS,ave </m:t>
            </m:r>
          </m:sub>
        </m:sSub>
      </m:oMath>
      <w:r w:rsidR="00554C49" w:rsidRPr="0006586B">
        <w:tab/>
        <w:t>is the arithmetic average charge-sustaining CO</w:t>
      </w:r>
      <w:r w:rsidR="00554C49" w:rsidRPr="0006586B">
        <w:rPr>
          <w:vertAlign w:val="subscript"/>
        </w:rPr>
        <w:t>2</w:t>
      </w:r>
      <w:r w:rsidR="00554C49" w:rsidRPr="0006586B">
        <w:t xml:space="preserve"> emission according to Table A8/5, step No. 6, g/km;</w:t>
      </w:r>
      <w:bookmarkEnd w:id="3"/>
    </w:p>
    <w:p w14:paraId="52675C68" w14:textId="77777777" w:rsidR="00554C49" w:rsidRPr="0006586B" w:rsidRDefault="00554C49" w:rsidP="00554C49">
      <w:pPr>
        <w:pStyle w:val="SingleTxtG"/>
        <w:ind w:left="2268"/>
      </w:pPr>
      <w:r w:rsidRPr="0006586B">
        <w:t>and</w:t>
      </w:r>
    </w:p>
    <w:p w14:paraId="6250EECD" w14:textId="77777777" w:rsidR="00554C49" w:rsidRPr="00143BE6" w:rsidRDefault="00524049" w:rsidP="00554C49">
      <w:pPr>
        <w:pStyle w:val="SingleTxtG"/>
        <w:ind w:left="2268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CO2, CD, avg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CO2,CD,j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nary>
          </m:den>
        </m:f>
      </m:oMath>
      <w:r w:rsidR="00554C49" w:rsidRPr="00143BE6" w:rsidDel="00C80D8D">
        <w:t xml:space="preserve"> </w:t>
      </w:r>
    </w:p>
    <w:p w14:paraId="55E61353" w14:textId="77777777" w:rsidR="00554C49" w:rsidRPr="0006586B" w:rsidRDefault="00554C49" w:rsidP="00554C49">
      <w:pPr>
        <w:pStyle w:val="SingleTxtG"/>
        <w:keepNext/>
        <w:keepLines/>
        <w:ind w:left="2268"/>
      </w:pPr>
      <w:r w:rsidRPr="0006586B">
        <w:t>where:</w:t>
      </w:r>
    </w:p>
    <w:p w14:paraId="768043B8" w14:textId="06B9B64B" w:rsidR="00554C49" w:rsidRPr="0006586B" w:rsidRDefault="00524049" w:rsidP="00554C49">
      <w:pPr>
        <w:pStyle w:val="SingleTxtG"/>
        <w:ind w:left="3402" w:hanging="113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 CD,avg </m:t>
            </m:r>
          </m:sub>
        </m:sSub>
      </m:oMath>
      <w:r w:rsidR="00554C49" w:rsidRPr="0006586B">
        <w:tab/>
      </w:r>
      <w:r w:rsidR="00554C49" w:rsidRPr="0006586B">
        <w:tab/>
        <w:t>is the arithmetic average charge-depleting CO</w:t>
      </w:r>
      <w:r w:rsidR="00554C49" w:rsidRPr="0006586B">
        <w:rPr>
          <w:vertAlign w:val="subscript"/>
        </w:rPr>
        <w:t>2</w:t>
      </w:r>
      <w:r w:rsidR="00554C49" w:rsidRPr="0006586B">
        <w:t xml:space="preserve"> emission, g/km. In the case of more than one charge-depleting test, the additional arithmetic average of each test shall be calculated;</w:t>
      </w:r>
    </w:p>
    <w:p w14:paraId="31B2F19D" w14:textId="1D93000A" w:rsidR="00554C49" w:rsidRPr="0006586B" w:rsidRDefault="00524049" w:rsidP="00554C49">
      <w:pPr>
        <w:pStyle w:val="SingleTxtG"/>
        <w:ind w:left="3402" w:hanging="113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CO2,CD,j </m:t>
            </m:r>
          </m:sub>
        </m:sSub>
      </m:oMath>
      <w:r w:rsidR="00554C49" w:rsidRPr="0006586B">
        <w:tab/>
        <w:t>is the CO</w:t>
      </w:r>
      <w:r w:rsidR="00554C49" w:rsidRPr="0006586B">
        <w:rPr>
          <w:vertAlign w:val="subscript"/>
        </w:rPr>
        <w:t>2</w:t>
      </w:r>
      <w:r w:rsidR="00554C49" w:rsidRPr="0006586B">
        <w:t xml:space="preserve"> emission determined according to paragraph </w:t>
      </w:r>
      <w:proofErr w:type="gramStart"/>
      <w:r w:rsidR="00554C49" w:rsidRPr="0006586B">
        <w:t>3.2.1.</w:t>
      </w:r>
      <w:proofErr w:type="gramEnd"/>
      <w:r w:rsidR="00554C49" w:rsidRPr="0006586B">
        <w:t xml:space="preserve"> of Annex B7 of phase j of the charge-depleting Type 1 test, g/km;</w:t>
      </w:r>
    </w:p>
    <w:p w14:paraId="38EBF2F8" w14:textId="77777777" w:rsidR="00554C49" w:rsidRPr="0006586B" w:rsidRDefault="00524049" w:rsidP="00554C49">
      <w:pPr>
        <w:pStyle w:val="SingleTxtG"/>
        <w:ind w:left="3402" w:hanging="113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554C49" w:rsidRPr="0006586B">
        <w:tab/>
        <w:t>is the distance driven in phase j of the charge-depleting Type 1 test, km;</w:t>
      </w:r>
    </w:p>
    <w:p w14:paraId="4ED4F341" w14:textId="77777777" w:rsidR="00554C49" w:rsidRPr="0006586B" w:rsidRDefault="00554C49" w:rsidP="00554C49">
      <w:pPr>
        <w:pStyle w:val="SingleTxtG"/>
        <w:ind w:left="3402" w:hanging="1134"/>
      </w:pPr>
      <m:oMath>
        <m:r>
          <m:rPr>
            <m:sty m:val="p"/>
          </m:rPr>
          <w:rPr>
            <w:rFonts w:ascii="Cambria Math" w:hAnsi="Cambria Math"/>
          </w:rPr>
          <m:t>j</m:t>
        </m:r>
      </m:oMath>
      <w:r w:rsidRPr="0006586B">
        <w:tab/>
        <w:t>is the index number of the considered phase;</w:t>
      </w:r>
    </w:p>
    <w:p w14:paraId="5A84D250" w14:textId="77777777" w:rsidR="00554C49" w:rsidRPr="0006586B" w:rsidRDefault="00554C49" w:rsidP="00554C49">
      <w:pPr>
        <w:pStyle w:val="SingleTxtG"/>
        <w:ind w:left="3402" w:hanging="1134"/>
      </w:pP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06586B">
        <w:tab/>
        <w:t>is the number of phases driven up to the end of the transition cycle n according to paragraph </w:t>
      </w:r>
      <w:proofErr w:type="gramStart"/>
      <w:r w:rsidRPr="0006586B">
        <w:t>3.2.4.4.</w:t>
      </w:r>
      <w:proofErr w:type="gramEnd"/>
      <w:r w:rsidRPr="0006586B">
        <w:t xml:space="preserve"> of this annex.</w:t>
      </w:r>
    </w:p>
    <w:p w14:paraId="34852EC4" w14:textId="77777777" w:rsidR="00554C49" w:rsidRPr="0006586B" w:rsidRDefault="00554C49" w:rsidP="00554C49">
      <w:pPr>
        <w:pStyle w:val="SingleTxtG"/>
        <w:ind w:left="3402" w:hanging="1134"/>
      </w:pPr>
    </w:p>
    <w:p w14:paraId="05C87BAE" w14:textId="287D839E" w:rsidR="009A582D" w:rsidRPr="0006586B" w:rsidRDefault="00554C49" w:rsidP="00554C49">
      <w:pPr>
        <w:pStyle w:val="SingleTxtG"/>
        <w:ind w:left="2268"/>
        <w:rPr>
          <w:lang w:val="en-US"/>
        </w:rPr>
      </w:pPr>
      <w:r w:rsidRPr="0006586B">
        <w:rPr>
          <w:b/>
          <w:bCs/>
          <w:lang w:val="en-US"/>
        </w:rPr>
        <w:t xml:space="preserve">In the case that the interpolation method is applied, k shall be the number of phases driven up to the end of the transition cycle of vehicle L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veh_L</w:t>
      </w:r>
      <w:proofErr w:type="spellEnd"/>
      <w:r w:rsidRPr="0006586B">
        <w:rPr>
          <w:b/>
          <w:bCs/>
          <w:lang w:val="en-US"/>
        </w:rPr>
        <w:t xml:space="preserve">. If the transition cycle number driven by vehicle H,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vehH</w:t>
      </w:r>
      <w:proofErr w:type="spellEnd"/>
      <w:r w:rsidRPr="0006586B">
        <w:rPr>
          <w:b/>
          <w:bCs/>
          <w:lang w:val="en-US"/>
        </w:rPr>
        <w:t xml:space="preserve"> , and, if applicable, by an individual vehicle within the vehicle interpolation family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vehind</w:t>
      </w:r>
      <w:proofErr w:type="spellEnd"/>
      <w:r w:rsidRPr="0006586B">
        <w:rPr>
          <w:b/>
          <w:bCs/>
          <w:lang w:val="en-US"/>
        </w:rPr>
        <w:t xml:space="preserve"> is lower than the transition cycle number driven by vehicle L,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veh_L</w:t>
      </w:r>
      <w:proofErr w:type="spellEnd"/>
      <w:r w:rsidRPr="0006586B">
        <w:rPr>
          <w:b/>
          <w:bCs/>
          <w:lang w:val="en-US"/>
        </w:rPr>
        <w:t>, the confirmation cycle of vehicle H and, if applicable, an individual vehicle shall be included in the calculation.</w:t>
      </w:r>
      <w:r w:rsidR="0006586B" w:rsidRPr="0006586B">
        <w:rPr>
          <w:rFonts w:eastAsia="MS Mincho"/>
        </w:rPr>
        <w:t>"</w:t>
      </w:r>
    </w:p>
    <w:p w14:paraId="08D27101" w14:textId="087220D4" w:rsidR="00CE0DD3" w:rsidRPr="0006586B" w:rsidRDefault="00CE0DD3" w:rsidP="009A582D">
      <w:pPr>
        <w:pStyle w:val="SingleTxtG"/>
        <w:ind w:left="2268" w:hanging="1134"/>
        <w:rPr>
          <w:b/>
          <w:bCs/>
          <w:lang w:val="en-US"/>
        </w:rPr>
      </w:pPr>
    </w:p>
    <w:p w14:paraId="220DDF9F" w14:textId="633B4FA4" w:rsidR="00554C49" w:rsidRPr="0006586B" w:rsidRDefault="00554C49" w:rsidP="00554C49">
      <w:pPr>
        <w:pStyle w:val="SingleTxtG"/>
        <w:rPr>
          <w:i/>
          <w:iCs/>
          <w:lang w:val="en-US"/>
        </w:rPr>
      </w:pPr>
      <w:r w:rsidRPr="0006586B">
        <w:rPr>
          <w:i/>
          <w:iCs/>
          <w:lang w:val="en-US"/>
        </w:rPr>
        <w:t>Annex B8, Paragraph 4.4.6.1. of 02 series; add at the end of paragraph:</w:t>
      </w:r>
    </w:p>
    <w:p w14:paraId="37867A71" w14:textId="13B0A6F5" w:rsidR="00554C49" w:rsidRPr="0006586B" w:rsidRDefault="00554C49" w:rsidP="00554C49">
      <w:pPr>
        <w:keepNext/>
        <w:keepLines/>
        <w:spacing w:after="120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6586B" w:rsidRPr="0006586B">
        <w:rPr>
          <w:rFonts w:ascii="Times New Roman" w:eastAsia="MS Mincho" w:hAnsi="Times New Roman" w:cs="Times New Roman"/>
          <w:sz w:val="20"/>
          <w:szCs w:val="20"/>
        </w:rPr>
        <w:t>"</w:t>
      </w:r>
      <w:r w:rsidRPr="0006586B">
        <w:rPr>
          <w:rFonts w:ascii="Times New Roman" w:hAnsi="Times New Roman" w:cs="Times New Roman"/>
          <w:sz w:val="20"/>
          <w:szCs w:val="20"/>
          <w:lang w:val="en-GB"/>
        </w:rPr>
        <w:t>4.4.6.1.</w:t>
      </w:r>
      <w:r w:rsidRPr="0006586B">
        <w:rPr>
          <w:rFonts w:ascii="Times New Roman" w:hAnsi="Times New Roman" w:cs="Times New Roman"/>
          <w:sz w:val="20"/>
          <w:szCs w:val="20"/>
          <w:lang w:val="en-GB"/>
        </w:rPr>
        <w:tab/>
        <w:t>Determination of cycle-specific equivalent all-electric range</w:t>
      </w:r>
    </w:p>
    <w:p w14:paraId="3D141C50" w14:textId="77777777" w:rsidR="00554C49" w:rsidRPr="0006586B" w:rsidRDefault="00554C49" w:rsidP="00554C49">
      <w:pPr>
        <w:keepNext/>
        <w:keepLine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The cycle-specific equivalent all-electric range shall be calculated </w:t>
      </w:r>
      <w:r w:rsidRPr="0006586B">
        <w:rPr>
          <w:rFonts w:ascii="Times New Roman" w:hAnsi="Times New Roman" w:cs="Times New Roman"/>
          <w:bCs/>
          <w:sz w:val="20"/>
          <w:szCs w:val="20"/>
          <w:lang w:val="en-GB"/>
        </w:rPr>
        <w:t>using the following equation:</w:t>
      </w:r>
    </w:p>
    <w:p w14:paraId="478F0C0B" w14:textId="77777777" w:rsidR="00554C49" w:rsidRPr="00551E27" w:rsidRDefault="00554C49" w:rsidP="00554C49">
      <w:pPr>
        <w:spacing w:after="120"/>
        <w:ind w:left="2268" w:right="1134"/>
        <w:jc w:val="center"/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GB"/>
          </w:rPr>
          <m:t>EAER=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 xml:space="preserve"> CS,declared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 xml:space="preserve"> CD,avg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GB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declared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ave</m:t>
                        </m:r>
                      </m:sub>
                    </m:sSub>
                  </m:den>
                </m:f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 xml:space="preserve"> CS,declared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lang w:val="en-GB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CDC</m:t>
            </m:r>
          </m:sub>
        </m:sSub>
      </m:oMath>
      <w:r w:rsidRPr="00551E27" w:rsidDel="00C80D8D">
        <w:rPr>
          <w:lang w:val="en-GB"/>
        </w:rPr>
        <w:t xml:space="preserve"> </w:t>
      </w:r>
    </w:p>
    <w:p w14:paraId="55CDD9D0" w14:textId="77777777" w:rsidR="00554C49" w:rsidRPr="0006586B" w:rsidRDefault="00554C49" w:rsidP="00554C49">
      <w:pPr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>where:</w:t>
      </w:r>
    </w:p>
    <w:p w14:paraId="5529D5E8" w14:textId="77777777" w:rsidR="00554C49" w:rsidRPr="0006586B" w:rsidRDefault="00554C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GB"/>
          </w:rPr>
          <m:t>EAER</m:t>
        </m:r>
      </m:oMath>
      <w:r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cycle-specific equivalent all-electric range, km;</w:t>
      </w:r>
    </w:p>
    <w:p w14:paraId="40FFFADA" w14:textId="77777777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CS,declared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declared charge-sustaining fuel consumption according to Table A8/7 Step 5, kg/100km;</w:t>
      </w:r>
    </w:p>
    <w:p w14:paraId="3747414E" w14:textId="77777777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CD,avg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arithmetic average charge-depleting fuel consumption according to the equation below, kg/100km;</w:t>
      </w:r>
    </w:p>
    <w:p w14:paraId="43A12B72" w14:textId="77777777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CD,declared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declared charge-sustaining fuel consumption according to Table A8/9a Step 11, kg/100km;</w:t>
      </w:r>
    </w:p>
    <w:p w14:paraId="190C93A7" w14:textId="77777777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CD,ave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arithmetic average charge-depleting fuel consumption according to Table A8/9a, step no. 10, kg/100km;</w:t>
      </w:r>
    </w:p>
    <w:p w14:paraId="12891BFA" w14:textId="77777777" w:rsidR="00554C49" w:rsidRPr="0006586B" w:rsidRDefault="00554C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103030A" w14:textId="705B352B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CDC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 xml:space="preserve">is the charge-depleting cycle range according to </w:t>
      </w:r>
      <w:proofErr w:type="gramStart"/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>paragraph  4.4.3.</w:t>
      </w:r>
      <w:proofErr w:type="gramEnd"/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 of this annex, km;</w:t>
      </w:r>
    </w:p>
    <w:p w14:paraId="5B985978" w14:textId="77777777" w:rsidR="00554C49" w:rsidRPr="00551E27" w:rsidRDefault="00554C49" w:rsidP="00554C49">
      <w:pPr>
        <w:spacing w:after="120"/>
        <w:ind w:left="2268" w:right="1134"/>
        <w:jc w:val="both"/>
        <w:rPr>
          <w:lang w:val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>and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GB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 xml:space="preserve"> CD, avg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(FC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 xml:space="preserve">CD,j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j</m:t>
                      </m:r>
                    </m:sub>
                  </m:sSub>
                </m:e>
              </m:nary>
            </m:den>
          </m:f>
        </m:oMath>
      </m:oMathPara>
    </w:p>
    <w:p w14:paraId="7EAD2B54" w14:textId="77777777" w:rsidR="00554C49" w:rsidRPr="00551E27" w:rsidRDefault="00554C49" w:rsidP="00554C49">
      <w:pPr>
        <w:spacing w:after="120"/>
        <w:ind w:left="2268" w:right="1134"/>
        <w:jc w:val="center"/>
        <w:rPr>
          <w:lang w:val="en-GB"/>
        </w:rPr>
      </w:pPr>
    </w:p>
    <w:p w14:paraId="54643471" w14:textId="77777777" w:rsidR="00554C49" w:rsidRPr="0006586B" w:rsidRDefault="00554C49" w:rsidP="00554C49">
      <w:pPr>
        <w:keepNext/>
        <w:keepLine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>where:</w:t>
      </w:r>
    </w:p>
    <w:p w14:paraId="233CC7DE" w14:textId="77777777" w:rsidR="00554C49" w:rsidRPr="0006586B" w:rsidRDefault="00524049" w:rsidP="00554C49">
      <w:pPr>
        <w:ind w:left="3402" w:right="1134" w:hanging="1134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 CD,avg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arithmetic average charge-depleting fuel consumption, kg/100 km. In the case of more than one charge-depleting test, the additional arithmetic average of each test shall be calculated;</w:t>
      </w:r>
    </w:p>
    <w:p w14:paraId="6DCC49F1" w14:textId="77777777" w:rsidR="00554C49" w:rsidRPr="0006586B" w:rsidRDefault="00524049" w:rsidP="00554C49">
      <w:pPr>
        <w:spacing w:after="120"/>
        <w:ind w:left="3402" w:right="1134" w:hanging="1134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 xml:space="preserve">CD,j 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fuel consumption of phase j of the charge-depleting Type 1 test, kg/100km;</w:t>
      </w:r>
    </w:p>
    <w:p w14:paraId="513D8887" w14:textId="77777777" w:rsidR="00554C49" w:rsidRPr="0006586B" w:rsidRDefault="005240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GB"/>
              </w:rPr>
              <m:t>j</m:t>
            </m:r>
          </m:sub>
        </m:sSub>
      </m:oMath>
      <w:r w:rsidR="00554C49"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distance driven in phase j of the charge-depleting Type 1 test, km;</w:t>
      </w:r>
    </w:p>
    <w:p w14:paraId="40AB8520" w14:textId="77777777" w:rsidR="00554C49" w:rsidRPr="0006586B" w:rsidRDefault="00554C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GB"/>
          </w:rPr>
          <m:t>j</m:t>
        </m:r>
      </m:oMath>
      <w:r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index number of the considered phase;</w:t>
      </w:r>
      <w:r w:rsidRPr="0006586B" w:rsidDel="00CE766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F1EED8D" w14:textId="77777777" w:rsidR="00554C49" w:rsidRPr="0006586B" w:rsidRDefault="00554C49" w:rsidP="00554C49">
      <w:pPr>
        <w:spacing w:after="120"/>
        <w:ind w:left="3402" w:right="1134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GB"/>
          </w:rPr>
          <m:t>k</m:t>
        </m:r>
      </m:oMath>
      <w:r w:rsidRPr="0006586B">
        <w:rPr>
          <w:rFonts w:ascii="Times New Roman" w:hAnsi="Times New Roman" w:cs="Times New Roman"/>
          <w:sz w:val="20"/>
          <w:szCs w:val="20"/>
          <w:lang w:val="en-GB"/>
        </w:rPr>
        <w:tab/>
        <w:t>is the number of phases driven up to the end of the transition cycle n according to paragraph </w:t>
      </w:r>
      <w:proofErr w:type="gramStart"/>
      <w:r w:rsidRPr="0006586B">
        <w:rPr>
          <w:rFonts w:ascii="Times New Roman" w:hAnsi="Times New Roman" w:cs="Times New Roman"/>
          <w:sz w:val="20"/>
          <w:szCs w:val="20"/>
          <w:lang w:val="en-GB"/>
        </w:rPr>
        <w:t>3.2.4.4.</w:t>
      </w:r>
      <w:proofErr w:type="gramEnd"/>
      <w:r w:rsidRPr="0006586B">
        <w:rPr>
          <w:rFonts w:ascii="Times New Roman" w:hAnsi="Times New Roman" w:cs="Times New Roman"/>
          <w:sz w:val="20"/>
          <w:szCs w:val="20"/>
          <w:lang w:val="en-GB"/>
        </w:rPr>
        <w:t xml:space="preserve"> of this annex.</w:t>
      </w:r>
    </w:p>
    <w:p w14:paraId="308BF44B" w14:textId="7B10844D" w:rsidR="00554C49" w:rsidRPr="0006586B" w:rsidRDefault="00554C49" w:rsidP="00554C49">
      <w:pPr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06586B">
        <w:rPr>
          <w:rFonts w:ascii="Times New Roman" w:hAnsi="Times New Roman" w:cs="Times New Roman"/>
          <w:sz w:val="20"/>
          <w:szCs w:val="20"/>
          <w:lang w:val="en-GB"/>
        </w:rPr>
        <w:t>The considered phase j shall be the applicable WLTP test cycle only.</w:t>
      </w:r>
      <w:r w:rsidRPr="0006586B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</w:p>
    <w:p w14:paraId="0427B253" w14:textId="77777777" w:rsidR="00554C49" w:rsidRPr="0006586B" w:rsidRDefault="00554C49" w:rsidP="00554C49">
      <w:pPr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en-GB" w:eastAsia="en-GB"/>
        </w:rPr>
      </w:pPr>
    </w:p>
    <w:p w14:paraId="01F0BBCD" w14:textId="665EDE3D" w:rsidR="00554C49" w:rsidRPr="0006586B" w:rsidRDefault="00554C49" w:rsidP="00554C49">
      <w:pPr>
        <w:pStyle w:val="SingleTxtG"/>
        <w:ind w:left="2268"/>
        <w:rPr>
          <w:b/>
          <w:bCs/>
          <w:u w:val="single"/>
        </w:rPr>
      </w:pPr>
      <w:r w:rsidRPr="0006586B">
        <w:rPr>
          <w:b/>
          <w:bCs/>
          <w:lang w:val="en-US"/>
        </w:rPr>
        <w:t xml:space="preserve">In the case that the interpolation method is applied, k shall be the number of phases driven up to the end of the transition cycle of vehicle L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veh_L</w:t>
      </w:r>
      <w:proofErr w:type="spellEnd"/>
      <w:r w:rsidRPr="0006586B">
        <w:rPr>
          <w:b/>
          <w:bCs/>
          <w:lang w:val="en-US"/>
        </w:rPr>
        <w:t xml:space="preserve">. If the transition cycle number driven by vehicle H,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vehH</w:t>
      </w:r>
      <w:proofErr w:type="spellEnd"/>
      <w:r w:rsidRPr="0006586B">
        <w:rPr>
          <w:b/>
          <w:bCs/>
          <w:lang w:val="en-US"/>
        </w:rPr>
        <w:t xml:space="preserve"> , and, if applicable, by an individual vehicle within the vehicle interpolation family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vehind</w:t>
      </w:r>
      <w:proofErr w:type="spellEnd"/>
      <w:r w:rsidRPr="0006586B">
        <w:rPr>
          <w:b/>
          <w:bCs/>
          <w:lang w:val="en-US"/>
        </w:rPr>
        <w:t xml:space="preserve"> is lower than the transition cycle number driven by vehicle L, </w:t>
      </w:r>
      <w:proofErr w:type="spellStart"/>
      <w:r w:rsidRPr="0006586B">
        <w:rPr>
          <w:b/>
          <w:bCs/>
          <w:lang w:val="en-US"/>
        </w:rPr>
        <w:t>n</w:t>
      </w:r>
      <w:r w:rsidRPr="0006586B">
        <w:rPr>
          <w:b/>
          <w:bCs/>
          <w:vertAlign w:val="subscript"/>
          <w:lang w:val="en-US"/>
        </w:rPr>
        <w:t>veh_L</w:t>
      </w:r>
      <w:proofErr w:type="spellEnd"/>
      <w:r w:rsidRPr="0006586B">
        <w:rPr>
          <w:b/>
          <w:bCs/>
          <w:lang w:val="en-US"/>
        </w:rPr>
        <w:t>, the confirmation cycle of vehicle H and, if applicable, an individual vehicle shall be included in the calculation.</w:t>
      </w:r>
      <w:r w:rsidR="0006586B" w:rsidRPr="0006586B">
        <w:rPr>
          <w:rFonts w:eastAsia="MS Mincho"/>
        </w:rPr>
        <w:t>"</w:t>
      </w:r>
    </w:p>
    <w:p w14:paraId="1D622621" w14:textId="77777777" w:rsidR="00554C49" w:rsidRDefault="00554C49" w:rsidP="009A582D">
      <w:pPr>
        <w:pStyle w:val="SingleTxtG"/>
        <w:ind w:left="2268" w:hanging="1134"/>
        <w:rPr>
          <w:b/>
          <w:bCs/>
          <w:sz w:val="28"/>
          <w:szCs w:val="28"/>
          <w:lang w:val="en-US"/>
        </w:rPr>
      </w:pPr>
    </w:p>
    <w:p w14:paraId="0076A2F5" w14:textId="0E7691F7" w:rsidR="00952DDE" w:rsidRDefault="00952DDE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75CA6BB2" w14:textId="1EEEACBB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5654585" w14:textId="4B2708C1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3387B43F" w14:textId="15638DEE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2748A241" w14:textId="45D96811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07A1D02" w14:textId="604E2AF2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31D26393" w14:textId="7E008AC7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75D8E3DC" w14:textId="6080AC9D" w:rsidR="00554C49" w:rsidRDefault="00554C49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36AF6CD" w14:textId="798AE24C" w:rsidR="0006586B" w:rsidRDefault="0006586B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601876EB" w14:textId="2596F236" w:rsidR="0006586B" w:rsidRDefault="0006586B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2AD6B71E" w14:textId="0A3BC7E7" w:rsidR="0006586B" w:rsidRDefault="0006586B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32709FC4" w14:textId="25ADFA8C" w:rsidR="0006586B" w:rsidRDefault="0006586B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1E718642" w14:textId="77777777" w:rsidR="0006586B" w:rsidRDefault="0006586B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20B96970" w14:textId="77777777" w:rsidR="00952DDE" w:rsidRDefault="00952DDE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4DE652A" w14:textId="77777777" w:rsidR="00952DDE" w:rsidRDefault="00952DDE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679D0426" w14:textId="77777777" w:rsidR="00952DDE" w:rsidRDefault="00952DDE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EBA93BC" w14:textId="22DBDC3E" w:rsidR="00951AE1" w:rsidRDefault="00951AE1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lastRenderedPageBreak/>
        <w:t>II. Justification</w:t>
      </w:r>
    </w:p>
    <w:p w14:paraId="466C9B24" w14:textId="5E3696D5" w:rsidR="000C67C7" w:rsidRDefault="000C67C7" w:rsidP="0035613B">
      <w:pPr>
        <w:pStyle w:val="Default"/>
        <w:ind w:left="1134" w:right="1110"/>
        <w:rPr>
          <w:sz w:val="28"/>
          <w:szCs w:val="28"/>
          <w:lang w:val="en-US"/>
        </w:rPr>
      </w:pPr>
    </w:p>
    <w:p w14:paraId="14DA07DC" w14:textId="5DE1CB35" w:rsidR="00554C49" w:rsidRDefault="00554C49" w:rsidP="0006586B">
      <w:pPr>
        <w:pStyle w:val="SingleTxtG"/>
        <w:numPr>
          <w:ilvl w:val="0"/>
          <w:numId w:val="5"/>
        </w:numPr>
        <w:suppressAutoHyphens/>
        <w:spacing w:line="240" w:lineRule="atLeast"/>
        <w:ind w:left="1134" w:firstLine="0"/>
        <w:rPr>
          <w:lang w:val="en-US"/>
        </w:rPr>
      </w:pPr>
      <w:r>
        <w:rPr>
          <w:lang w:val="en-US"/>
        </w:rPr>
        <w:t>Paragraph 4.4.3. also applies to OVC-FCHVs in Level 1A and therefore the limitation to OVC-HEVs should be deleted as this is a simple and straight forward solution to make it clear and to avoid any complex wording</w:t>
      </w:r>
      <w:r w:rsidR="00225905">
        <w:rPr>
          <w:lang w:val="en-US"/>
        </w:rPr>
        <w:t xml:space="preserve"> to explain that OVC-FCHVs just for Level 1A.</w:t>
      </w:r>
    </w:p>
    <w:p w14:paraId="4D2F0625" w14:textId="5F2D3206" w:rsidR="005C4EA2" w:rsidRPr="005C4EA2" w:rsidRDefault="005C4EA2" w:rsidP="005C4EA2">
      <w:pPr>
        <w:pStyle w:val="SingleTxtG"/>
        <w:numPr>
          <w:ilvl w:val="0"/>
          <w:numId w:val="5"/>
        </w:numPr>
        <w:suppressAutoHyphens/>
        <w:spacing w:line="240" w:lineRule="atLeast"/>
        <w:ind w:left="1418" w:hanging="284"/>
        <w:rPr>
          <w:lang w:val="en-US"/>
        </w:rPr>
      </w:pPr>
      <w:r>
        <w:t>Recommendation to apply the number of CD cycles from vehicle L also for EAER</w:t>
      </w:r>
    </w:p>
    <w:p w14:paraId="29EC983B" w14:textId="3FB1D4F3" w:rsidR="005C4EA2" w:rsidRPr="005C4EA2" w:rsidRDefault="006628E8" w:rsidP="00044D67">
      <w:pPr>
        <w:pStyle w:val="SingleTxtG"/>
        <w:numPr>
          <w:ilvl w:val="1"/>
          <w:numId w:val="5"/>
        </w:numPr>
        <w:suppressAutoHyphens/>
        <w:spacing w:line="240" w:lineRule="atLeast"/>
        <w:rPr>
          <w:lang w:val="en-US"/>
        </w:rPr>
      </w:pPr>
      <w:r w:rsidRPr="00554C49">
        <w:t>Interpolation method working for the R</w:t>
      </w:r>
      <w:r w:rsidRPr="006628E8">
        <w:rPr>
          <w:vertAlign w:val="subscript"/>
        </w:rPr>
        <w:t>CDC</w:t>
      </w:r>
      <w:r w:rsidRPr="00554C49">
        <w:t xml:space="preserve"> difference of 1 cycle (between VH and VL) but manufacturer need to add a safety margin that is </w:t>
      </w:r>
      <w:r w:rsidRPr="006628E8">
        <w:rPr>
          <w:u w:val="single"/>
        </w:rPr>
        <w:t>not caused</w:t>
      </w:r>
      <w:r w:rsidRPr="00554C49">
        <w:t xml:space="preserve"> by physical energy but by</w:t>
      </w:r>
      <w:r w:rsidR="00673375">
        <w:t xml:space="preserve"> the calculation method (lesson</w:t>
      </w:r>
      <w:r w:rsidRPr="00554C49">
        <w:t xml:space="preserve"> learned)</w:t>
      </w:r>
    </w:p>
    <w:p w14:paraId="271AF5A3" w14:textId="67020612" w:rsidR="006628E8" w:rsidRPr="006628E8" w:rsidRDefault="00D654B9" w:rsidP="00044D67">
      <w:pPr>
        <w:pStyle w:val="SingleTxtG"/>
        <w:numPr>
          <w:ilvl w:val="1"/>
          <w:numId w:val="5"/>
        </w:numPr>
        <w:suppressAutoHyphens/>
        <w:spacing w:line="240" w:lineRule="atLeast"/>
        <w:rPr>
          <w:lang w:val="en-US"/>
        </w:rPr>
      </w:pPr>
      <w:r>
        <w:rPr>
          <w:lang w:val="en-US"/>
        </w:rPr>
        <w:t>Approach</w:t>
      </w:r>
      <w:r w:rsidR="0061601B" w:rsidRPr="00554C49">
        <w:t xml:space="preserve"> </w:t>
      </w:r>
      <w:r>
        <w:t xml:space="preserve">already </w:t>
      </w:r>
      <w:r w:rsidR="0061601B" w:rsidRPr="00554C49">
        <w:t>implemented</w:t>
      </w:r>
      <w:r>
        <w:t xml:space="preserve"> for all further interpolated charge-depleting values</w:t>
      </w:r>
      <w:r w:rsidR="0061601B" w:rsidRPr="00554C49">
        <w:t xml:space="preserve"> e.g. for </w:t>
      </w:r>
      <w:proofErr w:type="gramStart"/>
      <w:r w:rsidR="0061601B" w:rsidRPr="00554C49">
        <w:t>EC</w:t>
      </w:r>
      <w:r w:rsidR="0061601B" w:rsidRPr="006628E8">
        <w:rPr>
          <w:vertAlign w:val="subscript"/>
        </w:rPr>
        <w:t>AC,CD</w:t>
      </w:r>
      <w:proofErr w:type="gramEnd"/>
      <w:r w:rsidR="006628E8">
        <w:t xml:space="preserve"> (Annex B8, §4.3.1.). </w:t>
      </w:r>
    </w:p>
    <w:p w14:paraId="443887C2" w14:textId="1B583C6F" w:rsidR="00287D30" w:rsidRPr="00673375" w:rsidRDefault="006628E8" w:rsidP="00044D67">
      <w:pPr>
        <w:pStyle w:val="SingleTxtG"/>
        <w:numPr>
          <w:ilvl w:val="1"/>
          <w:numId w:val="5"/>
        </w:numPr>
        <w:suppressAutoHyphens/>
        <w:spacing w:line="240" w:lineRule="atLeast"/>
        <w:rPr>
          <w:lang w:val="en-US"/>
        </w:rPr>
      </w:pPr>
      <w:r>
        <w:t xml:space="preserve">The implementation of the vehicle L </w:t>
      </w:r>
      <w:r w:rsidR="0061601B" w:rsidRPr="00554C49">
        <w:t xml:space="preserve">approach has </w:t>
      </w:r>
      <w:r>
        <w:t>not</w:t>
      </w:r>
      <w:r w:rsidR="00554C49">
        <w:t xml:space="preserve"> </w:t>
      </w:r>
      <w:proofErr w:type="gramStart"/>
      <w:r>
        <w:t>be</w:t>
      </w:r>
      <w:proofErr w:type="gramEnd"/>
      <w:r>
        <w:t xml:space="preserve"> done for EAER in the first step but should be </w:t>
      </w:r>
      <w:r w:rsidR="00554C49">
        <w:t xml:space="preserve">integrated </w:t>
      </w:r>
      <w:r>
        <w:t>in the next step</w:t>
      </w:r>
      <w:r w:rsidR="00D654B9">
        <w:t xml:space="preserve"> (based on the lesson learned)</w:t>
      </w:r>
    </w:p>
    <w:p w14:paraId="23131E5B" w14:textId="433E7828" w:rsidR="00673375" w:rsidRPr="006628E8" w:rsidRDefault="00673375" w:rsidP="00044D67">
      <w:pPr>
        <w:pStyle w:val="SingleTxtG"/>
        <w:numPr>
          <w:ilvl w:val="1"/>
          <w:numId w:val="5"/>
        </w:numPr>
        <w:suppressAutoHyphens/>
        <w:spacing w:line="240" w:lineRule="atLeast"/>
        <w:rPr>
          <w:lang w:val="en-US"/>
        </w:rPr>
      </w:pPr>
      <w:r>
        <w:t>An additional argument for the implementation of this approach is the cross-link of EAER into the “In-Vehicle-Battery-Durability GTR” (although range monitor is in monitoring for phase 1). An identical number of CD cycles for EAER calculation provides a clear and robust reference if a reference to the number of CD cycles during homologation is required</w:t>
      </w:r>
      <w:r w:rsidR="00AF2E1D">
        <w:t>. Nothing which is clear now but in case it is needed, that change will be also driven by that.</w:t>
      </w:r>
    </w:p>
    <w:p w14:paraId="0E7E3854" w14:textId="75663DBE" w:rsidR="0081205A" w:rsidRDefault="00D42C29" w:rsidP="00D42C29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24738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7D459A27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default" r:id="rId11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9332" w14:textId="77777777" w:rsidR="00524049" w:rsidRDefault="00524049" w:rsidP="00F06571">
      <w:r>
        <w:separator/>
      </w:r>
    </w:p>
  </w:endnote>
  <w:endnote w:type="continuationSeparator" w:id="0">
    <w:p w14:paraId="5C982F78" w14:textId="77777777" w:rsidR="00524049" w:rsidRDefault="00524049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79B1" w14:textId="77777777" w:rsidR="00524049" w:rsidRDefault="00524049" w:rsidP="00F06571">
      <w:r>
        <w:separator/>
      </w:r>
    </w:p>
  </w:footnote>
  <w:footnote w:type="continuationSeparator" w:id="0">
    <w:p w14:paraId="593EEC5F" w14:textId="77777777" w:rsidR="00524049" w:rsidRDefault="00524049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840"/>
    </w:tblGrid>
    <w:tr w:rsidR="001212DD" w:rsidRPr="009766C4" w14:paraId="0B3C20F3" w14:textId="77777777" w:rsidTr="00B555BE">
      <w:tc>
        <w:tcPr>
          <w:tcW w:w="4927" w:type="dxa"/>
        </w:tcPr>
        <w:p w14:paraId="5DF9D308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5421CF05" w14:textId="6E814BDE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 xml:space="preserve">Informal </w:t>
          </w:r>
          <w:proofErr w:type="spellStart"/>
          <w:r w:rsidRPr="005A4913">
            <w:rPr>
              <w:rFonts w:ascii="Times New Roman" w:eastAsia="Times New Roman" w:hAnsi="Times New Roman" w:cs="Times New Roman"/>
              <w:u w:val="single"/>
              <w:lang w:val="pt-BR"/>
            </w:rPr>
            <w:t>document</w:t>
          </w:r>
          <w:proofErr w:type="spellEnd"/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 </w:t>
          </w:r>
          <w:r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GRPE-</w:t>
          </w:r>
          <w:r w:rsidR="00951AE1"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8</w:t>
          </w:r>
          <w:r w:rsidR="0006586B">
            <w:rPr>
              <w:rFonts w:ascii="Times New Roman" w:eastAsia="Times New Roman" w:hAnsi="Times New Roman" w:cs="Times New Roman"/>
              <w:b/>
              <w:bCs/>
              <w:lang w:val="pt-BR"/>
            </w:rPr>
            <w:t>4</w:t>
          </w:r>
          <w:r w:rsidR="0035613B" w:rsidRPr="005A4913">
            <w:rPr>
              <w:rFonts w:ascii="Times New Roman" w:eastAsia="Times New Roman" w:hAnsi="Times New Roman" w:cs="Times New Roman"/>
              <w:b/>
              <w:bCs/>
              <w:lang w:val="pt-BR"/>
            </w:rPr>
            <w:t>-</w:t>
          </w:r>
          <w:r w:rsidR="002C7865">
            <w:rPr>
              <w:rFonts w:ascii="Times New Roman" w:eastAsia="Times New Roman" w:hAnsi="Times New Roman" w:cs="Times New Roman"/>
              <w:b/>
              <w:bCs/>
              <w:lang w:val="pt-BR"/>
            </w:rPr>
            <w:t>12</w:t>
          </w:r>
        </w:p>
        <w:p w14:paraId="45300BC2" w14:textId="155B12D6" w:rsidR="0006586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>8</w:t>
          </w:r>
          <w:r w:rsidR="0006586B">
            <w:rPr>
              <w:rFonts w:ascii="Times New Roman" w:eastAsia="Times New Roman" w:hAnsi="Times New Roman" w:cs="Times New Roman"/>
              <w:bCs/>
              <w:lang w:val="pt-BR"/>
            </w:rPr>
            <w:t>4</w:t>
          </w:r>
          <w:r w:rsidR="000E165B" w:rsidRPr="005A4913">
            <w:rPr>
              <w:rFonts w:ascii="Times New Roman" w:eastAsia="Times New Roman" w:hAnsi="Times New Roman" w:cs="Times New Roman"/>
              <w:bCs/>
              <w:vertAlign w:val="superscript"/>
              <w:lang w:val="pt-BR"/>
            </w:rPr>
            <w:t>th</w:t>
          </w:r>
          <w:r w:rsidR="0035613B"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 </w:t>
          </w:r>
          <w:r w:rsidR="00951AE1" w:rsidRPr="005A4913">
            <w:rPr>
              <w:rFonts w:ascii="Times New Roman" w:eastAsia="Times New Roman" w:hAnsi="Times New Roman" w:cs="Times New Roman"/>
              <w:bCs/>
              <w:lang w:val="pt-BR"/>
            </w:rPr>
            <w:t>G</w:t>
          </w:r>
          <w:r w:rsidRPr="005A4913">
            <w:rPr>
              <w:rFonts w:ascii="Times New Roman" w:eastAsia="Times New Roman" w:hAnsi="Times New Roman" w:cs="Times New Roman"/>
              <w:bCs/>
              <w:lang w:val="pt-BR"/>
            </w:rPr>
            <w:t xml:space="preserve">RPE, </w:t>
          </w:r>
          <w:r w:rsidR="0006586B">
            <w:rPr>
              <w:rFonts w:ascii="Times New Roman" w:eastAsia="Times New Roman" w:hAnsi="Times New Roman" w:cs="Times New Roman"/>
              <w:bCs/>
              <w:lang w:val="pt-BR"/>
            </w:rPr>
            <w:t>12 November 2021</w:t>
          </w:r>
        </w:p>
        <w:p w14:paraId="689E410A" w14:textId="682F8E7A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pt-BR"/>
            </w:rPr>
          </w:pPr>
          <w:r w:rsidRPr="005A4913">
            <w:rPr>
              <w:rFonts w:ascii="Times New Roman" w:eastAsia="Times New Roman" w:hAnsi="Times New Roman" w:cs="Times New Roman"/>
              <w:lang w:val="pt-BR"/>
            </w:rPr>
            <w:t xml:space="preserve">Agenda item </w:t>
          </w:r>
          <w:r w:rsidR="0006586B" w:rsidRPr="002C7865">
            <w:rPr>
              <w:rFonts w:ascii="Times New Roman" w:eastAsia="Times New Roman" w:hAnsi="Times New Roman" w:cs="Times New Roman"/>
              <w:lang w:val="pt-BR"/>
            </w:rPr>
            <w:t>4.</w:t>
          </w:r>
        </w:p>
        <w:p w14:paraId="1A320024" w14:textId="77777777" w:rsidR="001212DD" w:rsidRPr="005A4913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  <w:lang w:val="pt-BR"/>
            </w:rPr>
          </w:pPr>
        </w:p>
      </w:tc>
    </w:tr>
  </w:tbl>
  <w:p w14:paraId="7814163E" w14:textId="77777777" w:rsidR="001212DD" w:rsidRPr="005A4913" w:rsidRDefault="001212D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5A33B77"/>
    <w:multiLevelType w:val="hybridMultilevel"/>
    <w:tmpl w:val="8BEAF294"/>
    <w:lvl w:ilvl="0" w:tplc="BCE6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3223"/>
    <w:multiLevelType w:val="hybridMultilevel"/>
    <w:tmpl w:val="5AC00E96"/>
    <w:lvl w:ilvl="0" w:tplc="F746D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68A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4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3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8B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4C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8B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2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54A"/>
    <w:multiLevelType w:val="hybridMultilevel"/>
    <w:tmpl w:val="AC20B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808B3"/>
    <w:multiLevelType w:val="hybridMultilevel"/>
    <w:tmpl w:val="F2984F6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8"/>
    <w:rsid w:val="00044D67"/>
    <w:rsid w:val="00055F13"/>
    <w:rsid w:val="0006586B"/>
    <w:rsid w:val="00073F84"/>
    <w:rsid w:val="000C67C7"/>
    <w:rsid w:val="000E165B"/>
    <w:rsid w:val="00117703"/>
    <w:rsid w:val="001212DD"/>
    <w:rsid w:val="002070DF"/>
    <w:rsid w:val="00225905"/>
    <w:rsid w:val="0024602C"/>
    <w:rsid w:val="00286EBB"/>
    <w:rsid w:val="00287D30"/>
    <w:rsid w:val="002C7865"/>
    <w:rsid w:val="002D43E3"/>
    <w:rsid w:val="00327D8E"/>
    <w:rsid w:val="0035613B"/>
    <w:rsid w:val="00373C5B"/>
    <w:rsid w:val="003A4E24"/>
    <w:rsid w:val="003B3089"/>
    <w:rsid w:val="00474A66"/>
    <w:rsid w:val="00475B7E"/>
    <w:rsid w:val="004814F0"/>
    <w:rsid w:val="00485566"/>
    <w:rsid w:val="00487ACC"/>
    <w:rsid w:val="004921D2"/>
    <w:rsid w:val="00524049"/>
    <w:rsid w:val="00543F57"/>
    <w:rsid w:val="005467A8"/>
    <w:rsid w:val="00554C49"/>
    <w:rsid w:val="0056570C"/>
    <w:rsid w:val="00592535"/>
    <w:rsid w:val="005A4913"/>
    <w:rsid w:val="005C4DA1"/>
    <w:rsid w:val="005C4EA2"/>
    <w:rsid w:val="0061601B"/>
    <w:rsid w:val="006628E8"/>
    <w:rsid w:val="00673375"/>
    <w:rsid w:val="00720589"/>
    <w:rsid w:val="00723C98"/>
    <w:rsid w:val="00751B28"/>
    <w:rsid w:val="0075489F"/>
    <w:rsid w:val="007A33DD"/>
    <w:rsid w:val="007A561F"/>
    <w:rsid w:val="0081205A"/>
    <w:rsid w:val="00840544"/>
    <w:rsid w:val="00892D87"/>
    <w:rsid w:val="008D6027"/>
    <w:rsid w:val="00911A23"/>
    <w:rsid w:val="00951AE1"/>
    <w:rsid w:val="00952DDE"/>
    <w:rsid w:val="00976687"/>
    <w:rsid w:val="009766C4"/>
    <w:rsid w:val="00987669"/>
    <w:rsid w:val="009A0930"/>
    <w:rsid w:val="009A582D"/>
    <w:rsid w:val="009C4623"/>
    <w:rsid w:val="00AB1A99"/>
    <w:rsid w:val="00AF2E1D"/>
    <w:rsid w:val="00AF473D"/>
    <w:rsid w:val="00B1593C"/>
    <w:rsid w:val="00B35549"/>
    <w:rsid w:val="00B86189"/>
    <w:rsid w:val="00BA17D0"/>
    <w:rsid w:val="00BB0718"/>
    <w:rsid w:val="00BC5101"/>
    <w:rsid w:val="00BD50BF"/>
    <w:rsid w:val="00BF7CF9"/>
    <w:rsid w:val="00CA1F03"/>
    <w:rsid w:val="00CB314E"/>
    <w:rsid w:val="00CE0DD3"/>
    <w:rsid w:val="00D17573"/>
    <w:rsid w:val="00D42C29"/>
    <w:rsid w:val="00D654B9"/>
    <w:rsid w:val="00D7097E"/>
    <w:rsid w:val="00DE2D8F"/>
    <w:rsid w:val="00E25BF0"/>
    <w:rsid w:val="00EA6466"/>
    <w:rsid w:val="00EF479A"/>
    <w:rsid w:val="00F06571"/>
    <w:rsid w:val="00F4130C"/>
    <w:rsid w:val="00F4362E"/>
    <w:rsid w:val="00F9065F"/>
    <w:rsid w:val="00F92936"/>
    <w:rsid w:val="00FA15C3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CA1F03"/>
    <w:pPr>
      <w:suppressAutoHyphens/>
      <w:spacing w:line="240" w:lineRule="atLeast"/>
      <w:ind w:left="2268" w:hanging="1134"/>
    </w:pPr>
    <w:rPr>
      <w:lang w:val="fr-CH"/>
    </w:rPr>
  </w:style>
  <w:style w:type="character" w:customStyle="1" w:styleId="paraChar">
    <w:name w:val="para Char"/>
    <w:link w:val="para"/>
    <w:rsid w:val="00CA1F03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9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8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F80BC-8C61-4321-A602-0DF1BF1C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9B853-FD5C-423A-92C4-92C23CCD8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NÄGELI</dc:creator>
  <cp:lastModifiedBy>Francois Cuenot</cp:lastModifiedBy>
  <cp:revision>3</cp:revision>
  <dcterms:created xsi:type="dcterms:W3CDTF">2021-11-10T15:13:00Z</dcterms:created>
  <dcterms:modified xsi:type="dcterms:W3CDTF">2021-11-10T17:22:00Z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