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A80ED" w14:textId="1C593E47" w:rsidR="00674E68" w:rsidRPr="00674E68" w:rsidRDefault="00674E68" w:rsidP="00674E68">
      <w:pPr>
        <w:suppressAutoHyphens w:val="0"/>
        <w:spacing w:line="240" w:lineRule="auto"/>
        <w:jc w:val="center"/>
        <w:rPr>
          <w:b/>
        </w:rPr>
      </w:pPr>
      <w:r w:rsidRPr="00674E68">
        <w:rPr>
          <w:b/>
        </w:rPr>
        <w:t>Possibility to tackle the Life Cycle Assessment</w:t>
      </w:r>
      <w:r w:rsidR="00551793">
        <w:rPr>
          <w:b/>
        </w:rPr>
        <w:t xml:space="preserve"> (LCA)</w:t>
      </w:r>
      <w:r w:rsidRPr="00674E68">
        <w:rPr>
          <w:b/>
        </w:rPr>
        <w:t xml:space="preserve"> in GRPE</w:t>
      </w:r>
    </w:p>
    <w:p w14:paraId="0EC0E0F0" w14:textId="77777777" w:rsidR="00674E68" w:rsidRPr="00551793" w:rsidRDefault="00674E68" w:rsidP="00674E68">
      <w:pPr>
        <w:suppressAutoHyphens w:val="0"/>
        <w:spacing w:line="240" w:lineRule="auto"/>
      </w:pPr>
    </w:p>
    <w:p w14:paraId="18820CB0" w14:textId="77777777" w:rsidR="00674E68" w:rsidRPr="00674E68" w:rsidRDefault="00674E68" w:rsidP="001077A3">
      <w:pPr>
        <w:suppressAutoHyphens w:val="0"/>
        <w:spacing w:afterLines="50" w:after="120" w:line="240" w:lineRule="auto"/>
        <w:rPr>
          <w:b/>
        </w:rPr>
      </w:pPr>
      <w:r w:rsidRPr="00674E68">
        <w:rPr>
          <w:b/>
        </w:rPr>
        <w:t>Background</w:t>
      </w:r>
    </w:p>
    <w:p w14:paraId="3AA8A757" w14:textId="740A55F8" w:rsidR="00823B92" w:rsidRDefault="00104CC4" w:rsidP="00823B92">
      <w:pPr>
        <w:suppressAutoHyphens w:val="0"/>
        <w:spacing w:afterLines="50" w:after="120" w:line="240" w:lineRule="auto"/>
        <w:jc w:val="both"/>
      </w:pPr>
      <w:r w:rsidRPr="00104CC4">
        <w:t>The Paris Agreement stipulates t</w:t>
      </w:r>
      <w:r>
        <w:t xml:space="preserve">hat its goal is to limit global warming to well below 2, preferably to 1.5 degrees Celsius, compared to pre-industrial levels. To achieve this long-term temperature goal, countries aim to reach global peaking of greenhouse gas emissions as soon as possible to achieve a climate neutral world by mid-century.  </w:t>
      </w:r>
      <w:r w:rsidR="00823B92">
        <w:t xml:space="preserve">The global transport sector is a major polluter and </w:t>
      </w:r>
      <w:r w:rsidR="00823B92" w:rsidRPr="00823B92">
        <w:t xml:space="preserve">road transport </w:t>
      </w:r>
      <w:r w:rsidR="00823B92">
        <w:t>could be</w:t>
      </w:r>
      <w:r w:rsidR="00823B92" w:rsidRPr="00823B92">
        <w:t xml:space="preserve"> the biggest contributors</w:t>
      </w:r>
      <w:r w:rsidR="00823B92">
        <w:t xml:space="preserve"> in each cou</w:t>
      </w:r>
      <w:r w:rsidR="008508BE">
        <w:t>n</w:t>
      </w:r>
      <w:r w:rsidR="00823B92">
        <w:t>try. Therefore it is important to take drastic measures to reduce CO2 in the road transport sector toward the middle of this century.</w:t>
      </w:r>
    </w:p>
    <w:p w14:paraId="502D89F0" w14:textId="6DAA61AA" w:rsidR="00674E68" w:rsidRDefault="00674E68" w:rsidP="001077A3">
      <w:pPr>
        <w:suppressAutoHyphens w:val="0"/>
        <w:spacing w:afterLines="50" w:after="120" w:line="240" w:lineRule="auto"/>
        <w:jc w:val="both"/>
      </w:pPr>
      <w:r>
        <w:t>In October 2020, the Government of Japan (GOJ) announced the Carbon Neutrality in 2050. In December 2020, the GOJ has formulated the “Green Growth Strategy through Achieving Carbon Neutrality in 2050”. This strategy is an industrial policy to lead the challenging goal of achieving carbon neutrality by 2050, and aims toward a positive cycle of economic growth and the environmental protection. Based on the strategy, the GOJ will promote the electrification of automobiles such as measures to make electrified vehicles</w:t>
      </w:r>
      <w:r w:rsidR="00823B92">
        <w:t xml:space="preserve"> including BEV, PHEV, HEV, FCV and </w:t>
      </w:r>
      <w:r w:rsidR="00E32F8E">
        <w:t>I</w:t>
      </w:r>
      <w:r w:rsidR="00823B92">
        <w:t>CV with bio- or e-fuel</w:t>
      </w:r>
      <w:r>
        <w:t xml:space="preserve"> account for 100% of new passenger vehicles sold each year by 2035. It also promotes the technological development to reduce CO2 throughout the life cycle of automobiles, and promote carbon-neutral measures throughout the automobile-related industry.</w:t>
      </w:r>
    </w:p>
    <w:p w14:paraId="7E119965" w14:textId="5A593E78" w:rsidR="00674E68" w:rsidRDefault="00674E68" w:rsidP="001077A3">
      <w:pPr>
        <w:suppressAutoHyphens w:val="0"/>
        <w:spacing w:afterLines="50" w:after="120" w:line="240" w:lineRule="auto"/>
        <w:jc w:val="both"/>
      </w:pPr>
      <w:r>
        <w:t>In July 2021, the European Commission adopted a package of proposals to make the EU's climate, energy, land use, transport and taxation policies fit for reducing net greenhouse gas emissions by at least 55% by 2030, compared to 1990 levels.</w:t>
      </w:r>
      <w:r w:rsidR="00E13333">
        <w:t xml:space="preserve"> </w:t>
      </w:r>
      <w:r w:rsidR="007355A2">
        <w:t>This proposal includes stronger CO2 emissions standards for cars and vans that will accelerate the transition to zero-emission mobility by requiring average emissions of new cars to come down by 55% from 2030 and 100% from 2035 compared to 2021 levels. As a result, all new cars registered as of 2035 will be zero-emission</w:t>
      </w:r>
      <w:r w:rsidR="001D3398">
        <w:t xml:space="preserve"> (BEV and</w:t>
      </w:r>
      <w:r w:rsidR="00E32F8E">
        <w:t xml:space="preserve"> FCV)</w:t>
      </w:r>
      <w:r w:rsidR="007355A2">
        <w:t>.</w:t>
      </w:r>
    </w:p>
    <w:p w14:paraId="0436B666" w14:textId="3A4102B2" w:rsidR="00674E68" w:rsidRDefault="00674E68" w:rsidP="001077A3">
      <w:pPr>
        <w:suppressAutoHyphens w:val="0"/>
        <w:spacing w:afterLines="50" w:after="120" w:line="240" w:lineRule="auto"/>
        <w:jc w:val="both"/>
      </w:pPr>
      <w:r>
        <w:t xml:space="preserve">In August 2021, the President of United States signed an Executive Order that sets an ambitious new target to make half of all new vehicles sold in 2030 zero-emissions vehicles, including </w:t>
      </w:r>
      <w:r w:rsidR="00E32F8E">
        <w:t>BEV</w:t>
      </w:r>
      <w:r>
        <w:t xml:space="preserve">, </w:t>
      </w:r>
      <w:r w:rsidR="00E32F8E">
        <w:t>PHV</w:t>
      </w:r>
      <w:r>
        <w:t xml:space="preserve"> or </w:t>
      </w:r>
      <w:r w:rsidR="00E32F8E">
        <w:t>FCV</w:t>
      </w:r>
      <w:r>
        <w:t>. The Executive Order also kicks off development of long-term fuel efficiency and emissions standards to save consumers money, cut pollution, boost public health, advance environmental justice, and tackle the climate crisis.</w:t>
      </w:r>
    </w:p>
    <w:p w14:paraId="2CB21870" w14:textId="0931EF0E" w:rsidR="004E2D33" w:rsidRDefault="00674E68" w:rsidP="004E2D33">
      <w:pPr>
        <w:suppressAutoHyphens w:val="0"/>
        <w:spacing w:afterLines="50" w:after="120" w:line="240" w:lineRule="auto"/>
        <w:jc w:val="both"/>
      </w:pPr>
      <w:r>
        <w:t xml:space="preserve">In </w:t>
      </w:r>
      <w:r w:rsidR="004E2D33">
        <w:t>China, LCA regulation is under consideration at CATARC-ADC a</w:t>
      </w:r>
      <w:r w:rsidR="004E2D33" w:rsidRPr="004E2D33">
        <w:t xml:space="preserve">iming to introduce </w:t>
      </w:r>
      <w:r w:rsidR="004E2D33">
        <w:t xml:space="preserve">the national regulation </w:t>
      </w:r>
      <w:r w:rsidR="004E2D33" w:rsidRPr="004E2D33">
        <w:t>in 2025, which is the base year of the next fuel consumption regulation,</w:t>
      </w:r>
    </w:p>
    <w:p w14:paraId="278A9E67" w14:textId="2BE38E27" w:rsidR="00550A4F" w:rsidRDefault="00550A4F" w:rsidP="003D6546">
      <w:pPr>
        <w:suppressAutoHyphens w:val="0"/>
        <w:spacing w:afterLines="50" w:after="120" w:line="240" w:lineRule="auto"/>
      </w:pPr>
      <w:r>
        <w:t>Measures toward carbon neutrality have b</w:t>
      </w:r>
      <w:r w:rsidR="003D6546">
        <w:t>ecome an urgent issue worldwide currently.</w:t>
      </w:r>
    </w:p>
    <w:p w14:paraId="53D1411D" w14:textId="77777777" w:rsidR="003D6546" w:rsidRPr="003D6546" w:rsidRDefault="003D6546" w:rsidP="003D6546">
      <w:pPr>
        <w:suppressAutoHyphens w:val="0"/>
        <w:spacing w:afterLines="50" w:after="120" w:line="240" w:lineRule="auto"/>
      </w:pPr>
    </w:p>
    <w:p w14:paraId="7459FD3F" w14:textId="00C11835" w:rsidR="00674E68" w:rsidRPr="001077A3" w:rsidRDefault="008E7ADF" w:rsidP="003D6546">
      <w:pPr>
        <w:suppressAutoHyphens w:val="0"/>
        <w:spacing w:afterLines="50" w:after="120" w:line="240" w:lineRule="auto"/>
        <w:rPr>
          <w:b/>
        </w:rPr>
      </w:pPr>
      <w:r>
        <w:rPr>
          <w:b/>
        </w:rPr>
        <w:t xml:space="preserve">Need for </w:t>
      </w:r>
      <w:r w:rsidR="00516A06">
        <w:rPr>
          <w:b/>
        </w:rPr>
        <w:t xml:space="preserve">start discussion on </w:t>
      </w:r>
      <w:r>
        <w:rPr>
          <w:b/>
        </w:rPr>
        <w:t>LCA assessmen</w:t>
      </w:r>
      <w:r w:rsidR="00516A06">
        <w:rPr>
          <w:b/>
        </w:rPr>
        <w:t>t method in GRPE</w:t>
      </w:r>
    </w:p>
    <w:p w14:paraId="0F3C08B4" w14:textId="24AE6E9B" w:rsidR="00C913E7" w:rsidRDefault="003D6546" w:rsidP="00206F54">
      <w:pPr>
        <w:suppressAutoHyphens w:val="0"/>
        <w:spacing w:afterLines="50" w:after="120" w:line="240" w:lineRule="auto"/>
        <w:jc w:val="both"/>
      </w:pPr>
      <w:r>
        <w:t xml:space="preserve">LCA as an overall </w:t>
      </w:r>
      <w:r w:rsidR="008508BE">
        <w:t>assessment</w:t>
      </w:r>
      <w:r>
        <w:t xml:space="preserve"> from production to use and disposal is required to </w:t>
      </w:r>
      <w:r w:rsidR="00D666E8">
        <w:t xml:space="preserve">substantially </w:t>
      </w:r>
      <w:r>
        <w:t>reduce CO2 emission</w:t>
      </w:r>
      <w:r w:rsidR="00D666E8">
        <w:t>s</w:t>
      </w:r>
      <w:r>
        <w:t xml:space="preserve">. </w:t>
      </w:r>
      <w:r w:rsidR="00A4419D">
        <w:t>If there is a</w:t>
      </w:r>
      <w:r w:rsidR="00980170">
        <w:t xml:space="preserve"> </w:t>
      </w:r>
      <w:r w:rsidR="00950900">
        <w:t>d</w:t>
      </w:r>
      <w:r w:rsidR="00D666E8">
        <w:t>iffere</w:t>
      </w:r>
      <w:r w:rsidR="00E32F8E">
        <w:t>nce</w:t>
      </w:r>
      <w:r w:rsidR="00950900">
        <w:t xml:space="preserve"> of LCA method among</w:t>
      </w:r>
      <w:r w:rsidR="00D666E8">
        <w:t xml:space="preserve"> cou</w:t>
      </w:r>
      <w:r w:rsidR="00F83317">
        <w:t>n</w:t>
      </w:r>
      <w:r w:rsidR="00D666E8">
        <w:t>tr</w:t>
      </w:r>
      <w:r w:rsidR="00A4419D">
        <w:t>ies, it</w:t>
      </w:r>
      <w:r w:rsidR="00D666E8">
        <w:t xml:space="preserve"> can</w:t>
      </w:r>
      <w:r w:rsidR="00E32F8E">
        <w:t xml:space="preserve"> be </w:t>
      </w:r>
      <w:r w:rsidR="005A7F59">
        <w:t xml:space="preserve">a factor that </w:t>
      </w:r>
      <w:r w:rsidR="00E32F8E">
        <w:t>delay</w:t>
      </w:r>
      <w:r w:rsidR="005A7F59">
        <w:t xml:space="preserve">s </w:t>
      </w:r>
      <w:r w:rsidR="00D666E8">
        <w:t>development of low-carbon technologies.</w:t>
      </w:r>
      <w:r w:rsidR="00D30871">
        <w:t xml:space="preserve"> </w:t>
      </w:r>
      <w:r w:rsidR="00206F54">
        <w:t xml:space="preserve">Carbon neutrality is a </w:t>
      </w:r>
      <w:r w:rsidR="00206F54">
        <w:rPr>
          <w:rFonts w:hint="eastAsia"/>
        </w:rPr>
        <w:t>global</w:t>
      </w:r>
      <w:r w:rsidR="00206F54">
        <w:t xml:space="preserve"> issue, and it is desirable to utilize an internationally unified method when introducing LCA as a domestic regulation, incentive, etc. </w:t>
      </w:r>
      <w:r w:rsidR="00980170">
        <w:t>Japan think</w:t>
      </w:r>
      <w:r w:rsidR="0066284A">
        <w:t>s</w:t>
      </w:r>
      <w:r w:rsidR="00980170">
        <w:t xml:space="preserve"> </w:t>
      </w:r>
      <w:r w:rsidR="00D30871">
        <w:t>GRPE</w:t>
      </w:r>
      <w:r w:rsidR="00C913E7">
        <w:t>/WP.29</w:t>
      </w:r>
      <w:r w:rsidR="00D30871">
        <w:t xml:space="preserve"> is the most appropriate place </w:t>
      </w:r>
      <w:r w:rsidR="00C913E7">
        <w:t xml:space="preserve">of international </w:t>
      </w:r>
      <w:r w:rsidR="008E7ADF">
        <w:t>meeting</w:t>
      </w:r>
      <w:r w:rsidR="00C913E7">
        <w:t xml:space="preserve">s </w:t>
      </w:r>
      <w:r w:rsidR="00D30871">
        <w:t>for disc</w:t>
      </w:r>
      <w:r w:rsidR="008E7ADF">
        <w:t>ussing LCA on automobiles</w:t>
      </w:r>
      <w:r w:rsidR="00D30871">
        <w:t xml:space="preserve"> </w:t>
      </w:r>
      <w:r w:rsidR="00A4419D">
        <w:t>since</w:t>
      </w:r>
      <w:r w:rsidR="00D30871">
        <w:t xml:space="preserve"> </w:t>
      </w:r>
      <w:r w:rsidR="00980170">
        <w:t>GRPE</w:t>
      </w:r>
      <w:r w:rsidR="00D30871">
        <w:t xml:space="preserve"> is an expert </w:t>
      </w:r>
      <w:r w:rsidR="00980170">
        <w:t xml:space="preserve">group </w:t>
      </w:r>
      <w:r w:rsidR="00D30871">
        <w:t xml:space="preserve">meeting with </w:t>
      </w:r>
      <w:r w:rsidR="008508BE">
        <w:t>analysis</w:t>
      </w:r>
      <w:r w:rsidR="00980170">
        <w:t xml:space="preserve"> </w:t>
      </w:r>
      <w:r w:rsidR="00B5294E">
        <w:t xml:space="preserve">know-how of </w:t>
      </w:r>
      <w:r w:rsidR="00980170">
        <w:t>actual use of automobile</w:t>
      </w:r>
      <w:r w:rsidR="00B5294E">
        <w:t>.</w:t>
      </w:r>
      <w:r w:rsidR="00A4419D">
        <w:t xml:space="preserve"> </w:t>
      </w:r>
      <w:r w:rsidR="00206F54">
        <w:t xml:space="preserve">It is challenging to formulate the LCA method unified internationally so that it is needed to </w:t>
      </w:r>
      <w:r w:rsidR="005A7F59">
        <w:t>collect</w:t>
      </w:r>
      <w:r w:rsidR="00206F54">
        <w:t xml:space="preserve"> the knowledge and ex</w:t>
      </w:r>
      <w:r w:rsidR="008508BE">
        <w:t>p</w:t>
      </w:r>
      <w:r w:rsidR="00206F54">
        <w:t xml:space="preserve">erience of each country. </w:t>
      </w:r>
      <w:r w:rsidR="00A4419D">
        <w:t>Matters related to carbon neutrality including LCA tend to be political issues, but GRPE should develop LCA method from the perspective to ensure technical ne</w:t>
      </w:r>
      <w:r w:rsidR="008508BE">
        <w:t>u</w:t>
      </w:r>
      <w:r w:rsidR="00A4419D">
        <w:t>trality.</w:t>
      </w:r>
      <w:r w:rsidR="00C913E7">
        <w:t xml:space="preserve"> </w:t>
      </w:r>
      <w:r w:rsidR="007421D7">
        <w:t>Formulating a UN-R, a GTR or</w:t>
      </w:r>
      <w:r w:rsidR="00C913E7">
        <w:t xml:space="preserve"> </w:t>
      </w:r>
      <w:r w:rsidR="007421D7">
        <w:t>a guideline is considered an output</w:t>
      </w:r>
      <w:r w:rsidR="00C913E7">
        <w:t xml:space="preserve"> of this activity, but </w:t>
      </w:r>
      <w:r w:rsidR="007421D7">
        <w:t xml:space="preserve">it is </w:t>
      </w:r>
      <w:r w:rsidR="00C913E7">
        <w:t>still open.</w:t>
      </w:r>
    </w:p>
    <w:p w14:paraId="52D5E86E" w14:textId="7C360379" w:rsidR="000D2176" w:rsidRDefault="000D2176" w:rsidP="00206F54">
      <w:pPr>
        <w:suppressAutoHyphens w:val="0"/>
        <w:spacing w:afterLines="50" w:after="120" w:line="240" w:lineRule="auto"/>
        <w:jc w:val="both"/>
        <w:rPr>
          <w:rFonts w:eastAsia="Malgun Gothic"/>
          <w:lang w:eastAsia="ko-KR"/>
        </w:rPr>
      </w:pPr>
      <w:r w:rsidRPr="00964528">
        <w:rPr>
          <w:rFonts w:eastAsia="Malgun Gothic"/>
          <w:lang w:eastAsia="ko-KR"/>
        </w:rPr>
        <w:t xml:space="preserve">In addition, </w:t>
      </w:r>
      <w:r w:rsidRPr="00964528">
        <w:rPr>
          <w:rFonts w:eastAsia="Malgun Gothic" w:hint="eastAsia"/>
          <w:lang w:eastAsia="ko-KR"/>
        </w:rPr>
        <w:t xml:space="preserve">Korea is </w:t>
      </w:r>
      <w:r w:rsidRPr="00964528">
        <w:rPr>
          <w:rFonts w:eastAsia="Malgun Gothic"/>
          <w:lang w:eastAsia="ko-KR"/>
        </w:rPr>
        <w:t>considering applying LCA assessment to greenhouse gas and fuel consumption efficiency, and as part of this, the Korean government is conducting a foundation study to develop well-to-wheel logic trees by vehicle power sources.</w:t>
      </w:r>
    </w:p>
    <w:p w14:paraId="3F30412D" w14:textId="77777777" w:rsidR="000D2176" w:rsidRPr="000D2176" w:rsidRDefault="000D2176" w:rsidP="00206F54">
      <w:pPr>
        <w:suppressAutoHyphens w:val="0"/>
        <w:spacing w:afterLines="50" w:after="120" w:line="240" w:lineRule="auto"/>
        <w:jc w:val="both"/>
        <w:rPr>
          <w:rFonts w:eastAsia="Malgun Gothic"/>
          <w:lang w:eastAsia="ko-KR"/>
        </w:rPr>
      </w:pPr>
    </w:p>
    <w:p w14:paraId="0FB02F63" w14:textId="38898C65" w:rsidR="00674E68" w:rsidRDefault="005A7F59" w:rsidP="003D6546">
      <w:pPr>
        <w:suppressAutoHyphens w:val="0"/>
        <w:spacing w:afterLines="50" w:after="120" w:line="240" w:lineRule="auto"/>
      </w:pPr>
      <w:r>
        <w:rPr>
          <w:rFonts w:hint="eastAsia"/>
        </w:rPr>
        <w:t xml:space="preserve">Japan </w:t>
      </w:r>
      <w:r w:rsidR="000D2176">
        <w:t xml:space="preserve">and Korea </w:t>
      </w:r>
      <w:r>
        <w:rPr>
          <w:rFonts w:hint="eastAsia"/>
        </w:rPr>
        <w:t xml:space="preserve">would like to propose </w:t>
      </w:r>
      <w:r w:rsidR="00550A4F">
        <w:rPr>
          <w:rFonts w:hint="eastAsia"/>
        </w:rPr>
        <w:t>life cycle assessment to b</w:t>
      </w:r>
      <w:r w:rsidR="007421D7">
        <w:rPr>
          <w:rFonts w:hint="eastAsia"/>
        </w:rPr>
        <w:t>e included in the pr</w:t>
      </w:r>
      <w:r w:rsidR="008E7ADF">
        <w:rPr>
          <w:rFonts w:hint="eastAsia"/>
        </w:rPr>
        <w:t>iority list and expect an IWG</w:t>
      </w:r>
      <w:r w:rsidR="00516A06">
        <w:t xml:space="preserve"> under GRPE</w:t>
      </w:r>
      <w:r w:rsidR="008E7ADF">
        <w:rPr>
          <w:rFonts w:hint="eastAsia"/>
        </w:rPr>
        <w:t xml:space="preserve"> </w:t>
      </w:r>
      <w:r w:rsidR="008E7ADF">
        <w:t>to be established for</w:t>
      </w:r>
      <w:r w:rsidR="007421D7">
        <w:t xml:space="preserve"> start</w:t>
      </w:r>
      <w:r w:rsidR="008E7ADF">
        <w:t>ing</w:t>
      </w:r>
      <w:r w:rsidR="007421D7">
        <w:t xml:space="preserve"> discussion</w:t>
      </w:r>
      <w:r w:rsidR="008508BE">
        <w:t xml:space="preserve"> </w:t>
      </w:r>
      <w:r w:rsidR="008E7ADF">
        <w:t>on LCA assessment method.</w:t>
      </w:r>
    </w:p>
    <w:p w14:paraId="1342C48D" w14:textId="0048789C" w:rsidR="00894F7B" w:rsidRPr="007421D7" w:rsidRDefault="00894F7B">
      <w:pPr>
        <w:suppressAutoHyphens w:val="0"/>
        <w:spacing w:line="240" w:lineRule="auto"/>
        <w:sectPr w:rsidR="00894F7B" w:rsidRPr="007421D7" w:rsidSect="00BE162C">
          <w:headerReference w:type="even" r:id="rId11"/>
          <w:headerReference w:type="default" r:id="rId12"/>
          <w:footerReference w:type="even" r:id="rId13"/>
          <w:endnotePr>
            <w:numFmt w:val="decimal"/>
          </w:endnotePr>
          <w:pgSz w:w="11907" w:h="16840" w:code="9"/>
          <w:pgMar w:top="1418" w:right="1134" w:bottom="1134" w:left="1134" w:header="567" w:footer="567" w:gutter="0"/>
          <w:cols w:space="720"/>
          <w:docGrid w:linePitch="272"/>
        </w:sectPr>
      </w:pPr>
    </w:p>
    <w:p w14:paraId="68F1E637" w14:textId="0E26A774" w:rsidR="003D114E" w:rsidRDefault="002F0C23" w:rsidP="00B726F7">
      <w:pPr>
        <w:pStyle w:val="Heading1"/>
        <w:tabs>
          <w:tab w:val="left" w:pos="2490"/>
        </w:tabs>
      </w:pPr>
      <w:r>
        <w:lastRenderedPageBreak/>
        <w:t>Table 4</w:t>
      </w:r>
    </w:p>
    <w:p w14:paraId="68F1E638" w14:textId="77777777" w:rsidR="003D114E" w:rsidRDefault="002F0C23">
      <w:pPr>
        <w:pStyle w:val="SingleTxtG"/>
        <w:rPr>
          <w:b/>
          <w:sz w:val="24"/>
        </w:rPr>
      </w:pPr>
      <w:r>
        <w:rPr>
          <w:b/>
        </w:rPr>
        <w:t>Subjects under consideration by the Working Party on Pollution and Energy (GRPE)</w:t>
      </w:r>
    </w:p>
    <w:tbl>
      <w:tblPr>
        <w:tblpPr w:leftFromText="142" w:rightFromText="142" w:vertAnchor="text" w:tblpX="-10" w:tblpY="1"/>
        <w:tblOverlap w:val="never"/>
        <w:tblW w:w="14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115"/>
        <w:gridCol w:w="3130"/>
        <w:gridCol w:w="1985"/>
        <w:gridCol w:w="1701"/>
        <w:gridCol w:w="1984"/>
        <w:gridCol w:w="1233"/>
        <w:gridCol w:w="2028"/>
      </w:tblGrid>
      <w:tr w:rsidR="003D114E" w14:paraId="68F1E63A" w14:textId="77777777" w:rsidTr="00B726F7">
        <w:tc>
          <w:tcPr>
            <w:tcW w:w="14176" w:type="dxa"/>
            <w:gridSpan w:val="7"/>
            <w:tcBorders>
              <w:bottom w:val="single" w:sz="2" w:space="0" w:color="000000"/>
            </w:tcBorders>
            <w:tcMar>
              <w:top w:w="0" w:type="dxa"/>
              <w:left w:w="108" w:type="dxa"/>
              <w:bottom w:w="0" w:type="dxa"/>
              <w:right w:w="108" w:type="dxa"/>
            </w:tcMar>
          </w:tcPr>
          <w:p w14:paraId="68F1E639" w14:textId="77777777" w:rsidR="003D114E" w:rsidRDefault="002F0C23" w:rsidP="00B726F7">
            <w:pPr>
              <w:spacing w:before="80" w:after="80" w:line="200" w:lineRule="exact"/>
              <w:jc w:val="center"/>
              <w:rPr>
                <w:rFonts w:asciiTheme="majorBidi" w:eastAsia="DengXian" w:hAnsiTheme="majorBidi"/>
                <w:i/>
                <w:sz w:val="16"/>
              </w:rPr>
            </w:pPr>
            <w:r>
              <w:rPr>
                <w:rFonts w:asciiTheme="majorBidi" w:eastAsia="DengXian" w:hAnsiTheme="majorBidi"/>
                <w:i/>
                <w:sz w:val="16"/>
              </w:rPr>
              <w:t>GRPE</w:t>
            </w:r>
          </w:p>
        </w:tc>
      </w:tr>
      <w:tr w:rsidR="003D114E" w14:paraId="68F1E642" w14:textId="77777777" w:rsidTr="00B726F7">
        <w:tc>
          <w:tcPr>
            <w:tcW w:w="2115"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68F1E63B" w14:textId="77777777" w:rsidR="003D114E" w:rsidRDefault="002F0C23" w:rsidP="00B726F7">
            <w:pPr>
              <w:spacing w:before="80" w:after="80" w:line="200" w:lineRule="exact"/>
              <w:rPr>
                <w:rFonts w:asciiTheme="majorBidi" w:eastAsia="DengXian" w:hAnsiTheme="majorBidi"/>
                <w:i/>
                <w:sz w:val="16"/>
              </w:rPr>
            </w:pPr>
            <w:bookmarkStart w:id="0" w:name="_Hlk35880441"/>
            <w:r>
              <w:rPr>
                <w:rFonts w:asciiTheme="majorBidi" w:eastAsia="DengXian" w:hAnsiTheme="majorBidi"/>
                <w:i/>
                <w:sz w:val="16"/>
              </w:rPr>
              <w:t>Priority</w:t>
            </w:r>
            <w:bookmarkEnd w:id="0"/>
          </w:p>
        </w:tc>
        <w:tc>
          <w:tcPr>
            <w:tcW w:w="3130"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68F1E63C" w14:textId="77777777" w:rsidR="003D114E" w:rsidRDefault="002F0C23" w:rsidP="00B726F7">
            <w:pPr>
              <w:spacing w:before="80" w:after="80" w:line="200" w:lineRule="exact"/>
              <w:rPr>
                <w:rFonts w:asciiTheme="majorBidi" w:eastAsia="DengXian" w:hAnsiTheme="majorBidi"/>
                <w:i/>
                <w:sz w:val="16"/>
              </w:rPr>
            </w:pPr>
            <w:r>
              <w:rPr>
                <w:rFonts w:asciiTheme="majorBidi" w:eastAsia="DengXian" w:hAnsiTheme="majorBidi"/>
                <w:i/>
                <w:sz w:val="16"/>
              </w:rPr>
              <w:t xml:space="preserve">Justification/Background information </w:t>
            </w:r>
          </w:p>
        </w:tc>
        <w:tc>
          <w:tcPr>
            <w:tcW w:w="1985"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68F1E63D" w14:textId="77777777" w:rsidR="003D114E" w:rsidRDefault="002F0C23" w:rsidP="00B726F7">
            <w:pPr>
              <w:spacing w:before="80" w:after="80" w:line="200" w:lineRule="exact"/>
              <w:rPr>
                <w:rFonts w:asciiTheme="majorBidi" w:eastAsia="DengXian" w:hAnsiTheme="majorBidi"/>
                <w:i/>
                <w:sz w:val="16"/>
              </w:rPr>
            </w:pPr>
            <w:r>
              <w:rPr>
                <w:rFonts w:asciiTheme="majorBidi" w:eastAsia="DengXian" w:hAnsiTheme="majorBidi"/>
                <w:i/>
                <w:sz w:val="16"/>
              </w:rPr>
              <w:t>References</w:t>
            </w:r>
          </w:p>
        </w:tc>
        <w:tc>
          <w:tcPr>
            <w:tcW w:w="1701"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68F1E63E" w14:textId="77777777" w:rsidR="003D114E" w:rsidRDefault="002F0C23" w:rsidP="00B726F7">
            <w:pPr>
              <w:spacing w:before="80" w:after="80" w:line="200" w:lineRule="exact"/>
              <w:rPr>
                <w:rFonts w:asciiTheme="majorBidi" w:eastAsia="DengXian" w:hAnsiTheme="majorBidi"/>
                <w:i/>
                <w:sz w:val="16"/>
              </w:rPr>
            </w:pPr>
            <w:r>
              <w:rPr>
                <w:rFonts w:asciiTheme="majorBidi" w:eastAsia="DengXian" w:hAnsiTheme="majorBidi"/>
                <w:i/>
                <w:sz w:val="16"/>
              </w:rPr>
              <w:t>Allocations</w:t>
            </w:r>
            <w:r>
              <w:rPr>
                <w:rFonts w:asciiTheme="majorBidi" w:eastAsia="DengXian" w:hAnsiTheme="majorBidi"/>
                <w:i/>
                <w:sz w:val="16"/>
              </w:rPr>
              <w:br/>
              <w:t>/IWGs/TFs</w:t>
            </w:r>
          </w:p>
        </w:tc>
        <w:tc>
          <w:tcPr>
            <w:tcW w:w="1984"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68F1E63F" w14:textId="77777777" w:rsidR="003D114E" w:rsidRDefault="002F0C23" w:rsidP="00B726F7">
            <w:pPr>
              <w:spacing w:before="80" w:after="80" w:line="200" w:lineRule="exact"/>
              <w:rPr>
                <w:rFonts w:asciiTheme="majorBidi" w:eastAsia="DengXian" w:hAnsiTheme="majorBidi"/>
                <w:i/>
                <w:sz w:val="16"/>
              </w:rPr>
            </w:pPr>
            <w:r>
              <w:rPr>
                <w:rFonts w:asciiTheme="majorBidi" w:eastAsia="DengXian" w:hAnsiTheme="majorBidi"/>
                <w:i/>
                <w:sz w:val="16"/>
              </w:rPr>
              <w:t>Timeline</w:t>
            </w:r>
          </w:p>
        </w:tc>
        <w:tc>
          <w:tcPr>
            <w:tcW w:w="1233"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68F1E640" w14:textId="77777777" w:rsidR="003D114E" w:rsidRDefault="002F0C23" w:rsidP="00B726F7">
            <w:pPr>
              <w:spacing w:before="80" w:after="80" w:line="200" w:lineRule="exact"/>
              <w:rPr>
                <w:rFonts w:asciiTheme="majorBidi" w:eastAsia="DengXian" w:hAnsiTheme="majorBidi"/>
                <w:i/>
                <w:sz w:val="16"/>
              </w:rPr>
            </w:pPr>
            <w:r>
              <w:rPr>
                <w:rFonts w:asciiTheme="majorBidi" w:eastAsia="DengXian" w:hAnsiTheme="majorBidi"/>
                <w:i/>
                <w:sz w:val="16"/>
              </w:rPr>
              <w:t>Chair</w:t>
            </w:r>
            <w:r>
              <w:rPr>
                <w:rFonts w:asciiTheme="majorBidi" w:eastAsia="DengXian" w:hAnsiTheme="majorBidi"/>
                <w:i/>
                <w:sz w:val="16"/>
              </w:rPr>
              <w:br/>
              <w:t>/sponsor(s)</w:t>
            </w:r>
          </w:p>
        </w:tc>
        <w:tc>
          <w:tcPr>
            <w:tcW w:w="2028"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68F1E641" w14:textId="77777777" w:rsidR="003D114E" w:rsidRDefault="002F0C23" w:rsidP="00B726F7">
            <w:pPr>
              <w:spacing w:before="80" w:after="80" w:line="200" w:lineRule="exact"/>
              <w:rPr>
                <w:rFonts w:asciiTheme="majorBidi" w:eastAsia="DengXian" w:hAnsiTheme="majorBidi"/>
                <w:i/>
                <w:sz w:val="16"/>
              </w:rPr>
            </w:pPr>
            <w:r>
              <w:rPr>
                <w:rFonts w:asciiTheme="majorBidi" w:eastAsia="DengXian" w:hAnsiTheme="majorBidi"/>
                <w:i/>
                <w:sz w:val="16"/>
              </w:rPr>
              <w:t>Comments</w:t>
            </w:r>
          </w:p>
        </w:tc>
      </w:tr>
      <w:tr w:rsidR="009C7E0E" w14:paraId="68F1E64C" w14:textId="77777777" w:rsidTr="007421D7">
        <w:trPr>
          <w:trHeight w:val="429"/>
        </w:trPr>
        <w:tc>
          <w:tcPr>
            <w:tcW w:w="2115" w:type="dxa"/>
            <w:vMerge w:val="restart"/>
            <w:tcBorders>
              <w:top w:val="single" w:sz="12" w:space="0" w:color="000000"/>
              <w:left w:val="single" w:sz="4" w:space="0" w:color="000000"/>
              <w:right w:val="single" w:sz="4" w:space="0" w:color="000000"/>
            </w:tcBorders>
            <w:tcMar>
              <w:top w:w="0" w:type="dxa"/>
              <w:left w:w="108" w:type="dxa"/>
              <w:bottom w:w="0" w:type="dxa"/>
              <w:right w:w="108" w:type="dxa"/>
            </w:tcMar>
          </w:tcPr>
          <w:p w14:paraId="68F1E643" w14:textId="77777777" w:rsidR="009C7E0E" w:rsidRDefault="009C7E0E" w:rsidP="00B726F7">
            <w:pPr>
              <w:spacing w:before="40" w:after="120" w:line="220" w:lineRule="exact"/>
              <w:rPr>
                <w:rFonts w:asciiTheme="majorBidi" w:eastAsia="DengXian" w:hAnsiTheme="majorBidi"/>
              </w:rPr>
            </w:pPr>
            <w:r>
              <w:rPr>
                <w:rFonts w:asciiTheme="majorBidi" w:eastAsia="DengXian" w:hAnsiTheme="majorBidi"/>
              </w:rPr>
              <w:t>Improvement of exhaust emissions requirements to ensure real drive performance on the road</w:t>
            </w:r>
          </w:p>
        </w:tc>
        <w:tc>
          <w:tcPr>
            <w:tcW w:w="3130" w:type="dxa"/>
            <w:vMerge w:val="restart"/>
            <w:tcBorders>
              <w:top w:val="single" w:sz="12" w:space="0" w:color="000000"/>
              <w:left w:val="single" w:sz="4" w:space="0" w:color="000000"/>
              <w:right w:val="single" w:sz="4" w:space="0" w:color="000000"/>
            </w:tcBorders>
            <w:tcMar>
              <w:top w:w="0" w:type="dxa"/>
              <w:left w:w="108" w:type="dxa"/>
              <w:bottom w:w="0" w:type="dxa"/>
              <w:right w:w="108" w:type="dxa"/>
            </w:tcMar>
          </w:tcPr>
          <w:p w14:paraId="68F1E644" w14:textId="77777777" w:rsidR="009C7E0E" w:rsidRDefault="009C7E0E" w:rsidP="00B726F7">
            <w:pPr>
              <w:spacing w:before="40" w:after="120" w:line="220" w:lineRule="exact"/>
              <w:rPr>
                <w:rFonts w:asciiTheme="majorBidi" w:eastAsia="DengXian" w:hAnsiTheme="majorBidi"/>
              </w:rPr>
            </w:pPr>
            <w:r>
              <w:rPr>
                <w:rFonts w:asciiTheme="majorBidi" w:eastAsia="DengXian" w:hAnsiTheme="majorBidi"/>
              </w:rPr>
              <w:t>Revise technical requirements to allow technological progress, ensure technological neutrality by introducing consistent and long-lasting performance-based emissions measures, at type approval, in use and potentially over the lifetime of the vehicle.  </w:t>
            </w:r>
          </w:p>
        </w:tc>
        <w:tc>
          <w:tcPr>
            <w:tcW w:w="1985"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45" w14:textId="77777777" w:rsidR="009C7E0E" w:rsidRDefault="009C7E0E" w:rsidP="00B726F7">
            <w:pPr>
              <w:spacing w:before="40" w:after="120" w:line="220" w:lineRule="exact"/>
              <w:rPr>
                <w:rFonts w:asciiTheme="majorBidi" w:eastAsia="DengXian" w:hAnsiTheme="majorBidi"/>
              </w:rPr>
            </w:pPr>
            <w:r>
              <w:rPr>
                <w:rFonts w:asciiTheme="majorBidi" w:eastAsia="DengXian" w:hAnsiTheme="majorBidi"/>
              </w:rPr>
              <w:t>UNR on RDE</w:t>
            </w:r>
          </w:p>
          <w:p w14:paraId="68F1E646" w14:textId="77777777" w:rsidR="009C7E0E" w:rsidRDefault="009C7E0E" w:rsidP="00B726F7">
            <w:pPr>
              <w:spacing w:before="40" w:after="120" w:line="220" w:lineRule="exact"/>
              <w:rPr>
                <w:rFonts w:asciiTheme="majorBidi" w:eastAsia="DengXian" w:hAnsiTheme="majorBidi"/>
              </w:rPr>
            </w:pPr>
          </w:p>
        </w:tc>
        <w:tc>
          <w:tcPr>
            <w:tcW w:w="1701"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47" w14:textId="77777777" w:rsidR="009C7E0E" w:rsidRDefault="009C7E0E" w:rsidP="00B726F7">
            <w:pPr>
              <w:spacing w:before="40" w:after="120" w:line="220" w:lineRule="exact"/>
              <w:rPr>
                <w:rFonts w:asciiTheme="majorBidi" w:eastAsia="DengXian" w:hAnsiTheme="majorBidi"/>
              </w:rPr>
            </w:pPr>
            <w:r>
              <w:rPr>
                <w:rFonts w:asciiTheme="majorBidi" w:eastAsia="DengXian" w:hAnsiTheme="majorBidi"/>
              </w:rPr>
              <w:t>IWG on RDE</w:t>
            </w:r>
          </w:p>
          <w:p w14:paraId="68F1E648" w14:textId="77777777" w:rsidR="009C7E0E" w:rsidRDefault="009C7E0E" w:rsidP="00B726F7">
            <w:pPr>
              <w:spacing w:before="40" w:after="120" w:line="220" w:lineRule="exact"/>
              <w:rPr>
                <w:rFonts w:asciiTheme="majorBidi" w:eastAsia="DengXian" w:hAnsiTheme="majorBidi"/>
              </w:rPr>
            </w:pPr>
          </w:p>
        </w:tc>
        <w:tc>
          <w:tcPr>
            <w:tcW w:w="1984"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49" w14:textId="77777777" w:rsidR="009C7E0E" w:rsidRDefault="009C7E0E" w:rsidP="00B726F7">
            <w:pPr>
              <w:spacing w:before="40" w:after="120" w:line="220" w:lineRule="exact"/>
              <w:rPr>
                <w:rFonts w:asciiTheme="majorBidi" w:eastAsia="DengXian" w:hAnsiTheme="majorBidi"/>
              </w:rPr>
            </w:pPr>
            <w:r>
              <w:rPr>
                <w:rFonts w:asciiTheme="majorBidi" w:eastAsia="DengXian" w:hAnsiTheme="majorBidi"/>
              </w:rPr>
              <w:t>June 2020</w:t>
            </w:r>
          </w:p>
        </w:tc>
        <w:tc>
          <w:tcPr>
            <w:tcW w:w="1233"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4A" w14:textId="77777777" w:rsidR="009C7E0E" w:rsidRDefault="009C7E0E" w:rsidP="00B726F7">
            <w:pPr>
              <w:spacing w:before="40" w:after="120" w:line="220" w:lineRule="exact"/>
              <w:rPr>
                <w:rFonts w:asciiTheme="majorBidi" w:eastAsia="DengXian" w:hAnsiTheme="majorBidi"/>
              </w:rPr>
            </w:pPr>
            <w:r>
              <w:rPr>
                <w:rFonts w:asciiTheme="majorBidi" w:eastAsia="DengXian" w:hAnsiTheme="majorBidi"/>
              </w:rPr>
              <w:t>EC-JP-KR</w:t>
            </w:r>
          </w:p>
        </w:tc>
        <w:tc>
          <w:tcPr>
            <w:tcW w:w="2028"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4B" w14:textId="3D05E26E" w:rsidR="009C7E0E" w:rsidRDefault="009C7E0E" w:rsidP="00B726F7">
            <w:pPr>
              <w:spacing w:before="40" w:after="120" w:line="220" w:lineRule="exact"/>
              <w:rPr>
                <w:rFonts w:asciiTheme="majorBidi" w:eastAsia="DengXian" w:hAnsiTheme="majorBidi"/>
              </w:rPr>
            </w:pPr>
            <w:r>
              <w:rPr>
                <w:rFonts w:asciiTheme="majorBidi" w:eastAsia="DengXian" w:hAnsiTheme="majorBidi"/>
              </w:rPr>
              <w:t>Adopted in GRPE June 2020</w:t>
            </w:r>
          </w:p>
        </w:tc>
      </w:tr>
      <w:tr w:rsidR="009C7E0E" w14:paraId="68F1E655" w14:textId="77777777" w:rsidTr="00B726F7">
        <w:tc>
          <w:tcPr>
            <w:tcW w:w="2115" w:type="dxa"/>
            <w:vMerge/>
            <w:tcBorders>
              <w:left w:val="single" w:sz="4" w:space="0" w:color="000000"/>
              <w:right w:val="single" w:sz="4" w:space="0" w:color="000000"/>
            </w:tcBorders>
            <w:tcMar>
              <w:top w:w="0" w:type="dxa"/>
              <w:left w:w="108" w:type="dxa"/>
              <w:bottom w:w="0" w:type="dxa"/>
              <w:right w:w="108" w:type="dxa"/>
            </w:tcMar>
          </w:tcPr>
          <w:p w14:paraId="68F1E64D" w14:textId="77777777" w:rsidR="009C7E0E" w:rsidRDefault="009C7E0E" w:rsidP="00B726F7">
            <w:pPr>
              <w:spacing w:before="40" w:after="120" w:line="220" w:lineRule="exact"/>
              <w:rPr>
                <w:rFonts w:asciiTheme="majorBidi" w:eastAsia="DengXian" w:hAnsiTheme="majorBidi"/>
              </w:rPr>
            </w:pPr>
          </w:p>
        </w:tc>
        <w:tc>
          <w:tcPr>
            <w:tcW w:w="3130" w:type="dxa"/>
            <w:vMerge/>
            <w:tcBorders>
              <w:left w:val="single" w:sz="4" w:space="0" w:color="000000"/>
              <w:right w:val="single" w:sz="4" w:space="0" w:color="000000"/>
            </w:tcBorders>
            <w:tcMar>
              <w:top w:w="0" w:type="dxa"/>
              <w:left w:w="108" w:type="dxa"/>
              <w:bottom w:w="0" w:type="dxa"/>
              <w:right w:w="108" w:type="dxa"/>
            </w:tcMar>
          </w:tcPr>
          <w:p w14:paraId="68F1E64E" w14:textId="77777777" w:rsidR="009C7E0E" w:rsidRDefault="009C7E0E" w:rsidP="00B726F7">
            <w:pPr>
              <w:spacing w:before="40" w:after="120" w:line="220" w:lineRule="exact"/>
              <w:rPr>
                <w:rFonts w:asciiTheme="majorBidi" w:eastAsia="DengXian" w:hAnsiTheme="majorBidi"/>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4F" w14:textId="77777777" w:rsidR="009C7E0E" w:rsidRDefault="009C7E0E" w:rsidP="00B726F7">
            <w:pPr>
              <w:spacing w:before="40" w:after="120" w:line="220" w:lineRule="exact"/>
              <w:rPr>
                <w:rFonts w:asciiTheme="majorBidi" w:eastAsia="DengXian" w:hAnsiTheme="majorBidi"/>
              </w:rPr>
            </w:pPr>
            <w:r>
              <w:rPr>
                <w:rFonts w:asciiTheme="majorBidi" w:eastAsia="DengXian" w:hAnsiTheme="majorBidi"/>
              </w:rPr>
              <w:t>UN GTR on RDE</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50" w14:textId="77777777" w:rsidR="009C7E0E" w:rsidRDefault="009C7E0E" w:rsidP="00B726F7">
            <w:pPr>
              <w:spacing w:before="40" w:after="120" w:line="220" w:lineRule="exact"/>
              <w:rPr>
                <w:rFonts w:asciiTheme="majorBidi" w:eastAsia="DengXian" w:hAnsiTheme="majorBidi"/>
              </w:rPr>
            </w:pPr>
            <w:r>
              <w:rPr>
                <w:rFonts w:asciiTheme="majorBidi" w:eastAsia="DengXian" w:hAnsiTheme="majorBidi"/>
              </w:rPr>
              <w:t>IWG on RDE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52" w14:textId="7F951062" w:rsidR="009C7E0E" w:rsidRDefault="009C7E0E" w:rsidP="00B726F7">
            <w:pPr>
              <w:spacing w:before="40" w:after="120" w:line="220" w:lineRule="exact"/>
              <w:rPr>
                <w:rFonts w:asciiTheme="majorBidi" w:eastAsia="DengXian" w:hAnsiTheme="majorBidi"/>
              </w:rPr>
            </w:pPr>
            <w:r>
              <w:rPr>
                <w:rFonts w:asciiTheme="majorBidi" w:eastAsia="DengXian" w:hAnsiTheme="majorBidi"/>
              </w:rPr>
              <w:t>June 2023 (Phase 2)</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53" w14:textId="77777777" w:rsidR="009C7E0E" w:rsidRDefault="009C7E0E" w:rsidP="00B726F7">
            <w:pPr>
              <w:spacing w:before="40" w:after="120" w:line="220" w:lineRule="exact"/>
              <w:rPr>
                <w:rFonts w:asciiTheme="majorBidi" w:eastAsia="DengXian" w:hAnsiTheme="majorBidi"/>
              </w:rPr>
            </w:pPr>
            <w:r>
              <w:rPr>
                <w:rFonts w:asciiTheme="majorBidi" w:eastAsia="DengXian" w:hAnsiTheme="majorBidi"/>
              </w:rPr>
              <w:t>EC-JP-KR</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54" w14:textId="77777777" w:rsidR="009C7E0E" w:rsidRDefault="009C7E0E" w:rsidP="00B726F7">
            <w:pPr>
              <w:spacing w:before="40" w:after="120" w:line="220" w:lineRule="exact"/>
              <w:rPr>
                <w:rFonts w:asciiTheme="majorBidi" w:eastAsia="DengXian" w:hAnsiTheme="majorBidi"/>
              </w:rPr>
            </w:pPr>
            <w:r>
              <w:rPr>
                <w:rFonts w:asciiTheme="majorBidi" w:eastAsia="DengXian" w:hAnsiTheme="majorBidi"/>
              </w:rPr>
              <w:t>Directly to Phase 2</w:t>
            </w:r>
          </w:p>
        </w:tc>
      </w:tr>
      <w:tr w:rsidR="009C7E0E" w14:paraId="68F1E65D" w14:textId="77777777" w:rsidTr="00B726F7">
        <w:tc>
          <w:tcPr>
            <w:tcW w:w="2115" w:type="dxa"/>
            <w:vMerge/>
            <w:tcBorders>
              <w:left w:val="single" w:sz="4" w:space="0" w:color="000000"/>
              <w:right w:val="single" w:sz="4" w:space="0" w:color="000000"/>
            </w:tcBorders>
            <w:tcMar>
              <w:top w:w="0" w:type="dxa"/>
              <w:left w:w="108" w:type="dxa"/>
              <w:bottom w:w="0" w:type="dxa"/>
              <w:right w:w="108" w:type="dxa"/>
            </w:tcMar>
          </w:tcPr>
          <w:p w14:paraId="68F1E656" w14:textId="77777777" w:rsidR="009C7E0E" w:rsidRDefault="009C7E0E" w:rsidP="00B726F7">
            <w:pPr>
              <w:spacing w:before="40" w:after="120" w:line="220" w:lineRule="exact"/>
              <w:rPr>
                <w:rFonts w:asciiTheme="majorBidi" w:eastAsia="DengXian" w:hAnsiTheme="majorBidi"/>
              </w:rPr>
            </w:pPr>
          </w:p>
        </w:tc>
        <w:tc>
          <w:tcPr>
            <w:tcW w:w="3130" w:type="dxa"/>
            <w:vMerge/>
            <w:tcBorders>
              <w:left w:val="single" w:sz="4" w:space="0" w:color="000000"/>
              <w:right w:val="single" w:sz="4" w:space="0" w:color="000000"/>
            </w:tcBorders>
            <w:tcMar>
              <w:top w:w="0" w:type="dxa"/>
              <w:left w:w="108" w:type="dxa"/>
              <w:bottom w:w="0" w:type="dxa"/>
              <w:right w:w="108" w:type="dxa"/>
            </w:tcMar>
          </w:tcPr>
          <w:p w14:paraId="68F1E657" w14:textId="77777777" w:rsidR="009C7E0E" w:rsidRDefault="009C7E0E" w:rsidP="00B726F7">
            <w:pPr>
              <w:spacing w:before="40" w:after="120" w:line="220" w:lineRule="exact"/>
              <w:rPr>
                <w:rFonts w:asciiTheme="majorBidi" w:eastAsia="DengXian" w:hAnsiTheme="majorBidi"/>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58" w14:textId="77777777" w:rsidR="009C7E0E" w:rsidRDefault="009C7E0E" w:rsidP="00B726F7">
            <w:pPr>
              <w:spacing w:before="40" w:after="120" w:line="220" w:lineRule="exact"/>
              <w:rPr>
                <w:rFonts w:asciiTheme="majorBidi" w:eastAsia="DengXian" w:hAnsiTheme="majorBidi"/>
              </w:rPr>
            </w:pPr>
            <w:r>
              <w:rPr>
                <w:rFonts w:asciiTheme="majorBidi" w:eastAsia="DengXian" w:hAnsiTheme="majorBidi"/>
              </w:rPr>
              <w:t>08 Series to UN Regulation No. 83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59" w14:textId="77777777" w:rsidR="009C7E0E" w:rsidRDefault="009C7E0E" w:rsidP="00B726F7">
            <w:pPr>
              <w:spacing w:before="40" w:after="120" w:line="220" w:lineRule="exact"/>
              <w:rPr>
                <w:rFonts w:asciiTheme="majorBidi" w:eastAsia="DengXian" w:hAnsiTheme="majorBidi"/>
              </w:rPr>
            </w:pPr>
            <w:r>
              <w:rPr>
                <w:rFonts w:asciiTheme="majorBidi" w:eastAsia="DengXian" w:hAnsiTheme="majorBidi"/>
              </w:rPr>
              <w:t>GRPE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5A" w14:textId="33EAD9A9" w:rsidR="009C7E0E" w:rsidRDefault="009C7E0E" w:rsidP="00B726F7">
            <w:pPr>
              <w:spacing w:before="40" w:after="120" w:line="220" w:lineRule="exact"/>
              <w:rPr>
                <w:rFonts w:asciiTheme="majorBidi" w:eastAsia="DengXian" w:hAnsiTheme="majorBidi"/>
              </w:rPr>
            </w:pPr>
            <w:r>
              <w:rPr>
                <w:rFonts w:asciiTheme="majorBidi" w:eastAsia="DengXian" w:hAnsiTheme="majorBidi"/>
              </w:rPr>
              <w:t>June 2022</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5B" w14:textId="77777777" w:rsidR="009C7E0E" w:rsidRDefault="009C7E0E" w:rsidP="00B726F7">
            <w:pPr>
              <w:spacing w:before="40" w:after="120" w:line="220" w:lineRule="exact"/>
              <w:rPr>
                <w:rFonts w:asciiTheme="majorBidi" w:eastAsia="DengXian" w:hAnsiTheme="majorBidi"/>
              </w:rPr>
            </w:pPr>
            <w:r>
              <w:rPr>
                <w:rFonts w:asciiTheme="majorBidi" w:eastAsia="DengXian" w:hAnsiTheme="majorBidi"/>
              </w:rPr>
              <w:t>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5C" w14:textId="77777777" w:rsidR="009C7E0E" w:rsidRDefault="009C7E0E" w:rsidP="00B726F7">
            <w:pPr>
              <w:spacing w:before="40" w:after="120" w:line="220" w:lineRule="exact"/>
              <w:rPr>
                <w:rFonts w:asciiTheme="majorBidi" w:eastAsia="DengXian" w:hAnsiTheme="majorBidi"/>
              </w:rPr>
            </w:pPr>
            <w:r>
              <w:rPr>
                <w:rFonts w:asciiTheme="majorBidi" w:eastAsia="DengXian" w:hAnsiTheme="majorBidi"/>
              </w:rPr>
              <w:t xml:space="preserve">Delayed </w:t>
            </w:r>
          </w:p>
        </w:tc>
      </w:tr>
      <w:tr w:rsidR="009C7E0E" w14:paraId="68F1E665" w14:textId="77777777" w:rsidTr="00B726F7">
        <w:tc>
          <w:tcPr>
            <w:tcW w:w="2115" w:type="dxa"/>
            <w:vMerge/>
            <w:tcBorders>
              <w:left w:val="single" w:sz="4" w:space="0" w:color="000000"/>
              <w:right w:val="single" w:sz="4" w:space="0" w:color="000000"/>
            </w:tcBorders>
            <w:tcMar>
              <w:top w:w="0" w:type="dxa"/>
              <w:left w:w="108" w:type="dxa"/>
              <w:bottom w:w="0" w:type="dxa"/>
              <w:right w:w="108" w:type="dxa"/>
            </w:tcMar>
          </w:tcPr>
          <w:p w14:paraId="68F1E65E" w14:textId="77777777" w:rsidR="009C7E0E" w:rsidRDefault="009C7E0E" w:rsidP="00B726F7">
            <w:pPr>
              <w:spacing w:before="40" w:after="120" w:line="220" w:lineRule="exact"/>
              <w:rPr>
                <w:rFonts w:asciiTheme="majorBidi" w:eastAsia="DengXian" w:hAnsiTheme="majorBidi"/>
              </w:rPr>
            </w:pPr>
          </w:p>
        </w:tc>
        <w:tc>
          <w:tcPr>
            <w:tcW w:w="3130" w:type="dxa"/>
            <w:vMerge/>
            <w:tcBorders>
              <w:left w:val="single" w:sz="4" w:space="0" w:color="000000"/>
              <w:right w:val="single" w:sz="4" w:space="0" w:color="000000"/>
            </w:tcBorders>
            <w:tcMar>
              <w:top w:w="0" w:type="dxa"/>
              <w:left w:w="108" w:type="dxa"/>
              <w:bottom w:w="0" w:type="dxa"/>
              <w:right w:w="108" w:type="dxa"/>
            </w:tcMar>
          </w:tcPr>
          <w:p w14:paraId="68F1E65F" w14:textId="77777777" w:rsidR="009C7E0E" w:rsidRDefault="009C7E0E" w:rsidP="00B726F7">
            <w:pPr>
              <w:spacing w:before="40" w:after="120" w:line="220" w:lineRule="exact"/>
              <w:rPr>
                <w:rFonts w:asciiTheme="majorBidi" w:eastAsia="DengXian" w:hAnsiTheme="majorBidi"/>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60" w14:textId="04CCEB73" w:rsidR="009C7E0E" w:rsidRDefault="009C7E0E" w:rsidP="00B726F7">
            <w:pPr>
              <w:spacing w:before="40" w:after="120" w:line="220" w:lineRule="exact"/>
              <w:rPr>
                <w:rFonts w:asciiTheme="majorBidi" w:eastAsia="DengXian" w:hAnsiTheme="majorBidi"/>
              </w:rPr>
            </w:pPr>
            <w:r>
              <w:rPr>
                <w:rFonts w:asciiTheme="majorBidi" w:eastAsia="DengXian" w:hAnsiTheme="majorBidi"/>
              </w:rPr>
              <w:t>Amendment to UN Regulation No. 49 to reflect latest regulatory evolution</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61" w14:textId="77777777" w:rsidR="009C7E0E" w:rsidRDefault="009C7E0E" w:rsidP="00B726F7">
            <w:pPr>
              <w:spacing w:before="40" w:after="120" w:line="220" w:lineRule="exact"/>
              <w:rPr>
                <w:rFonts w:asciiTheme="majorBidi" w:eastAsia="DengXian" w:hAnsiTheme="majorBidi"/>
              </w:rPr>
            </w:pPr>
            <w:r>
              <w:rPr>
                <w:rFonts w:asciiTheme="majorBidi" w:eastAsia="DengXian" w:hAnsiTheme="majorBidi"/>
              </w:rPr>
              <w:t>GRPE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62" w14:textId="41AA2BFE" w:rsidR="009C7E0E" w:rsidRDefault="009C7E0E" w:rsidP="00B726F7">
            <w:pPr>
              <w:spacing w:before="40" w:after="120" w:line="220" w:lineRule="exact"/>
              <w:rPr>
                <w:rFonts w:asciiTheme="majorBidi" w:eastAsia="DengXian" w:hAnsiTheme="majorBidi"/>
              </w:rPr>
            </w:pPr>
            <w:r>
              <w:rPr>
                <w:rFonts w:asciiTheme="majorBidi" w:eastAsia="DengXian" w:hAnsiTheme="majorBidi"/>
              </w:rPr>
              <w:t>January 2021</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63" w14:textId="77777777" w:rsidR="009C7E0E" w:rsidRDefault="009C7E0E" w:rsidP="00B726F7">
            <w:pPr>
              <w:spacing w:before="40" w:after="120" w:line="220" w:lineRule="exact"/>
              <w:rPr>
                <w:rFonts w:asciiTheme="majorBidi" w:eastAsia="DengXian" w:hAnsiTheme="majorBidi"/>
              </w:rPr>
            </w:pPr>
            <w:r>
              <w:rPr>
                <w:rFonts w:asciiTheme="majorBidi" w:eastAsia="DengXian" w:hAnsiTheme="majorBidi"/>
              </w:rPr>
              <w:t>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64" w14:textId="77777777" w:rsidR="009C7E0E" w:rsidRDefault="009C7E0E" w:rsidP="00B726F7">
            <w:pPr>
              <w:spacing w:before="40" w:after="120" w:line="220" w:lineRule="exact"/>
              <w:rPr>
                <w:rFonts w:asciiTheme="majorBidi" w:eastAsia="DengXian" w:hAnsiTheme="majorBidi"/>
              </w:rPr>
            </w:pPr>
            <w:r>
              <w:rPr>
                <w:rFonts w:asciiTheme="majorBidi" w:eastAsia="DengXian" w:hAnsiTheme="majorBidi"/>
              </w:rPr>
              <w:t xml:space="preserve">Submitted earlier </w:t>
            </w:r>
          </w:p>
        </w:tc>
      </w:tr>
      <w:tr w:rsidR="008D363A" w14:paraId="6A8A36F9" w14:textId="77777777" w:rsidTr="00B726F7">
        <w:trPr>
          <w:trHeight w:val="609"/>
        </w:trPr>
        <w:tc>
          <w:tcPr>
            <w:tcW w:w="2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FB1D1B" w14:textId="2550597A" w:rsidR="008D363A" w:rsidRPr="00F83317" w:rsidRDefault="008D363A" w:rsidP="008D363A">
            <w:pPr>
              <w:spacing w:before="40" w:after="120" w:line="220" w:lineRule="exact"/>
              <w:rPr>
                <w:rFonts w:asciiTheme="majorBidi" w:eastAsia="DengXian" w:hAnsiTheme="majorBidi"/>
                <w:b/>
                <w:bCs/>
              </w:rPr>
            </w:pPr>
            <w:r w:rsidRPr="00F83317">
              <w:rPr>
                <w:rFonts w:eastAsiaTheme="minorEastAsia"/>
                <w:b/>
                <w:bCs/>
              </w:rPr>
              <w:t>Life Cycle Assessment</w:t>
            </w:r>
          </w:p>
        </w:tc>
        <w:tc>
          <w:tcPr>
            <w:tcW w:w="3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84FDB" w14:textId="065DCC42" w:rsidR="008D363A" w:rsidRPr="00F83317" w:rsidRDefault="00F53290" w:rsidP="008D363A">
            <w:pPr>
              <w:spacing w:before="40" w:after="120" w:line="220" w:lineRule="exact"/>
              <w:rPr>
                <w:rFonts w:asciiTheme="majorBidi" w:eastAsia="DengXian" w:hAnsiTheme="majorBidi"/>
                <w:b/>
                <w:bCs/>
              </w:rPr>
            </w:pPr>
            <w:r w:rsidRPr="00F83317">
              <w:rPr>
                <w:rFonts w:asciiTheme="majorBidi" w:eastAsia="DengXian" w:hAnsiTheme="majorBidi"/>
                <w:b/>
                <w:bCs/>
              </w:rPr>
              <w:t xml:space="preserve">Quantify and monitor progress towards Carbon neutrality of road transport by 2050. Internationally-harmonized procedure to measure carbon footprint of different technologies for fuels and vehicles </w:t>
            </w:r>
            <w:r w:rsidRPr="00F83317">
              <w:rPr>
                <w:b/>
                <w:bCs/>
              </w:rPr>
              <w:t>from production to use and disposal.</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3C3D21" w14:textId="37F1B860" w:rsidR="008D363A" w:rsidRPr="00F83317" w:rsidRDefault="00F53290" w:rsidP="008D363A">
            <w:pPr>
              <w:spacing w:before="40" w:after="120" w:line="220" w:lineRule="exact"/>
              <w:rPr>
                <w:rFonts w:asciiTheme="majorBidi" w:eastAsia="DengXian" w:hAnsiTheme="majorBidi"/>
                <w:b/>
                <w:bCs/>
              </w:rPr>
            </w:pPr>
            <w:r w:rsidRPr="00F83317">
              <w:rPr>
                <w:rFonts w:asciiTheme="majorBidi" w:eastAsia="DengXian" w:hAnsiTheme="majorBidi"/>
                <w:b/>
                <w:bCs/>
              </w:rPr>
              <w:t>[</w:t>
            </w:r>
            <w:proofErr w:type="spellStart"/>
            <w:r w:rsidR="002E17F5" w:rsidRPr="00F83317">
              <w:rPr>
                <w:rFonts w:asciiTheme="majorBidi" w:eastAsia="DengXian" w:hAnsiTheme="majorBidi"/>
                <w:b/>
                <w:bCs/>
              </w:rPr>
              <w:t>tbd</w:t>
            </w:r>
            <w:proofErr w:type="spellEnd"/>
            <w:r w:rsidRPr="00F83317">
              <w:rPr>
                <w:rFonts w:asciiTheme="majorBidi" w:eastAsia="DengXian" w:hAnsiTheme="majorBidi"/>
                <w:b/>
                <w:bCs/>
              </w:rPr>
              <w: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01FA27" w14:textId="0B26F4B3" w:rsidR="008D363A" w:rsidRPr="00F83317" w:rsidRDefault="008D363A" w:rsidP="008D363A">
            <w:pPr>
              <w:spacing w:before="40" w:after="120" w:line="220" w:lineRule="exact"/>
              <w:rPr>
                <w:rFonts w:asciiTheme="majorBidi" w:eastAsia="DengXian" w:hAnsiTheme="majorBidi"/>
                <w:b/>
                <w:bCs/>
              </w:rPr>
            </w:pPr>
            <w:r w:rsidRPr="00F83317">
              <w:rPr>
                <w:rFonts w:eastAsiaTheme="minorEastAsia" w:hint="eastAsia"/>
                <w:b/>
                <w:bCs/>
              </w:rPr>
              <w:t>[IWG on LCA]</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E65181" w14:textId="5696B6A3" w:rsidR="008D363A" w:rsidRPr="00F83317" w:rsidRDefault="008D363A" w:rsidP="008D363A">
            <w:pPr>
              <w:spacing w:before="40" w:after="120" w:line="220" w:lineRule="exact"/>
              <w:rPr>
                <w:rFonts w:asciiTheme="majorBidi" w:eastAsia="DengXian" w:hAnsiTheme="majorBidi"/>
                <w:b/>
                <w:bCs/>
              </w:rPr>
            </w:pPr>
            <w:r w:rsidRPr="00F83317">
              <w:rPr>
                <w:rFonts w:eastAsiaTheme="minorEastAsia" w:hint="eastAsia"/>
                <w:b/>
                <w:bCs/>
              </w:rPr>
              <w:t>[</w:t>
            </w:r>
            <w:r w:rsidR="002E17F5" w:rsidRPr="00F83317">
              <w:rPr>
                <w:rFonts w:eastAsiaTheme="minorEastAsia"/>
                <w:b/>
                <w:bCs/>
              </w:rPr>
              <w:t>2025</w:t>
            </w:r>
            <w:r w:rsidRPr="00F83317">
              <w:rPr>
                <w:rFonts w:eastAsiaTheme="minorEastAsia"/>
                <w:b/>
                <w:bCs/>
              </w:rPr>
              <w:t>]</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D1A990" w14:textId="6627C7E3" w:rsidR="008D363A" w:rsidRPr="00F83317" w:rsidRDefault="008D363A" w:rsidP="008D363A">
            <w:pPr>
              <w:spacing w:before="40" w:after="120" w:line="220" w:lineRule="exact"/>
              <w:rPr>
                <w:rFonts w:asciiTheme="majorBidi" w:eastAsia="DengXian" w:hAnsiTheme="majorBidi"/>
                <w:b/>
                <w:bCs/>
              </w:rPr>
            </w:pPr>
            <w:r w:rsidRPr="00F83317">
              <w:rPr>
                <w:rFonts w:eastAsiaTheme="minorEastAsia" w:hint="eastAsia"/>
                <w:b/>
                <w:bCs/>
              </w:rPr>
              <w:t>[</w:t>
            </w:r>
            <w:proofErr w:type="spellStart"/>
            <w:r w:rsidRPr="00F83317">
              <w:rPr>
                <w:rFonts w:eastAsiaTheme="minorEastAsia" w:hint="eastAsia"/>
                <w:b/>
                <w:bCs/>
              </w:rPr>
              <w:t>tbd</w:t>
            </w:r>
            <w:proofErr w:type="spellEnd"/>
            <w:r w:rsidRPr="00F83317">
              <w:rPr>
                <w:rFonts w:eastAsiaTheme="minorEastAsia" w:hint="eastAsia"/>
                <w:b/>
                <w:bCs/>
              </w:rPr>
              <w:t>]</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2E224" w14:textId="4B7A1824" w:rsidR="008D363A" w:rsidRPr="00F83317" w:rsidRDefault="006D2652" w:rsidP="008D363A">
            <w:pPr>
              <w:spacing w:before="40" w:after="120" w:line="220" w:lineRule="exact"/>
              <w:rPr>
                <w:rFonts w:asciiTheme="majorBidi" w:eastAsia="DengXian" w:hAnsiTheme="majorBidi"/>
                <w:b/>
                <w:bCs/>
              </w:rPr>
            </w:pPr>
            <w:r w:rsidRPr="00F83317">
              <w:rPr>
                <w:rFonts w:asciiTheme="majorBidi" w:eastAsia="DengXian" w:hAnsiTheme="majorBidi"/>
                <w:b/>
                <w:bCs/>
              </w:rPr>
              <w:t>to be discussed with GRPE</w:t>
            </w:r>
          </w:p>
        </w:tc>
      </w:tr>
      <w:tr w:rsidR="008D363A" w14:paraId="68F1E66D" w14:textId="77777777" w:rsidTr="00B726F7">
        <w:trPr>
          <w:trHeight w:val="609"/>
        </w:trPr>
        <w:tc>
          <w:tcPr>
            <w:tcW w:w="21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66" w14:textId="77777777" w:rsidR="008D363A" w:rsidRDefault="008D363A" w:rsidP="008D363A">
            <w:pPr>
              <w:spacing w:before="40" w:after="120" w:line="220" w:lineRule="exact"/>
              <w:rPr>
                <w:rFonts w:asciiTheme="majorBidi" w:eastAsia="DengXian" w:hAnsiTheme="majorBidi"/>
              </w:rPr>
            </w:pPr>
            <w:r>
              <w:rPr>
                <w:rFonts w:asciiTheme="majorBidi" w:eastAsia="DengXian" w:hAnsiTheme="majorBidi"/>
              </w:rPr>
              <w:t>New propulsion energy</w:t>
            </w:r>
          </w:p>
        </w:tc>
        <w:tc>
          <w:tcPr>
            <w:tcW w:w="313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67" w14:textId="77777777" w:rsidR="008D363A" w:rsidRDefault="008D363A" w:rsidP="008D363A">
            <w:pPr>
              <w:spacing w:before="40" w:after="120" w:line="220" w:lineRule="exact"/>
              <w:rPr>
                <w:rFonts w:asciiTheme="majorBidi" w:eastAsia="DengXian" w:hAnsiTheme="majorBidi"/>
              </w:rPr>
            </w:pPr>
            <w:r>
              <w:rPr>
                <w:rFonts w:asciiTheme="majorBidi" w:eastAsia="DengXian" w:hAnsiTheme="majorBidi"/>
              </w:rPr>
              <w:t>Develop technical regulation to ensure environmentally-friendly and level-playing market introduction of new form of propulsion energy, such as hydrogen and electricity.</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68" w14:textId="5B682FA3" w:rsidR="008D363A" w:rsidRDefault="008D363A" w:rsidP="008D363A">
            <w:pPr>
              <w:spacing w:before="40" w:after="120" w:line="220" w:lineRule="exact"/>
              <w:rPr>
                <w:rFonts w:asciiTheme="majorBidi" w:eastAsia="DengXian" w:hAnsiTheme="majorBidi"/>
              </w:rPr>
            </w:pPr>
            <w:r>
              <w:rPr>
                <w:rFonts w:asciiTheme="majorBidi" w:eastAsia="DengXian" w:hAnsiTheme="majorBidi"/>
              </w:rPr>
              <w:t>UN GTR No. 21 on DEVP</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69" w14:textId="77777777" w:rsidR="008D363A" w:rsidRDefault="008D363A" w:rsidP="008D363A">
            <w:pPr>
              <w:spacing w:before="40" w:after="120" w:line="220" w:lineRule="exact"/>
              <w:rPr>
                <w:rFonts w:asciiTheme="majorBidi" w:eastAsia="DengXian" w:hAnsiTheme="majorBidi"/>
              </w:rPr>
            </w:pPr>
            <w:r>
              <w:rPr>
                <w:rFonts w:asciiTheme="majorBidi" w:eastAsia="DengXian" w:hAnsiTheme="majorBidi"/>
              </w:rPr>
              <w:t>IWG on EVE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D06231" w14:textId="64204AFC" w:rsidR="008D363A" w:rsidRDefault="008D363A" w:rsidP="008D363A">
            <w:pPr>
              <w:spacing w:before="40" w:after="120" w:line="220" w:lineRule="exact"/>
              <w:rPr>
                <w:rFonts w:asciiTheme="majorBidi" w:eastAsia="DengXian" w:hAnsiTheme="majorBidi"/>
              </w:rPr>
            </w:pPr>
            <w:r>
              <w:rPr>
                <w:rFonts w:asciiTheme="majorBidi" w:eastAsia="DengXian" w:hAnsiTheme="majorBidi"/>
              </w:rPr>
              <w:t>June 2020</w:t>
            </w:r>
          </w:p>
          <w:p w14:paraId="68F1E66A" w14:textId="513A3859" w:rsidR="008D363A" w:rsidRDefault="008D363A" w:rsidP="008D363A">
            <w:pPr>
              <w:spacing w:before="40" w:after="120" w:line="220" w:lineRule="exact"/>
              <w:rPr>
                <w:rFonts w:asciiTheme="majorBidi" w:eastAsia="DengXian" w:hAnsiTheme="majorBidi"/>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6B" w14:textId="77777777" w:rsidR="008D363A" w:rsidRDefault="008D363A" w:rsidP="008D363A">
            <w:pPr>
              <w:spacing w:before="40" w:after="120" w:line="220" w:lineRule="exact"/>
              <w:rPr>
                <w:rFonts w:asciiTheme="majorBidi" w:eastAsia="DengXian" w:hAnsiTheme="majorBidi"/>
              </w:rPr>
            </w:pPr>
            <w:r>
              <w:rPr>
                <w:rFonts w:asciiTheme="majorBidi" w:eastAsia="DengXian" w:hAnsiTheme="majorBidi"/>
              </w:rPr>
              <w:t>US-CAN </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6C" w14:textId="43EF0EB0" w:rsidR="008D363A" w:rsidRDefault="008D363A" w:rsidP="008D363A">
            <w:pPr>
              <w:spacing w:before="40" w:after="120" w:line="220" w:lineRule="exact"/>
              <w:rPr>
                <w:rFonts w:asciiTheme="majorBidi" w:eastAsia="DengXian" w:hAnsiTheme="majorBidi"/>
              </w:rPr>
            </w:pPr>
            <w:r>
              <w:rPr>
                <w:rFonts w:asciiTheme="majorBidi" w:eastAsia="DengXian" w:hAnsiTheme="majorBidi"/>
              </w:rPr>
              <w:t>Adopted by WP.29 November 2020</w:t>
            </w:r>
          </w:p>
        </w:tc>
      </w:tr>
      <w:tr w:rsidR="008D363A" w14:paraId="68F1E675" w14:textId="77777777" w:rsidTr="00B726F7">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6E" w14:textId="77777777" w:rsidR="008D363A" w:rsidRDefault="008D363A" w:rsidP="008D363A">
            <w:pPr>
              <w:spacing w:before="40" w:after="120" w:line="220" w:lineRule="exact"/>
              <w:rPr>
                <w:rFonts w:asciiTheme="majorBidi" w:eastAsia="DengXian" w:hAnsiTheme="majorBidi"/>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6F" w14:textId="77777777" w:rsidR="008D363A" w:rsidRDefault="008D363A" w:rsidP="008D363A">
            <w:pPr>
              <w:spacing w:before="40" w:after="120" w:line="220" w:lineRule="exact"/>
              <w:rPr>
                <w:rFonts w:asciiTheme="majorBidi" w:eastAsia="DengXian" w:hAnsiTheme="majorBidi"/>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70" w14:textId="6BADA9D5" w:rsidR="008D363A" w:rsidRDefault="008D363A" w:rsidP="008D363A">
            <w:pPr>
              <w:spacing w:before="40" w:after="120" w:line="220" w:lineRule="exact"/>
              <w:rPr>
                <w:rFonts w:asciiTheme="majorBidi" w:eastAsia="DengXian" w:hAnsiTheme="majorBidi"/>
              </w:rPr>
            </w:pPr>
            <w:r>
              <w:rPr>
                <w:rFonts w:asciiTheme="majorBidi" w:eastAsia="DengXian" w:hAnsiTheme="majorBidi"/>
              </w:rPr>
              <w:t>UN GTR on in Vehicle Battery durability</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71" w14:textId="77777777" w:rsidR="008D363A" w:rsidRDefault="008D363A" w:rsidP="008D363A">
            <w:pPr>
              <w:spacing w:before="40" w:after="120" w:line="220" w:lineRule="exact"/>
              <w:rPr>
                <w:rFonts w:asciiTheme="majorBidi" w:eastAsia="DengXian" w:hAnsiTheme="majorBidi"/>
              </w:rPr>
            </w:pPr>
            <w:r>
              <w:rPr>
                <w:rFonts w:asciiTheme="majorBidi" w:eastAsia="DengXian" w:hAnsiTheme="majorBidi"/>
              </w:rPr>
              <w:t>IWG on EVE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72" w14:textId="221FE506" w:rsidR="008D363A" w:rsidRDefault="008D363A" w:rsidP="008D363A">
            <w:pPr>
              <w:spacing w:before="40" w:after="120" w:line="220" w:lineRule="exact"/>
              <w:rPr>
                <w:rFonts w:asciiTheme="majorBidi" w:eastAsia="DengXian" w:hAnsiTheme="majorBidi"/>
              </w:rPr>
            </w:pPr>
            <w:r>
              <w:rPr>
                <w:rFonts w:asciiTheme="majorBidi" w:eastAsia="DengXian" w:hAnsiTheme="majorBidi"/>
              </w:rPr>
              <w:t>June 2021</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73" w14:textId="77777777" w:rsidR="008D363A" w:rsidRDefault="008D363A" w:rsidP="008D363A">
            <w:pPr>
              <w:spacing w:before="40" w:after="120" w:line="220" w:lineRule="exact"/>
              <w:rPr>
                <w:rFonts w:asciiTheme="majorBidi" w:eastAsia="DengXian" w:hAnsiTheme="majorBidi"/>
              </w:rPr>
            </w:pPr>
            <w:r>
              <w:rPr>
                <w:rFonts w:asciiTheme="majorBidi" w:eastAsia="DengXian" w:hAnsiTheme="majorBidi"/>
              </w:rPr>
              <w:t>US-CAN, China, EC, Japan</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74" w14:textId="77777777" w:rsidR="008D363A" w:rsidRDefault="008D363A" w:rsidP="008D363A">
            <w:pPr>
              <w:spacing w:before="40" w:after="120" w:line="220" w:lineRule="exact"/>
              <w:rPr>
                <w:rFonts w:asciiTheme="majorBidi" w:eastAsia="DengXian" w:hAnsiTheme="majorBidi"/>
              </w:rPr>
            </w:pPr>
          </w:p>
        </w:tc>
      </w:tr>
      <w:tr w:rsidR="008D363A" w14:paraId="68F1E67D" w14:textId="77777777" w:rsidTr="00B726F7">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76" w14:textId="77777777" w:rsidR="008D363A" w:rsidRDefault="008D363A" w:rsidP="008D363A">
            <w:pPr>
              <w:spacing w:before="40" w:after="120" w:line="220" w:lineRule="exact"/>
              <w:rPr>
                <w:rFonts w:asciiTheme="majorBidi" w:eastAsia="DengXian" w:hAnsiTheme="majorBidi"/>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77" w14:textId="77777777" w:rsidR="008D363A" w:rsidRDefault="008D363A" w:rsidP="008D363A">
            <w:pPr>
              <w:spacing w:before="40" w:after="120" w:line="220" w:lineRule="exact"/>
              <w:rPr>
                <w:rFonts w:asciiTheme="majorBidi" w:eastAsia="DengXian" w:hAnsiTheme="majorBidi"/>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78" w14:textId="7A9B16B9" w:rsidR="008D363A" w:rsidRDefault="008D363A" w:rsidP="008D363A">
            <w:pPr>
              <w:spacing w:before="40" w:after="120" w:line="220" w:lineRule="exact"/>
              <w:rPr>
                <w:rFonts w:asciiTheme="majorBidi" w:eastAsia="DengXian" w:hAnsiTheme="majorBidi"/>
              </w:rPr>
            </w:pPr>
            <w:r>
              <w:rPr>
                <w:rFonts w:asciiTheme="majorBidi" w:eastAsia="DengXian" w:hAnsiTheme="majorBidi"/>
              </w:rPr>
              <w:t xml:space="preserve">Heavy Duty Hybrids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79" w14:textId="77777777" w:rsidR="008D363A" w:rsidRDefault="008D363A" w:rsidP="008D363A">
            <w:pPr>
              <w:spacing w:before="40" w:after="120" w:line="220" w:lineRule="exact"/>
              <w:rPr>
                <w:rFonts w:asciiTheme="majorBidi" w:eastAsia="DengXian" w:hAnsiTheme="majorBidi"/>
              </w:rPr>
            </w:pPr>
            <w:r>
              <w:rPr>
                <w:rFonts w:asciiTheme="majorBidi" w:eastAsia="DengXian" w:hAnsiTheme="majorBidi"/>
              </w:rPr>
              <w:t>GRPE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7A" w14:textId="77777777" w:rsidR="008D363A" w:rsidRDefault="008D363A" w:rsidP="008D363A">
            <w:pPr>
              <w:spacing w:before="40" w:after="120" w:line="220" w:lineRule="exact"/>
              <w:rPr>
                <w:rFonts w:asciiTheme="majorBidi" w:eastAsia="DengXian" w:hAnsiTheme="majorBidi"/>
              </w:rPr>
            </w:pPr>
            <w:r>
              <w:rPr>
                <w:rFonts w:asciiTheme="majorBidi" w:eastAsia="DengXian" w:hAnsiTheme="majorBidi"/>
              </w:rPr>
              <w:t>[2022]</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7B" w14:textId="77777777" w:rsidR="008D363A" w:rsidRDefault="008D363A" w:rsidP="008D363A">
            <w:pPr>
              <w:spacing w:before="40" w:after="120" w:line="220" w:lineRule="exact"/>
              <w:rPr>
                <w:rFonts w:asciiTheme="majorBidi" w:eastAsia="DengXian" w:hAnsiTheme="majorBidi"/>
              </w:rPr>
            </w:pPr>
            <w:r>
              <w:rPr>
                <w:rFonts w:asciiTheme="majorBidi" w:eastAsia="DengXian" w:hAnsiTheme="majorBidi"/>
              </w:rPr>
              <w:t>[</w:t>
            </w:r>
            <w:proofErr w:type="spellStart"/>
            <w:r>
              <w:rPr>
                <w:rFonts w:asciiTheme="majorBidi" w:eastAsia="DengXian" w:hAnsiTheme="majorBidi"/>
              </w:rPr>
              <w:t>tbd</w:t>
            </w:r>
            <w:proofErr w:type="spellEnd"/>
            <w:r>
              <w:rPr>
                <w:rFonts w:asciiTheme="majorBidi" w:eastAsia="DengXian" w:hAnsiTheme="majorBidi"/>
              </w:rPr>
              <w:t>]</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7C" w14:textId="77777777" w:rsidR="008D363A" w:rsidRDefault="008D363A" w:rsidP="008D363A">
            <w:pPr>
              <w:spacing w:before="40" w:after="120" w:line="220" w:lineRule="exact"/>
              <w:rPr>
                <w:rFonts w:asciiTheme="majorBidi" w:eastAsia="DengXian" w:hAnsiTheme="majorBidi"/>
              </w:rPr>
            </w:pPr>
          </w:p>
        </w:tc>
      </w:tr>
      <w:tr w:rsidR="008D363A" w14:paraId="68F1E686" w14:textId="77777777" w:rsidTr="00B726F7">
        <w:tc>
          <w:tcPr>
            <w:tcW w:w="2115" w:type="dxa"/>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68F1E67E" w14:textId="386675EE" w:rsidR="008D363A" w:rsidRDefault="008D363A" w:rsidP="008D363A">
            <w:pPr>
              <w:spacing w:before="40" w:after="120" w:line="220" w:lineRule="exact"/>
              <w:rPr>
                <w:rFonts w:asciiTheme="majorBidi" w:eastAsia="DengXian" w:hAnsiTheme="majorBidi"/>
              </w:rPr>
            </w:pPr>
            <w:bookmarkStart w:id="1" w:name="_Hlk42842325"/>
            <w:bookmarkEnd w:id="1"/>
            <w:r>
              <w:rPr>
                <w:rFonts w:asciiTheme="majorBidi" w:eastAsia="DengXian" w:hAnsiTheme="majorBidi"/>
              </w:rPr>
              <w:t>Particulate emissions:</w:t>
            </w:r>
          </w:p>
          <w:p w14:paraId="68F1E67F" w14:textId="77777777" w:rsidR="008D363A" w:rsidRDefault="008D363A" w:rsidP="008D363A">
            <w:pPr>
              <w:spacing w:before="40" w:after="120" w:line="220" w:lineRule="exact"/>
              <w:rPr>
                <w:rFonts w:asciiTheme="majorBidi" w:eastAsia="DengXian" w:hAnsiTheme="majorBidi"/>
              </w:rPr>
            </w:pPr>
            <w:r>
              <w:rPr>
                <w:rFonts w:asciiTheme="majorBidi" w:eastAsia="DengXian" w:hAnsiTheme="majorBidi"/>
              </w:rPr>
              <w:lastRenderedPageBreak/>
              <w:t>Provisions to limit airborne particulates from different sources</w:t>
            </w:r>
          </w:p>
        </w:tc>
        <w:tc>
          <w:tcPr>
            <w:tcW w:w="3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80" w14:textId="77777777" w:rsidR="008D363A" w:rsidRDefault="008D363A" w:rsidP="008D363A">
            <w:pPr>
              <w:spacing w:before="40" w:after="120" w:line="220" w:lineRule="exact"/>
              <w:rPr>
                <w:rFonts w:asciiTheme="majorBidi" w:hAnsiTheme="majorBidi"/>
              </w:rPr>
            </w:pPr>
            <w:r>
              <w:rPr>
                <w:rFonts w:asciiTheme="majorBidi" w:hAnsiTheme="majorBidi"/>
              </w:rPr>
              <w:lastRenderedPageBreak/>
              <w:t xml:space="preserve">Sub-23 nm exhaust particles for light- and heavy-duty </w:t>
            </w:r>
            <w:r>
              <w:rPr>
                <w:rFonts w:asciiTheme="majorBidi" w:hAnsiTheme="majorBidi"/>
              </w:rPr>
              <w:lastRenderedPageBreak/>
              <w:t>applications, in the laboratory and on the road</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81" w14:textId="609ADCBB" w:rsidR="008D363A" w:rsidRDefault="008D363A" w:rsidP="008D363A">
            <w:pPr>
              <w:spacing w:before="40" w:after="120" w:line="220" w:lineRule="exact"/>
              <w:rPr>
                <w:rFonts w:asciiTheme="majorBidi" w:hAnsiTheme="majorBidi"/>
              </w:rPr>
            </w:pPr>
            <w:r>
              <w:rPr>
                <w:rFonts w:asciiTheme="majorBidi" w:hAnsiTheme="majorBidi"/>
              </w:rPr>
              <w:lastRenderedPageBreak/>
              <w:t xml:space="preserve">Amendments to UN GTR No. 15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82" w14:textId="77777777" w:rsidR="008D363A" w:rsidRDefault="008D363A" w:rsidP="008D363A">
            <w:pPr>
              <w:spacing w:before="40" w:after="120" w:line="220" w:lineRule="exact"/>
              <w:rPr>
                <w:rFonts w:asciiTheme="majorBidi" w:eastAsia="DengXian" w:hAnsiTheme="majorBidi"/>
              </w:rPr>
            </w:pPr>
            <w:r>
              <w:rPr>
                <w:rFonts w:asciiTheme="majorBidi" w:eastAsia="DengXian" w:hAnsiTheme="majorBidi"/>
              </w:rPr>
              <w:t>IWG on PMP</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83" w14:textId="77777777" w:rsidR="008D363A" w:rsidRDefault="008D363A" w:rsidP="008D363A">
            <w:pPr>
              <w:spacing w:before="40" w:after="120" w:line="220" w:lineRule="exact"/>
              <w:rPr>
                <w:rFonts w:asciiTheme="majorBidi" w:eastAsia="DengXian" w:hAnsiTheme="majorBidi"/>
              </w:rPr>
            </w:pPr>
            <w:r>
              <w:rPr>
                <w:rFonts w:asciiTheme="majorBidi" w:eastAsia="DengXian" w:hAnsiTheme="majorBidi"/>
              </w:rPr>
              <w:t>June 2021</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84" w14:textId="77777777" w:rsidR="008D363A" w:rsidRDefault="008D363A" w:rsidP="008D363A">
            <w:pPr>
              <w:spacing w:before="40" w:after="120" w:line="220" w:lineRule="exact"/>
              <w:rPr>
                <w:rFonts w:asciiTheme="majorBidi" w:eastAsia="DengXian" w:hAnsiTheme="majorBidi"/>
              </w:rPr>
            </w:pPr>
            <w:r>
              <w:rPr>
                <w:rFonts w:asciiTheme="majorBidi" w:eastAsia="DengXian" w:hAnsiTheme="majorBidi"/>
              </w:rPr>
              <w:t>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85" w14:textId="77777777" w:rsidR="008D363A" w:rsidRDefault="008D363A" w:rsidP="008D363A">
            <w:pPr>
              <w:spacing w:before="40" w:after="120" w:line="220" w:lineRule="exact"/>
              <w:rPr>
                <w:rFonts w:asciiTheme="majorBidi" w:eastAsia="DengXian" w:hAnsiTheme="majorBidi"/>
              </w:rPr>
            </w:pPr>
            <w:r>
              <w:rPr>
                <w:rFonts w:asciiTheme="majorBidi" w:eastAsia="DengXian" w:hAnsiTheme="majorBidi"/>
              </w:rPr>
              <w:t xml:space="preserve">Light duty laboratory adopted in GRPE June 2020 - still on-going for </w:t>
            </w:r>
            <w:r>
              <w:rPr>
                <w:rFonts w:asciiTheme="majorBidi" w:eastAsia="DengXian" w:hAnsiTheme="majorBidi"/>
              </w:rPr>
              <w:lastRenderedPageBreak/>
              <w:t>PEMS-PN and heavy duty application</w:t>
            </w:r>
          </w:p>
        </w:tc>
      </w:tr>
      <w:tr w:rsidR="008D363A" w14:paraId="68F1E68E" w14:textId="77777777" w:rsidTr="00B726F7">
        <w:tc>
          <w:tcPr>
            <w:tcW w:w="2115"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68F1E687" w14:textId="77777777" w:rsidR="008D363A" w:rsidRDefault="008D363A" w:rsidP="008D363A">
            <w:pPr>
              <w:spacing w:before="40" w:after="120" w:line="220" w:lineRule="exact"/>
              <w:rPr>
                <w:rFonts w:asciiTheme="majorBidi" w:eastAsia="DengXian" w:hAnsiTheme="majorBidi"/>
              </w:rPr>
            </w:pPr>
          </w:p>
        </w:tc>
        <w:tc>
          <w:tcPr>
            <w:tcW w:w="3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88" w14:textId="77777777" w:rsidR="008D363A" w:rsidRDefault="008D363A" w:rsidP="008D363A">
            <w:pPr>
              <w:spacing w:before="40" w:after="120" w:line="220" w:lineRule="exact"/>
              <w:rPr>
                <w:rFonts w:asciiTheme="majorBidi" w:hAnsiTheme="majorBidi"/>
              </w:rPr>
            </w:pPr>
            <w:r>
              <w:rPr>
                <w:rFonts w:asciiTheme="majorBidi" w:hAnsiTheme="majorBidi"/>
              </w:rPr>
              <w:t>Brake emissions</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89" w14:textId="77777777" w:rsidR="008D363A" w:rsidRDefault="008D363A" w:rsidP="008D363A">
            <w:pPr>
              <w:spacing w:before="40" w:after="120" w:line="220" w:lineRule="exact"/>
              <w:rPr>
                <w:rFonts w:asciiTheme="majorBidi" w:hAnsiTheme="majorBidi"/>
              </w:rPr>
            </w:pPr>
            <w:r>
              <w:rPr>
                <w:rFonts w:asciiTheme="majorBidi" w:hAnsiTheme="majorBidi"/>
              </w:rPr>
              <w:t>New UN GTR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8A" w14:textId="77777777" w:rsidR="008D363A" w:rsidRDefault="008D363A" w:rsidP="008D363A">
            <w:pPr>
              <w:spacing w:before="40" w:after="120" w:line="220" w:lineRule="exact"/>
              <w:rPr>
                <w:rFonts w:asciiTheme="majorBidi" w:eastAsia="DengXian" w:hAnsiTheme="majorBidi"/>
              </w:rPr>
            </w:pPr>
            <w:r>
              <w:rPr>
                <w:rFonts w:asciiTheme="majorBidi" w:eastAsia="DengXian" w:hAnsiTheme="majorBidi"/>
              </w:rPr>
              <w:t>IWG on PMP</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8B" w14:textId="6CACF119" w:rsidR="008D363A" w:rsidRDefault="008D363A" w:rsidP="008D363A">
            <w:pPr>
              <w:spacing w:before="40" w:after="120" w:line="220" w:lineRule="exact"/>
              <w:rPr>
                <w:rFonts w:asciiTheme="majorBidi" w:eastAsia="DengXian" w:hAnsiTheme="majorBidi"/>
              </w:rPr>
            </w:pPr>
            <w:r>
              <w:rPr>
                <w:rFonts w:asciiTheme="majorBidi" w:eastAsia="DengXian" w:hAnsiTheme="majorBidi"/>
              </w:rPr>
              <w:t>January 2023</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8C" w14:textId="77777777" w:rsidR="008D363A" w:rsidRDefault="008D363A" w:rsidP="008D363A">
            <w:pPr>
              <w:spacing w:before="40" w:after="120" w:line="220" w:lineRule="exact"/>
              <w:rPr>
                <w:rFonts w:asciiTheme="majorBidi" w:eastAsia="DengXian" w:hAnsiTheme="majorBidi"/>
              </w:rPr>
            </w:pPr>
            <w:r>
              <w:rPr>
                <w:rFonts w:asciiTheme="majorBidi" w:eastAsia="DengXian" w:hAnsiTheme="majorBidi"/>
              </w:rPr>
              <w:t>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8D" w14:textId="2ABBC8D8" w:rsidR="008D363A" w:rsidRDefault="008D363A" w:rsidP="008D363A">
            <w:pPr>
              <w:spacing w:before="40" w:after="120" w:line="220" w:lineRule="exact"/>
              <w:rPr>
                <w:rFonts w:asciiTheme="majorBidi" w:eastAsia="DengXian" w:hAnsiTheme="majorBidi"/>
              </w:rPr>
            </w:pPr>
          </w:p>
        </w:tc>
      </w:tr>
      <w:tr w:rsidR="008D363A" w14:paraId="68F1E696" w14:textId="77777777" w:rsidTr="00B726F7">
        <w:tc>
          <w:tcPr>
            <w:tcW w:w="2115"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68F1E68F" w14:textId="77777777" w:rsidR="008D363A" w:rsidRDefault="008D363A" w:rsidP="008D363A">
            <w:pPr>
              <w:spacing w:before="40" w:after="120" w:line="220" w:lineRule="exact"/>
              <w:rPr>
                <w:rFonts w:asciiTheme="majorBidi" w:eastAsia="DengXian" w:hAnsiTheme="majorBidi"/>
              </w:rPr>
            </w:pPr>
          </w:p>
        </w:tc>
        <w:tc>
          <w:tcPr>
            <w:tcW w:w="3130"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68F1E690" w14:textId="77777777" w:rsidR="008D363A" w:rsidRDefault="008D363A" w:rsidP="008D363A">
            <w:pPr>
              <w:spacing w:before="40" w:after="120" w:line="220" w:lineRule="exact"/>
              <w:ind w:right="113"/>
              <w:rPr>
                <w:rFonts w:asciiTheme="majorBidi" w:hAnsiTheme="majorBidi"/>
              </w:rPr>
            </w:pPr>
            <w:proofErr w:type="spellStart"/>
            <w:r>
              <w:rPr>
                <w:rFonts w:asciiTheme="majorBidi" w:hAnsiTheme="majorBidi"/>
              </w:rPr>
              <w:t>Tyre</w:t>
            </w:r>
            <w:proofErr w:type="spellEnd"/>
            <w:r>
              <w:rPr>
                <w:rFonts w:asciiTheme="majorBidi" w:hAnsiTheme="majorBidi"/>
              </w:rPr>
              <w:t xml:space="preserve"> wear emissions</w:t>
            </w:r>
          </w:p>
        </w:tc>
        <w:tc>
          <w:tcPr>
            <w:tcW w:w="1985"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68F1E691" w14:textId="77777777" w:rsidR="008D363A" w:rsidRDefault="008D363A" w:rsidP="008D363A">
            <w:pPr>
              <w:spacing w:before="40" w:after="120" w:line="220" w:lineRule="exact"/>
              <w:rPr>
                <w:rFonts w:asciiTheme="majorBidi" w:hAnsiTheme="majorBidi"/>
              </w:rPr>
            </w:pPr>
            <w:proofErr w:type="spellStart"/>
            <w:r>
              <w:rPr>
                <w:rFonts w:asciiTheme="majorBidi" w:hAnsiTheme="majorBidi"/>
              </w:rPr>
              <w:t>tbd</w:t>
            </w:r>
            <w:proofErr w:type="spellEnd"/>
          </w:p>
        </w:tc>
        <w:tc>
          <w:tcPr>
            <w:tcW w:w="1701"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68F1E692" w14:textId="77777777" w:rsidR="008D363A" w:rsidRDefault="008D363A" w:rsidP="008D363A">
            <w:pPr>
              <w:spacing w:before="40" w:after="120" w:line="220" w:lineRule="exact"/>
              <w:rPr>
                <w:rFonts w:asciiTheme="majorBidi" w:eastAsia="DengXian" w:hAnsiTheme="majorBidi"/>
              </w:rPr>
            </w:pPr>
            <w:r>
              <w:rPr>
                <w:rFonts w:asciiTheme="majorBidi" w:eastAsia="DengXian" w:hAnsiTheme="majorBidi"/>
              </w:rPr>
              <w:t>IWG on PMP / GRPE</w:t>
            </w:r>
          </w:p>
        </w:tc>
        <w:tc>
          <w:tcPr>
            <w:tcW w:w="1984"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68F1E693" w14:textId="77777777" w:rsidR="008D363A" w:rsidRDefault="008D363A" w:rsidP="008D363A">
            <w:pPr>
              <w:spacing w:before="40" w:after="120" w:line="220" w:lineRule="exact"/>
              <w:rPr>
                <w:rFonts w:asciiTheme="majorBidi" w:eastAsia="DengXian" w:hAnsiTheme="majorBidi"/>
              </w:rPr>
            </w:pPr>
            <w:r>
              <w:rPr>
                <w:rFonts w:asciiTheme="majorBidi" w:eastAsia="DengXian" w:hAnsiTheme="majorBidi"/>
              </w:rPr>
              <w:t xml:space="preserve">[June 2023] </w:t>
            </w:r>
          </w:p>
        </w:tc>
        <w:tc>
          <w:tcPr>
            <w:tcW w:w="1233"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68F1E694" w14:textId="77777777" w:rsidR="008D363A" w:rsidRDefault="008D363A" w:rsidP="008D363A">
            <w:pPr>
              <w:spacing w:before="40" w:after="120" w:line="220" w:lineRule="exact"/>
              <w:rPr>
                <w:rFonts w:asciiTheme="majorBidi" w:eastAsia="DengXian" w:hAnsiTheme="majorBidi"/>
              </w:rPr>
            </w:pPr>
            <w:r>
              <w:rPr>
                <w:rFonts w:asciiTheme="majorBidi" w:eastAsia="DengXian" w:hAnsiTheme="majorBidi"/>
              </w:rPr>
              <w:t>[EC]</w:t>
            </w:r>
          </w:p>
        </w:tc>
        <w:tc>
          <w:tcPr>
            <w:tcW w:w="2028"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68F1E695" w14:textId="77777777" w:rsidR="008D363A" w:rsidRDefault="008D363A" w:rsidP="008D363A">
            <w:pPr>
              <w:spacing w:before="40" w:after="120" w:line="220" w:lineRule="exact"/>
              <w:rPr>
                <w:rFonts w:asciiTheme="majorBidi" w:eastAsia="DengXian" w:hAnsiTheme="majorBidi"/>
              </w:rPr>
            </w:pPr>
          </w:p>
        </w:tc>
      </w:tr>
    </w:tbl>
    <w:p w14:paraId="68F1E95B" w14:textId="3654464C" w:rsidR="003D114E" w:rsidRDefault="003D114E" w:rsidP="001749ED">
      <w:pPr>
        <w:spacing w:before="240"/>
        <w:rPr>
          <w:u w:val="single"/>
        </w:rPr>
      </w:pPr>
    </w:p>
    <w:sectPr w:rsidR="003D114E" w:rsidSect="001749ED">
      <w:endnotePr>
        <w:numFmt w:val="decimal"/>
      </w:endnotePr>
      <w:pgSz w:w="16840" w:h="11907" w:orient="landscape" w:code="9"/>
      <w:pgMar w:top="851" w:right="1418" w:bottom="851"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94325" w14:textId="77777777" w:rsidR="00D766BE" w:rsidRDefault="00D766BE">
      <w:pPr>
        <w:spacing w:line="240" w:lineRule="auto"/>
      </w:pPr>
      <w:r>
        <w:separator/>
      </w:r>
    </w:p>
  </w:endnote>
  <w:endnote w:type="continuationSeparator" w:id="0">
    <w:p w14:paraId="221F833F" w14:textId="77777777" w:rsidR="00D766BE" w:rsidRDefault="00D766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B4" w14:textId="5A905857" w:rsidR="002F0C23" w:rsidRDefault="002F0C23">
    <w:pPr>
      <w:pStyle w:val="Footer"/>
      <w:tabs>
        <w:tab w:val="right" w:pos="9638"/>
      </w:tabs>
      <w:rPr>
        <w:sz w:val="18"/>
      </w:rPr>
    </w:pPr>
    <w:r>
      <w:rPr>
        <w:rFonts w:hint="eastAsia"/>
      </w:rPr>
      <w:fldChar w:fldCharType="begin"/>
    </w:r>
    <w:r>
      <w:rPr>
        <w:rFonts w:hint="eastAsia"/>
      </w:rPr>
      <w:instrText xml:space="preserve">PAGE  \* MERGEFORMAT </w:instrText>
    </w:r>
    <w:r>
      <w:rPr>
        <w:rFonts w:hint="eastAsia"/>
      </w:rPr>
      <w:fldChar w:fldCharType="separate"/>
    </w:r>
    <w:r w:rsidR="000D2176" w:rsidRPr="000D2176">
      <w:rPr>
        <w:b/>
        <w:noProof/>
        <w:sz w:val="18"/>
      </w:rPr>
      <w:t>2</w:t>
    </w:r>
    <w:r>
      <w:rPr>
        <w:rFonts w:hint="eastAsia"/>
      </w:rPr>
      <w:fldChar w:fldCharType="end"/>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22BB8" w14:textId="77777777" w:rsidR="00D766BE" w:rsidRDefault="00D766BE">
      <w:pPr>
        <w:spacing w:line="240" w:lineRule="auto"/>
      </w:pPr>
      <w:r>
        <w:separator/>
      </w:r>
    </w:p>
  </w:footnote>
  <w:footnote w:type="continuationSeparator" w:id="0">
    <w:p w14:paraId="5002285D" w14:textId="77777777" w:rsidR="00D766BE" w:rsidRDefault="00D766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19C5D" w14:textId="25FD09F2" w:rsidR="00B726F7" w:rsidRDefault="00B726F7" w:rsidP="00B726F7">
    <w:pPr>
      <w:pStyle w:val="Header"/>
      <w:pBdr>
        <w:bottom w:val="single" w:sz="4"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CF2A9" w14:textId="6F5DDAFB" w:rsidR="00674E68" w:rsidRDefault="00674E68" w:rsidP="00674E68">
    <w:pPr>
      <w:pStyle w:val="Header"/>
    </w:pPr>
    <w:r>
      <w:t>Submitted by Japan</w:t>
    </w:r>
    <w:r w:rsidR="000D2176">
      <w:rPr>
        <w:rFonts w:hint="eastAsia"/>
      </w:rPr>
      <w:t xml:space="preserve"> and Korea</w:t>
    </w:r>
    <w:r>
      <w:ptab w:relativeTo="margin" w:alignment="center" w:leader="none"/>
    </w:r>
    <w:r>
      <w:ptab w:relativeTo="margin" w:alignment="right" w:leader="none"/>
    </w:r>
    <w:r>
      <w:t>Informal document GRPE-84-</w:t>
    </w:r>
    <w:r w:rsidR="006E5C09">
      <w:t>05-Rev.1</w:t>
    </w:r>
  </w:p>
  <w:p w14:paraId="6F026A29" w14:textId="77777777" w:rsidR="00674E68" w:rsidRDefault="00674E68" w:rsidP="00674E68">
    <w:pPr>
      <w:pStyle w:val="Header"/>
      <w:jc w:val="right"/>
    </w:pPr>
    <w:r>
      <w:t xml:space="preserve"> 84th GRPE, 12 November 2021</w:t>
    </w:r>
  </w:p>
  <w:p w14:paraId="7A486AB8" w14:textId="73967B3B" w:rsidR="00674E68" w:rsidRDefault="00674E68" w:rsidP="00674E68">
    <w:pPr>
      <w:pStyle w:val="Header"/>
      <w:jc w:val="right"/>
    </w:pPr>
    <w:r>
      <w:t xml:space="preserve"> Agenda item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FAA66F24"/>
    <w:lvl w:ilvl="0" w:tplc="8C4849AC">
      <w:numFmt w:val="bullet"/>
      <w:pStyle w:val="Bullet1G"/>
      <w:lvlText w:val="•"/>
      <w:lvlJc w:val="left"/>
      <w:pPr>
        <w:tabs>
          <w:tab w:val="num" w:pos="1701"/>
        </w:tabs>
        <w:ind w:left="1701" w:hanging="170"/>
      </w:pPr>
      <w:rPr>
        <w:rFonts w:ascii="Times New Roman" w:hAnsi="Times New Roman" w:hint="default"/>
        <w:b w:val="0"/>
        <w:i w:val="0"/>
        <w:sz w:val="20"/>
      </w:rPr>
    </w:lvl>
    <w:lvl w:ilvl="1" w:tplc="040C0003">
      <w:numFmt w:val="bullet"/>
      <w:lvlText w:val="o"/>
      <w:lvlJc w:val="left"/>
      <w:pPr>
        <w:tabs>
          <w:tab w:val="num" w:pos="1440"/>
        </w:tabs>
        <w:ind w:left="1440" w:hanging="360"/>
      </w:pPr>
      <w:rPr>
        <w:rFonts w:ascii="Courier New" w:hAnsi="Courier New" w:hint="default"/>
      </w:rPr>
    </w:lvl>
    <w:lvl w:ilvl="2" w:tplc="040C0005">
      <w:numFmt w:val="bullet"/>
      <w:lvlText w:val=""/>
      <w:lvlJc w:val="left"/>
      <w:pPr>
        <w:tabs>
          <w:tab w:val="num" w:pos="2160"/>
        </w:tabs>
        <w:ind w:left="2160" w:hanging="360"/>
      </w:pPr>
      <w:rPr>
        <w:rFonts w:ascii="Wingdings" w:hAnsi="Wingdings" w:hint="default"/>
      </w:rPr>
    </w:lvl>
    <w:lvl w:ilvl="3" w:tplc="040C0001">
      <w:numFmt w:val="bullet"/>
      <w:lvlText w:val=""/>
      <w:lvlJc w:val="left"/>
      <w:pPr>
        <w:tabs>
          <w:tab w:val="num" w:pos="2880"/>
        </w:tabs>
        <w:ind w:left="2880" w:hanging="360"/>
      </w:pPr>
      <w:rPr>
        <w:rFonts w:ascii="Symbol" w:hAnsi="Symbol" w:hint="default"/>
      </w:rPr>
    </w:lvl>
    <w:lvl w:ilvl="4" w:tplc="040C0003">
      <w:numFmt w:val="bullet"/>
      <w:lvlText w:val="o"/>
      <w:lvlJc w:val="left"/>
      <w:pPr>
        <w:tabs>
          <w:tab w:val="num" w:pos="3600"/>
        </w:tabs>
        <w:ind w:left="3600" w:hanging="360"/>
      </w:pPr>
      <w:rPr>
        <w:rFonts w:ascii="Courier New" w:hAnsi="Courier New" w:hint="default"/>
      </w:rPr>
    </w:lvl>
    <w:lvl w:ilvl="5" w:tplc="040C0005">
      <w:numFmt w:val="bullet"/>
      <w:lvlText w:val=""/>
      <w:lvlJc w:val="left"/>
      <w:pPr>
        <w:tabs>
          <w:tab w:val="num" w:pos="4320"/>
        </w:tabs>
        <w:ind w:left="4320" w:hanging="360"/>
      </w:pPr>
      <w:rPr>
        <w:rFonts w:ascii="Wingdings" w:hAnsi="Wingdings" w:hint="default"/>
      </w:rPr>
    </w:lvl>
    <w:lvl w:ilvl="6" w:tplc="040C0001">
      <w:numFmt w:val="bullet"/>
      <w:lvlText w:val=""/>
      <w:lvlJc w:val="left"/>
      <w:pPr>
        <w:tabs>
          <w:tab w:val="num" w:pos="5040"/>
        </w:tabs>
        <w:ind w:left="5040" w:hanging="360"/>
      </w:pPr>
      <w:rPr>
        <w:rFonts w:ascii="Symbol" w:hAnsi="Symbol" w:hint="default"/>
      </w:rPr>
    </w:lvl>
    <w:lvl w:ilvl="7" w:tplc="040C0003">
      <w:numFmt w:val="bullet"/>
      <w:lvlText w:val="o"/>
      <w:lvlJc w:val="left"/>
      <w:pPr>
        <w:tabs>
          <w:tab w:val="num" w:pos="5760"/>
        </w:tabs>
        <w:ind w:left="5760" w:hanging="360"/>
      </w:pPr>
      <w:rPr>
        <w:rFonts w:ascii="Courier New" w:hAnsi="Courier New" w:hint="default"/>
      </w:rPr>
    </w:lvl>
    <w:lvl w:ilvl="8" w:tplc="040C0005">
      <w:numFmt w:val="bullet"/>
      <w:lvlText w:val=""/>
      <w:lvlJc w:val="left"/>
      <w:pPr>
        <w:tabs>
          <w:tab w:val="num" w:pos="6480"/>
        </w:tabs>
        <w:ind w:left="6480" w:hanging="360"/>
      </w:pPr>
      <w:rPr>
        <w:rFonts w:ascii="Wingdings" w:hAnsi="Wingdings" w:hint="default"/>
      </w:rPr>
    </w:lvl>
  </w:abstractNum>
  <w:abstractNum w:abstractNumId="1" w15:restartNumberingAfterBreak="0">
    <w:nsid w:val="00000002"/>
    <w:multiLevelType w:val="hybridMultilevel"/>
    <w:tmpl w:val="5B7ACB42"/>
    <w:lvl w:ilvl="0" w:tplc="3A60C988">
      <w:numFmt w:val="bullet"/>
      <w:pStyle w:val="Bullet2G"/>
      <w:lvlText w:val="•"/>
      <w:lvlJc w:val="left"/>
      <w:pPr>
        <w:tabs>
          <w:tab w:val="num" w:pos="2268"/>
        </w:tabs>
        <w:ind w:left="2268" w:hanging="170"/>
      </w:pPr>
      <w:rPr>
        <w:rFonts w:ascii="Times New Roman" w:hAnsi="Times New Roman" w:hint="default"/>
      </w:rPr>
    </w:lvl>
    <w:lvl w:ilvl="1" w:tplc="040C0003">
      <w:numFmt w:val="bullet"/>
      <w:lvlText w:val="o"/>
      <w:lvlJc w:val="left"/>
      <w:pPr>
        <w:tabs>
          <w:tab w:val="num" w:pos="1440"/>
        </w:tabs>
        <w:ind w:left="1440" w:hanging="360"/>
      </w:pPr>
      <w:rPr>
        <w:rFonts w:ascii="Courier New" w:hAnsi="Courier New" w:hint="default"/>
      </w:rPr>
    </w:lvl>
    <w:lvl w:ilvl="2" w:tplc="040C0005">
      <w:numFmt w:val="bullet"/>
      <w:lvlText w:val=""/>
      <w:lvlJc w:val="left"/>
      <w:pPr>
        <w:tabs>
          <w:tab w:val="num" w:pos="2160"/>
        </w:tabs>
        <w:ind w:left="2160" w:hanging="360"/>
      </w:pPr>
      <w:rPr>
        <w:rFonts w:ascii="Wingdings" w:hAnsi="Wingdings" w:hint="default"/>
      </w:rPr>
    </w:lvl>
    <w:lvl w:ilvl="3" w:tplc="040C0001">
      <w:numFmt w:val="bullet"/>
      <w:lvlText w:val=""/>
      <w:lvlJc w:val="left"/>
      <w:pPr>
        <w:tabs>
          <w:tab w:val="num" w:pos="2880"/>
        </w:tabs>
        <w:ind w:left="2880" w:hanging="360"/>
      </w:pPr>
      <w:rPr>
        <w:rFonts w:ascii="Symbol" w:hAnsi="Symbol" w:hint="default"/>
      </w:rPr>
    </w:lvl>
    <w:lvl w:ilvl="4" w:tplc="040C0003">
      <w:numFmt w:val="bullet"/>
      <w:lvlText w:val="o"/>
      <w:lvlJc w:val="left"/>
      <w:pPr>
        <w:tabs>
          <w:tab w:val="num" w:pos="3600"/>
        </w:tabs>
        <w:ind w:left="3600" w:hanging="360"/>
      </w:pPr>
      <w:rPr>
        <w:rFonts w:ascii="Courier New" w:hAnsi="Courier New" w:hint="default"/>
      </w:rPr>
    </w:lvl>
    <w:lvl w:ilvl="5" w:tplc="040C0005">
      <w:numFmt w:val="bullet"/>
      <w:lvlText w:val=""/>
      <w:lvlJc w:val="left"/>
      <w:pPr>
        <w:tabs>
          <w:tab w:val="num" w:pos="4320"/>
        </w:tabs>
        <w:ind w:left="4320" w:hanging="360"/>
      </w:pPr>
      <w:rPr>
        <w:rFonts w:ascii="Wingdings" w:hAnsi="Wingdings" w:hint="default"/>
      </w:rPr>
    </w:lvl>
    <w:lvl w:ilvl="6" w:tplc="040C0001">
      <w:numFmt w:val="bullet"/>
      <w:lvlText w:val=""/>
      <w:lvlJc w:val="left"/>
      <w:pPr>
        <w:tabs>
          <w:tab w:val="num" w:pos="5040"/>
        </w:tabs>
        <w:ind w:left="5040" w:hanging="360"/>
      </w:pPr>
      <w:rPr>
        <w:rFonts w:ascii="Symbol" w:hAnsi="Symbol" w:hint="default"/>
      </w:rPr>
    </w:lvl>
    <w:lvl w:ilvl="7" w:tplc="040C0003">
      <w:numFmt w:val="bullet"/>
      <w:lvlText w:val="o"/>
      <w:lvlJc w:val="left"/>
      <w:pPr>
        <w:tabs>
          <w:tab w:val="num" w:pos="5760"/>
        </w:tabs>
        <w:ind w:left="5760" w:hanging="360"/>
      </w:pPr>
      <w:rPr>
        <w:rFonts w:ascii="Courier New" w:hAnsi="Courier New" w:hint="default"/>
      </w:rPr>
    </w:lvl>
    <w:lvl w:ilvl="8" w:tplc="040C0005">
      <w:numFmt w:val="bullet"/>
      <w:lvlText w:val=""/>
      <w:lvlJc w:val="left"/>
      <w:pPr>
        <w:tabs>
          <w:tab w:val="num" w:pos="6480"/>
        </w:tabs>
        <w:ind w:left="6480" w:hanging="360"/>
      </w:pPr>
      <w:rPr>
        <w:rFonts w:ascii="Wingdings" w:hAnsi="Wingdings" w:hint="default"/>
      </w:rPr>
    </w:lvl>
  </w:abstractNum>
  <w:abstractNum w:abstractNumId="2" w15:restartNumberingAfterBreak="0">
    <w:nsid w:val="00000003"/>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 w15:restartNumberingAfterBreak="0">
    <w:nsid w:val="00000004"/>
    <w:multiLevelType w:val="multilevel"/>
    <w:tmpl w:val="A1328ED2"/>
    <w:lvl w:ilvl="0">
      <w:start w:val="1"/>
      <w:numFmt w:val="decimal"/>
      <w:lvlText w:val="%1."/>
      <w:lvlJc w:val="left"/>
      <w:pPr>
        <w:ind w:left="360" w:hanging="360"/>
      </w:pPr>
      <w:rPr>
        <w:rFonts w:hint="default"/>
      </w:rPr>
    </w:lvl>
    <w:lvl w:ilvl="1">
      <w:numFmt w:val="decimal"/>
      <w:lvlText w:val="%1.%2."/>
      <w:lvlJc w:val="left"/>
      <w:pPr>
        <w:ind w:left="2700" w:hanging="360"/>
      </w:pPr>
      <w:rPr>
        <w:rFonts w:hint="default"/>
        <w:b/>
      </w:rPr>
    </w:lvl>
    <w:lvl w:ilvl="2">
      <w:start w:val="1"/>
      <w:numFmt w:val="decimal"/>
      <w:lvlText w:val="%1.%2.%3."/>
      <w:lvlJc w:val="left"/>
      <w:pPr>
        <w:ind w:left="4770" w:hanging="720"/>
      </w:pPr>
      <w:rPr>
        <w:rFonts w:hint="default"/>
        <w:b w:val="0"/>
        <w:i w:val="0"/>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0000005"/>
    <w:multiLevelType w:val="hybridMultilevel"/>
    <w:tmpl w:val="BBDECECC"/>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461C17C2"/>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FE0256BA"/>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9D986EA2"/>
    <w:lvl w:ilvl="0" w:tplc="040C0005">
      <w:numFmt w:val="bullet"/>
      <w:lvlText w:val=""/>
      <w:lvlJc w:val="left"/>
      <w:pPr>
        <w:ind w:left="720" w:hanging="360"/>
      </w:pPr>
      <w:rPr>
        <w:rFonts w:ascii="Wingdings" w:hAnsi="Wingdings"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2898D0DC"/>
    <w:lvl w:ilvl="0" w:tplc="89F88322">
      <w:numFmt w:val="bullet"/>
      <w:lvlText w:val="-"/>
      <w:lvlJc w:val="left"/>
      <w:pPr>
        <w:ind w:left="511" w:hanging="360"/>
      </w:pPr>
      <w:rPr>
        <w:rFonts w:ascii="Times New Roman" w:eastAsia="Times New Roman" w:hAnsi="Times New Roman" w:hint="default"/>
      </w:rPr>
    </w:lvl>
    <w:lvl w:ilvl="1" w:tplc="08090003">
      <w:numFmt w:val="bullet"/>
      <w:lvlText w:val="o"/>
      <w:lvlJc w:val="left"/>
      <w:pPr>
        <w:ind w:left="1231" w:hanging="360"/>
      </w:pPr>
      <w:rPr>
        <w:rFonts w:ascii="Courier New" w:hAnsi="Courier New" w:hint="default"/>
      </w:rPr>
    </w:lvl>
    <w:lvl w:ilvl="2" w:tplc="08090005">
      <w:numFmt w:val="bullet"/>
      <w:lvlText w:val=""/>
      <w:lvlJc w:val="left"/>
      <w:pPr>
        <w:ind w:left="1951" w:hanging="360"/>
      </w:pPr>
      <w:rPr>
        <w:rFonts w:ascii="Wingdings" w:hAnsi="Wingdings" w:hint="default"/>
      </w:rPr>
    </w:lvl>
    <w:lvl w:ilvl="3" w:tplc="08090001">
      <w:numFmt w:val="bullet"/>
      <w:lvlText w:val=""/>
      <w:lvlJc w:val="left"/>
      <w:pPr>
        <w:ind w:left="2671" w:hanging="360"/>
      </w:pPr>
      <w:rPr>
        <w:rFonts w:ascii="Symbol" w:hAnsi="Symbol" w:hint="default"/>
      </w:rPr>
    </w:lvl>
    <w:lvl w:ilvl="4" w:tplc="08090003">
      <w:numFmt w:val="bullet"/>
      <w:lvlText w:val="o"/>
      <w:lvlJc w:val="left"/>
      <w:pPr>
        <w:ind w:left="3391" w:hanging="360"/>
      </w:pPr>
      <w:rPr>
        <w:rFonts w:ascii="Courier New" w:hAnsi="Courier New" w:hint="default"/>
      </w:rPr>
    </w:lvl>
    <w:lvl w:ilvl="5" w:tplc="08090005">
      <w:numFmt w:val="bullet"/>
      <w:lvlText w:val=""/>
      <w:lvlJc w:val="left"/>
      <w:pPr>
        <w:ind w:left="4111" w:hanging="360"/>
      </w:pPr>
      <w:rPr>
        <w:rFonts w:ascii="Wingdings" w:hAnsi="Wingdings" w:hint="default"/>
      </w:rPr>
    </w:lvl>
    <w:lvl w:ilvl="6" w:tplc="08090001">
      <w:numFmt w:val="bullet"/>
      <w:lvlText w:val=""/>
      <w:lvlJc w:val="left"/>
      <w:pPr>
        <w:ind w:left="4831" w:hanging="360"/>
      </w:pPr>
      <w:rPr>
        <w:rFonts w:ascii="Symbol" w:hAnsi="Symbol" w:hint="default"/>
      </w:rPr>
    </w:lvl>
    <w:lvl w:ilvl="7" w:tplc="08090003">
      <w:numFmt w:val="bullet"/>
      <w:lvlText w:val="o"/>
      <w:lvlJc w:val="left"/>
      <w:pPr>
        <w:ind w:left="5551" w:hanging="360"/>
      </w:pPr>
      <w:rPr>
        <w:rFonts w:ascii="Courier New" w:hAnsi="Courier New" w:hint="default"/>
      </w:rPr>
    </w:lvl>
    <w:lvl w:ilvl="8" w:tplc="08090005">
      <w:numFmt w:val="bullet"/>
      <w:lvlText w:val=""/>
      <w:lvlJc w:val="left"/>
      <w:pPr>
        <w:ind w:left="6271" w:hanging="360"/>
      </w:pPr>
      <w:rPr>
        <w:rFonts w:ascii="Wingdings" w:hAnsi="Wingdings" w:hint="default"/>
      </w:rPr>
    </w:lvl>
  </w:abstractNum>
  <w:abstractNum w:abstractNumId="9" w15:restartNumberingAfterBreak="0">
    <w:nsid w:val="0000000A"/>
    <w:multiLevelType w:val="multilevel"/>
    <w:tmpl w:val="239C6046"/>
    <w:lvl w:ilvl="0">
      <w:start w:val="2"/>
      <w:numFmt w:val="decimal"/>
      <w:lvlText w:val="%1."/>
      <w:lvlJc w:val="left"/>
      <w:pPr>
        <w:ind w:left="360" w:hanging="360"/>
      </w:pPr>
    </w:lvl>
    <w:lvl w:ilvl="1">
      <w:start w:val="1"/>
      <w:numFmt w:val="decimal"/>
      <w:lvlText w:val="%1.%2."/>
      <w:lvlJc w:val="left"/>
      <w:pPr>
        <w:ind w:left="360" w:hanging="360"/>
      </w:pPr>
      <w:rPr>
        <w:b/>
        <w:sz w:val="2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0000000B"/>
    <w:multiLevelType w:val="hybridMultilevel"/>
    <w:tmpl w:val="46BABED4"/>
    <w:lvl w:ilvl="0" w:tplc="834EAB18">
      <w:numFmt w:val="bullet"/>
      <w:lvlText w:val="-"/>
      <w:lvlJc w:val="left"/>
      <w:pPr>
        <w:ind w:left="417" w:hanging="360"/>
      </w:pPr>
      <w:rPr>
        <w:rFonts w:ascii="Times New Roman" w:eastAsia="Times New Roman" w:hAnsi="Times New Roman" w:hint="default"/>
      </w:rPr>
    </w:lvl>
    <w:lvl w:ilvl="1" w:tplc="08090003">
      <w:numFmt w:val="bullet"/>
      <w:lvlText w:val="o"/>
      <w:lvlJc w:val="left"/>
      <w:pPr>
        <w:ind w:left="1137" w:hanging="360"/>
      </w:pPr>
      <w:rPr>
        <w:rFonts w:ascii="Courier New" w:hAnsi="Courier New" w:hint="default"/>
      </w:rPr>
    </w:lvl>
    <w:lvl w:ilvl="2" w:tplc="08090005">
      <w:numFmt w:val="bullet"/>
      <w:lvlText w:val=""/>
      <w:lvlJc w:val="left"/>
      <w:pPr>
        <w:ind w:left="1857" w:hanging="360"/>
      </w:pPr>
      <w:rPr>
        <w:rFonts w:ascii="Wingdings" w:hAnsi="Wingdings" w:hint="default"/>
      </w:rPr>
    </w:lvl>
    <w:lvl w:ilvl="3" w:tplc="08090001">
      <w:numFmt w:val="bullet"/>
      <w:lvlText w:val=""/>
      <w:lvlJc w:val="left"/>
      <w:pPr>
        <w:ind w:left="2577" w:hanging="360"/>
      </w:pPr>
      <w:rPr>
        <w:rFonts w:ascii="Symbol" w:hAnsi="Symbol" w:hint="default"/>
      </w:rPr>
    </w:lvl>
    <w:lvl w:ilvl="4" w:tplc="08090003">
      <w:numFmt w:val="bullet"/>
      <w:lvlText w:val="o"/>
      <w:lvlJc w:val="left"/>
      <w:pPr>
        <w:ind w:left="3297" w:hanging="360"/>
      </w:pPr>
      <w:rPr>
        <w:rFonts w:ascii="Courier New" w:hAnsi="Courier New" w:hint="default"/>
      </w:rPr>
    </w:lvl>
    <w:lvl w:ilvl="5" w:tplc="08090005">
      <w:numFmt w:val="bullet"/>
      <w:lvlText w:val=""/>
      <w:lvlJc w:val="left"/>
      <w:pPr>
        <w:ind w:left="4017" w:hanging="360"/>
      </w:pPr>
      <w:rPr>
        <w:rFonts w:ascii="Wingdings" w:hAnsi="Wingdings" w:hint="default"/>
      </w:rPr>
    </w:lvl>
    <w:lvl w:ilvl="6" w:tplc="08090001">
      <w:numFmt w:val="bullet"/>
      <w:lvlText w:val=""/>
      <w:lvlJc w:val="left"/>
      <w:pPr>
        <w:ind w:left="4737" w:hanging="360"/>
      </w:pPr>
      <w:rPr>
        <w:rFonts w:ascii="Symbol" w:hAnsi="Symbol" w:hint="default"/>
      </w:rPr>
    </w:lvl>
    <w:lvl w:ilvl="7" w:tplc="08090003">
      <w:numFmt w:val="bullet"/>
      <w:lvlText w:val="o"/>
      <w:lvlJc w:val="left"/>
      <w:pPr>
        <w:ind w:left="5457" w:hanging="360"/>
      </w:pPr>
      <w:rPr>
        <w:rFonts w:ascii="Courier New" w:hAnsi="Courier New" w:hint="default"/>
      </w:rPr>
    </w:lvl>
    <w:lvl w:ilvl="8" w:tplc="08090005">
      <w:numFmt w:val="bullet"/>
      <w:lvlText w:val=""/>
      <w:lvlJc w:val="left"/>
      <w:pPr>
        <w:ind w:left="6177" w:hanging="360"/>
      </w:pPr>
      <w:rPr>
        <w:rFonts w:ascii="Wingdings" w:hAnsi="Wingdings" w:hint="default"/>
      </w:rPr>
    </w:lvl>
  </w:abstractNum>
  <w:abstractNum w:abstractNumId="11" w15:restartNumberingAfterBreak="0">
    <w:nsid w:val="0000000C"/>
    <w:multiLevelType w:val="hybridMultilevel"/>
    <w:tmpl w:val="5BB84026"/>
    <w:lvl w:ilvl="0" w:tplc="08090001">
      <w:numFmt w:val="bullet"/>
      <w:lvlText w:val=""/>
      <w:lvlJc w:val="left"/>
      <w:pPr>
        <w:ind w:left="777" w:hanging="360"/>
      </w:pPr>
      <w:rPr>
        <w:rFonts w:ascii="Symbol" w:hAnsi="Symbol" w:hint="default"/>
      </w:rPr>
    </w:lvl>
    <w:lvl w:ilvl="1" w:tplc="08090003">
      <w:numFmt w:val="bullet"/>
      <w:lvlText w:val="o"/>
      <w:lvlJc w:val="left"/>
      <w:pPr>
        <w:ind w:left="1497" w:hanging="360"/>
      </w:pPr>
      <w:rPr>
        <w:rFonts w:ascii="Courier New" w:hAnsi="Courier New" w:hint="default"/>
      </w:rPr>
    </w:lvl>
    <w:lvl w:ilvl="2" w:tplc="08090005">
      <w:numFmt w:val="bullet"/>
      <w:lvlText w:val=""/>
      <w:lvlJc w:val="left"/>
      <w:pPr>
        <w:ind w:left="2217" w:hanging="360"/>
      </w:pPr>
      <w:rPr>
        <w:rFonts w:ascii="Wingdings" w:hAnsi="Wingdings" w:hint="default"/>
      </w:rPr>
    </w:lvl>
    <w:lvl w:ilvl="3" w:tplc="08090001">
      <w:numFmt w:val="bullet"/>
      <w:lvlText w:val=""/>
      <w:lvlJc w:val="left"/>
      <w:pPr>
        <w:ind w:left="2937" w:hanging="360"/>
      </w:pPr>
      <w:rPr>
        <w:rFonts w:ascii="Symbol" w:hAnsi="Symbol" w:hint="default"/>
      </w:rPr>
    </w:lvl>
    <w:lvl w:ilvl="4" w:tplc="08090003">
      <w:numFmt w:val="bullet"/>
      <w:lvlText w:val="o"/>
      <w:lvlJc w:val="left"/>
      <w:pPr>
        <w:ind w:left="3657" w:hanging="360"/>
      </w:pPr>
      <w:rPr>
        <w:rFonts w:ascii="Courier New" w:hAnsi="Courier New" w:hint="default"/>
      </w:rPr>
    </w:lvl>
    <w:lvl w:ilvl="5" w:tplc="08090005">
      <w:numFmt w:val="bullet"/>
      <w:lvlText w:val=""/>
      <w:lvlJc w:val="left"/>
      <w:pPr>
        <w:ind w:left="4377" w:hanging="360"/>
      </w:pPr>
      <w:rPr>
        <w:rFonts w:ascii="Wingdings" w:hAnsi="Wingdings" w:hint="default"/>
      </w:rPr>
    </w:lvl>
    <w:lvl w:ilvl="6" w:tplc="08090001">
      <w:numFmt w:val="bullet"/>
      <w:lvlText w:val=""/>
      <w:lvlJc w:val="left"/>
      <w:pPr>
        <w:ind w:left="5097" w:hanging="360"/>
      </w:pPr>
      <w:rPr>
        <w:rFonts w:ascii="Symbol" w:hAnsi="Symbol" w:hint="default"/>
      </w:rPr>
    </w:lvl>
    <w:lvl w:ilvl="7" w:tplc="08090003">
      <w:numFmt w:val="bullet"/>
      <w:lvlText w:val="o"/>
      <w:lvlJc w:val="left"/>
      <w:pPr>
        <w:ind w:left="5817" w:hanging="360"/>
      </w:pPr>
      <w:rPr>
        <w:rFonts w:ascii="Courier New" w:hAnsi="Courier New" w:hint="default"/>
      </w:rPr>
    </w:lvl>
    <w:lvl w:ilvl="8" w:tplc="08090005">
      <w:numFmt w:val="bullet"/>
      <w:lvlText w:val=""/>
      <w:lvlJc w:val="left"/>
      <w:pPr>
        <w:ind w:left="653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v:textbox inset="5.85pt,.7pt,5.85pt,.7pt"/>
    </o:shapedefaults>
  </w:hdrShapeDefaults>
  <w:footnotePr>
    <w:footnote w:id="-1"/>
    <w:footnote w:id="0"/>
  </w:footnotePr>
  <w:endnotePr>
    <w:numFmt w:val="decimal"/>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14E"/>
    <w:rsid w:val="00011A68"/>
    <w:rsid w:val="00092C26"/>
    <w:rsid w:val="000D2176"/>
    <w:rsid w:val="000E506E"/>
    <w:rsid w:val="000F3E8A"/>
    <w:rsid w:val="000F5E5D"/>
    <w:rsid w:val="00104CC4"/>
    <w:rsid w:val="001077A3"/>
    <w:rsid w:val="00134615"/>
    <w:rsid w:val="00141E75"/>
    <w:rsid w:val="00150850"/>
    <w:rsid w:val="001624FF"/>
    <w:rsid w:val="001749ED"/>
    <w:rsid w:val="001B375B"/>
    <w:rsid w:val="001D3398"/>
    <w:rsid w:val="001F6BBC"/>
    <w:rsid w:val="00206F54"/>
    <w:rsid w:val="00226786"/>
    <w:rsid w:val="00237436"/>
    <w:rsid w:val="00265F85"/>
    <w:rsid w:val="002D07E1"/>
    <w:rsid w:val="002E17F5"/>
    <w:rsid w:val="002F0C23"/>
    <w:rsid w:val="002F304C"/>
    <w:rsid w:val="003164E3"/>
    <w:rsid w:val="00317AD0"/>
    <w:rsid w:val="00330AFC"/>
    <w:rsid w:val="00343CF2"/>
    <w:rsid w:val="00345F51"/>
    <w:rsid w:val="00352427"/>
    <w:rsid w:val="00364115"/>
    <w:rsid w:val="00364C4C"/>
    <w:rsid w:val="003959A6"/>
    <w:rsid w:val="003A019C"/>
    <w:rsid w:val="003A43E8"/>
    <w:rsid w:val="003B3936"/>
    <w:rsid w:val="003B3DB7"/>
    <w:rsid w:val="003C6BED"/>
    <w:rsid w:val="003D114E"/>
    <w:rsid w:val="003D6546"/>
    <w:rsid w:val="00411B8A"/>
    <w:rsid w:val="00414832"/>
    <w:rsid w:val="00425E9A"/>
    <w:rsid w:val="004263A2"/>
    <w:rsid w:val="00461793"/>
    <w:rsid w:val="00465456"/>
    <w:rsid w:val="004B255A"/>
    <w:rsid w:val="004D3BEF"/>
    <w:rsid w:val="004E26D9"/>
    <w:rsid w:val="004E2D33"/>
    <w:rsid w:val="005129FA"/>
    <w:rsid w:val="00516A06"/>
    <w:rsid w:val="00550A4F"/>
    <w:rsid w:val="00551793"/>
    <w:rsid w:val="00560F4B"/>
    <w:rsid w:val="005964BC"/>
    <w:rsid w:val="005A5E09"/>
    <w:rsid w:val="005A7F59"/>
    <w:rsid w:val="005C376A"/>
    <w:rsid w:val="005C6774"/>
    <w:rsid w:val="005D2CB3"/>
    <w:rsid w:val="005D4A06"/>
    <w:rsid w:val="005E119D"/>
    <w:rsid w:val="00600E6D"/>
    <w:rsid w:val="006171CB"/>
    <w:rsid w:val="0062283F"/>
    <w:rsid w:val="00655B08"/>
    <w:rsid w:val="0066284A"/>
    <w:rsid w:val="00665D84"/>
    <w:rsid w:val="00674E68"/>
    <w:rsid w:val="006A0EE3"/>
    <w:rsid w:val="006B18E5"/>
    <w:rsid w:val="006D2652"/>
    <w:rsid w:val="006E5C09"/>
    <w:rsid w:val="0071260F"/>
    <w:rsid w:val="007355A2"/>
    <w:rsid w:val="007421D7"/>
    <w:rsid w:val="00746392"/>
    <w:rsid w:val="00757813"/>
    <w:rsid w:val="007912CA"/>
    <w:rsid w:val="007A2C44"/>
    <w:rsid w:val="007B06A5"/>
    <w:rsid w:val="007E55F6"/>
    <w:rsid w:val="007E6EC4"/>
    <w:rsid w:val="007F4315"/>
    <w:rsid w:val="008019A2"/>
    <w:rsid w:val="00816897"/>
    <w:rsid w:val="00823B92"/>
    <w:rsid w:val="0084506F"/>
    <w:rsid w:val="008508BE"/>
    <w:rsid w:val="00861FE1"/>
    <w:rsid w:val="0087010F"/>
    <w:rsid w:val="0088785B"/>
    <w:rsid w:val="00894F7B"/>
    <w:rsid w:val="008D363A"/>
    <w:rsid w:val="008E7ADF"/>
    <w:rsid w:val="008F453B"/>
    <w:rsid w:val="00926CA6"/>
    <w:rsid w:val="00950900"/>
    <w:rsid w:val="00961C97"/>
    <w:rsid w:val="00980170"/>
    <w:rsid w:val="00983D2B"/>
    <w:rsid w:val="009A26D2"/>
    <w:rsid w:val="009B1AD6"/>
    <w:rsid w:val="009B2395"/>
    <w:rsid w:val="009C21CD"/>
    <w:rsid w:val="009C7E0E"/>
    <w:rsid w:val="009D3FB8"/>
    <w:rsid w:val="009D6B8F"/>
    <w:rsid w:val="009E26F8"/>
    <w:rsid w:val="009F4D44"/>
    <w:rsid w:val="00A24FE2"/>
    <w:rsid w:val="00A4419D"/>
    <w:rsid w:val="00A6309C"/>
    <w:rsid w:val="00AD22A0"/>
    <w:rsid w:val="00AF5920"/>
    <w:rsid w:val="00B13936"/>
    <w:rsid w:val="00B17C91"/>
    <w:rsid w:val="00B37FEC"/>
    <w:rsid w:val="00B44889"/>
    <w:rsid w:val="00B5294E"/>
    <w:rsid w:val="00B726F7"/>
    <w:rsid w:val="00BE162C"/>
    <w:rsid w:val="00C10D90"/>
    <w:rsid w:val="00C25B80"/>
    <w:rsid w:val="00C52690"/>
    <w:rsid w:val="00C67923"/>
    <w:rsid w:val="00C728B1"/>
    <w:rsid w:val="00C913E7"/>
    <w:rsid w:val="00CB6F16"/>
    <w:rsid w:val="00CC4AE1"/>
    <w:rsid w:val="00CD326E"/>
    <w:rsid w:val="00CE5BDA"/>
    <w:rsid w:val="00CF60D8"/>
    <w:rsid w:val="00D02D4D"/>
    <w:rsid w:val="00D30871"/>
    <w:rsid w:val="00D32965"/>
    <w:rsid w:val="00D553CE"/>
    <w:rsid w:val="00D666E8"/>
    <w:rsid w:val="00D71F50"/>
    <w:rsid w:val="00D74D85"/>
    <w:rsid w:val="00D766BE"/>
    <w:rsid w:val="00D76A32"/>
    <w:rsid w:val="00D81594"/>
    <w:rsid w:val="00DA1B4B"/>
    <w:rsid w:val="00DD47CC"/>
    <w:rsid w:val="00E02401"/>
    <w:rsid w:val="00E13333"/>
    <w:rsid w:val="00E15FBE"/>
    <w:rsid w:val="00E21491"/>
    <w:rsid w:val="00E32F8E"/>
    <w:rsid w:val="00E41A2E"/>
    <w:rsid w:val="00E97AA7"/>
    <w:rsid w:val="00EE1881"/>
    <w:rsid w:val="00F13A83"/>
    <w:rsid w:val="00F160F8"/>
    <w:rsid w:val="00F25677"/>
    <w:rsid w:val="00F53290"/>
    <w:rsid w:val="00F65283"/>
    <w:rsid w:val="00F83317"/>
    <w:rsid w:val="00F94352"/>
    <w:rsid w:val="00F94616"/>
    <w:rsid w:val="00F961A3"/>
    <w:rsid w:val="00FA4865"/>
    <w:rsid w:val="00FD4874"/>
    <w:rsid w:val="00FD6424"/>
    <w:rsid w:val="00FF18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F1E3D3"/>
  <w15:chartTrackingRefBased/>
  <w15:docId w15:val="{06919EE4-C8D7-4557-A539-68813703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62C"/>
    <w:pPr>
      <w:suppressAutoHyphens/>
      <w:spacing w:line="240" w:lineRule="atLeast"/>
    </w:pPr>
    <w:rPr>
      <w:sz w:val="22"/>
    </w:rPr>
  </w:style>
  <w:style w:type="paragraph" w:styleId="Heading1">
    <w:name w:val="heading 1"/>
    <w:basedOn w:val="SingleTxtG"/>
    <w:next w:val="SingleTxtG"/>
    <w:link w:val="Heading1Char"/>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PageNumber">
    <w:name w:val="page number"/>
    <w:basedOn w:val="DefaultParagraphFont"/>
    <w:qFormat/>
    <w:rPr>
      <w:rFonts w:ascii="Times New Roman" w:hAnsi="Times New Roman"/>
      <w:b/>
      <w:sz w:val="18"/>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basedOn w:val="FootnoteReference"/>
    <w:semiHidden/>
    <w:qFormat/>
    <w:rPr>
      <w:rFonts w:ascii="Times New Roman" w:hAnsi="Times New Roman"/>
      <w:sz w:val="18"/>
      <w:vertAlign w:val="superscript"/>
    </w:rPr>
  </w:style>
  <w:style w:type="character" w:styleId="FootnoteReference">
    <w:name w:val="footnote reference"/>
    <w:basedOn w:val="DefaultParagraphFont"/>
    <w:semiHidden/>
    <w:qFormat/>
    <w:rPr>
      <w:rFonts w:ascii="Times New Roman" w:hAnsi="Times New Roman"/>
      <w:sz w:val="18"/>
      <w:vertAlign w:val="superscript"/>
    </w:rPr>
  </w:style>
  <w:style w:type="paragraph" w:styleId="FootnoteText">
    <w:name w:val="footnote text"/>
    <w:basedOn w:val="Normal"/>
    <w:link w:val="FootnoteTextChar"/>
    <w:semiHidden/>
    <w:qFormat/>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1"/>
      </w:numPr>
      <w:spacing w:after="120"/>
      <w:ind w:right="1134"/>
      <w:jc w:val="both"/>
    </w:pPr>
  </w:style>
  <w:style w:type="paragraph" w:styleId="EndnoteText">
    <w:name w:val="endnote text"/>
    <w:basedOn w:val="FootnoteText"/>
    <w:semiHidden/>
    <w:qFormat/>
  </w:style>
  <w:style w:type="paragraph" w:customStyle="1" w:styleId="Bullet2G">
    <w:name w:val="_Bullet 2_G"/>
    <w:basedOn w:val="Normal"/>
    <w:qFormat/>
    <w:pPr>
      <w:numPr>
        <w:numId w:val="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pPr>
  </w:style>
  <w:style w:type="character" w:styleId="Hyperlink">
    <w:name w:val="Hyperlink"/>
    <w:basedOn w:val="DefaultParagraphFont"/>
    <w:rPr>
      <w:color w:val="0000FF"/>
      <w:u w:val="none"/>
    </w:rPr>
  </w:style>
  <w:style w:type="paragraph" w:styleId="Footer">
    <w:name w:val="footer"/>
    <w:basedOn w:val="Normal"/>
    <w:qFormat/>
    <w:pPr>
      <w:spacing w:line="240" w:lineRule="auto"/>
    </w:pPr>
    <w:rPr>
      <w:sz w:val="16"/>
    </w:rPr>
  </w:style>
  <w:style w:type="paragraph" w:styleId="Header">
    <w:name w:val="header"/>
    <w:basedOn w:val="Normal"/>
    <w:qFormat/>
    <w:pPr>
      <w:pBdr>
        <w:bottom w:val="single" w:sz="4" w:space="4" w:color="auto"/>
      </w:pBdr>
      <w:spacing w:line="240" w:lineRule="auto"/>
    </w:pPr>
    <w:rPr>
      <w:b/>
      <w:sz w:val="18"/>
    </w:rPr>
  </w:style>
  <w:style w:type="character" w:styleId="FollowedHyperlink">
    <w:name w:val="FollowedHyperlink"/>
    <w:basedOn w:val="DefaultParagraphFont"/>
    <w:rPr>
      <w:color w:val="0000FF"/>
      <w:u w:val="none"/>
    </w:rPr>
  </w:style>
  <w:style w:type="paragraph" w:styleId="BalloonText">
    <w:name w:val="Balloon Text"/>
    <w:basedOn w:val="Normal"/>
    <w:link w:val="BalloonTextChar"/>
    <w:semiHidden/>
    <w:pPr>
      <w:spacing w:line="240" w:lineRule="auto"/>
    </w:pPr>
    <w:rPr>
      <w:rFonts w:ascii="Tahoma" w:hAnsi="Tahoma"/>
      <w:sz w:val="16"/>
    </w:rPr>
  </w:style>
  <w:style w:type="character" w:customStyle="1" w:styleId="BalloonTextChar">
    <w:name w:val="Balloon Text Char"/>
    <w:basedOn w:val="DefaultParagraphFont"/>
    <w:link w:val="BalloonText"/>
    <w:rPr>
      <w:rFonts w:ascii="Tahoma" w:hAnsi="Tahoma"/>
      <w:sz w:val="16"/>
    </w:rPr>
  </w:style>
  <w:style w:type="paragraph" w:customStyle="1" w:styleId="ParNoG">
    <w:name w:val="_ParNo_G"/>
    <w:basedOn w:val="SingleTxtG"/>
    <w:qFormat/>
    <w:pPr>
      <w:numPr>
        <w:numId w:val="3"/>
      </w:numPr>
      <w:suppressAutoHyphens w:val="0"/>
    </w:pPr>
  </w:style>
  <w:style w:type="character" w:customStyle="1" w:styleId="FootnoteTextChar">
    <w:name w:val="Footnote Text Char"/>
    <w:link w:val="FootnoteText"/>
    <w:rPr>
      <w:sz w:val="18"/>
    </w:rPr>
  </w:style>
  <w:style w:type="character" w:customStyle="1" w:styleId="H1GChar">
    <w:name w:val="_ H_1_G Char"/>
    <w:link w:val="H1G"/>
    <w:rPr>
      <w:b/>
      <w:sz w:val="24"/>
    </w:rPr>
  </w:style>
  <w:style w:type="character" w:styleId="Strong">
    <w:name w:val="Strong"/>
    <w:basedOn w:val="DefaultParagraphFont"/>
    <w:uiPriority w:val="22"/>
    <w:qFormat/>
    <w:rPr>
      <w:b/>
    </w:rPr>
  </w:style>
  <w:style w:type="character" w:customStyle="1" w:styleId="SingleTxtGChar">
    <w:name w:val="_ Single Txt_G Char"/>
    <w:basedOn w:val="DefaultParagraphFont"/>
    <w:link w:val="SingleTxtG"/>
  </w:style>
  <w:style w:type="character" w:customStyle="1" w:styleId="Heading1Char">
    <w:name w:val="Heading 1 Char"/>
    <w:basedOn w:val="DefaultParagraphFont"/>
    <w:link w:val="Heading1"/>
  </w:style>
  <w:style w:type="paragraph" w:styleId="ListParagraph">
    <w:name w:val="List Paragraph"/>
    <w:basedOn w:val="Normal"/>
    <w:qFormat/>
    <w:pPr>
      <w:ind w:left="720"/>
      <w:contextualSpacing/>
    </w:pPr>
  </w:style>
  <w:style w:type="paragraph" w:styleId="Revision">
    <w:name w:val="Revision"/>
  </w:style>
  <w:style w:type="character" w:styleId="CommentReference">
    <w:name w:val="annotation reference"/>
    <w:basedOn w:val="DefaultParagraphFont"/>
    <w:semiHidden/>
    <w:rPr>
      <w:sz w:val="16"/>
    </w:rPr>
  </w:style>
  <w:style w:type="paragraph" w:styleId="CommentText">
    <w:name w:val="annotation text"/>
    <w:basedOn w:val="Normal"/>
    <w:link w:val="CommentTextChar"/>
    <w:pPr>
      <w:spacing w:line="240" w:lineRule="auto"/>
    </w:p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rPr>
      <w:b/>
    </w:rPr>
  </w:style>
  <w:style w:type="character" w:customStyle="1" w:styleId="CommentSubjectChar">
    <w:name w:val="Comment Subject Char"/>
    <w:basedOn w:val="CommentTextChar"/>
    <w:link w:val="CommentSubject"/>
    <w:rPr>
      <w:b/>
    </w:rPr>
  </w:style>
  <w:style w:type="table" w:styleId="TableGrid">
    <w:name w:val="Table Grid"/>
    <w:basedOn w:val="TableNormal"/>
    <w:uiPriority w:val="39"/>
    <w:pPr>
      <w:suppressAutoHyphens/>
      <w:spacing w:line="240" w:lineRule="atLeast"/>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
    <w:name w:val="Table Grid1"/>
    <w:basedOn w:val="TableNormal"/>
    <w:uiPriority w:val="39"/>
    <w:rPr>
      <w:rFonts w:asciiTheme="minorHAnsi" w:eastAsiaTheme="minorEastAsia" w:hAnsiTheme="minorHAnsi"/>
      <w:sz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E119D"/>
    <w:rPr>
      <w:rFonts w:asciiTheme="minorHAnsi" w:eastAsiaTheme="minorEastAsia"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8DBEB6-F7D0-4D7C-AD32-3D03DE0491DA}">
  <ds:schemaRefs>
    <ds:schemaRef ds:uri="http://schemas.openxmlformats.org/officeDocument/2006/bibliography"/>
  </ds:schemaRefs>
</ds:datastoreItem>
</file>

<file path=customXml/itemProps2.xml><?xml version="1.0" encoding="utf-8"?>
<ds:datastoreItem xmlns:ds="http://schemas.openxmlformats.org/officeDocument/2006/customXml" ds:itemID="{B9BBFF8B-CE84-4103-A322-04A38C812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2142F6-1433-44E3-B74B-39CF42B1AA93}">
  <ds:schemaRefs>
    <ds:schemaRef ds:uri="http://schemas.microsoft.com/sharepoint/v3/contenttype/forms"/>
  </ds:schemaRefs>
</ds:datastoreItem>
</file>

<file path=customXml/itemProps4.xml><?xml version="1.0" encoding="utf-8"?>
<ds:datastoreItem xmlns:ds="http://schemas.openxmlformats.org/officeDocument/2006/customXml" ds:itemID="{B3F24855-333E-4DFB-9896-985DEC48D0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950</Words>
  <Characters>5421</Characters>
  <Application>Microsoft Office Word</Application>
  <DocSecurity>0</DocSecurity>
  <Lines>45</Lines>
  <Paragraphs>12</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ECE/TRANS/WP.29/2019/01/Rev.1</vt:lpstr>
      <vt:lpstr>ECE/TRANS/WP.29/2019/01/Rev.1</vt:lpstr>
      <vt:lpstr>ECE/TRANS/WP.29/2019/01/Rev.1</vt:lpstr>
    </vt:vector>
  </TitlesOfParts>
  <Company>CSD</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ECE/TRANS/WP.29/2019/01/Rev.1</dc:title>
  <dc:creator>Marie-Claude Collet</dc:creator>
  <cp:lastModifiedBy>Francois Cuenot</cp:lastModifiedBy>
  <cp:revision>5</cp:revision>
  <cp:lastPrinted>2021-09-03T10:59:00Z</cp:lastPrinted>
  <dcterms:created xsi:type="dcterms:W3CDTF">2021-11-02T15:15:00Z</dcterms:created>
  <dcterms:modified xsi:type="dcterms:W3CDTF">2021-11-09T12:16:00Z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