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A4EF7B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6EF0F3" w14:textId="77777777" w:rsidR="002D5AAC" w:rsidRDefault="002D5AAC" w:rsidP="001174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1E822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72FC89" w14:textId="0AAE30B2" w:rsidR="002D5AAC" w:rsidRDefault="00117427" w:rsidP="00117427">
            <w:pPr>
              <w:jc w:val="right"/>
            </w:pPr>
            <w:r w:rsidRPr="00117427">
              <w:rPr>
                <w:sz w:val="40"/>
              </w:rPr>
              <w:t>ECE</w:t>
            </w:r>
            <w:r>
              <w:t>/TRANS/WP.15/AC.2/2022/11</w:t>
            </w:r>
          </w:p>
        </w:tc>
      </w:tr>
      <w:tr w:rsidR="002D5AAC" w:rsidRPr="00117427" w14:paraId="3CAFA1F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8259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4D5007" wp14:editId="3103D9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BF1F9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DF0F21" w14:textId="77777777" w:rsidR="002D5AAC" w:rsidRDefault="001174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51D1B8" w14:textId="77777777" w:rsidR="00117427" w:rsidRDefault="00117427" w:rsidP="001174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2021</w:t>
            </w:r>
          </w:p>
          <w:p w14:paraId="302C6B5B" w14:textId="77777777" w:rsidR="00117427" w:rsidRDefault="00117427" w:rsidP="001174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2C0B06" w14:textId="50556EEE" w:rsidR="00117427" w:rsidRPr="008D53B6" w:rsidRDefault="00117427" w:rsidP="001174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E4A6A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81DAB7" w14:textId="77777777" w:rsidR="00117427" w:rsidRPr="00647395" w:rsidRDefault="00117427" w:rsidP="00117427">
      <w:pPr>
        <w:spacing w:before="120"/>
        <w:rPr>
          <w:sz w:val="28"/>
          <w:szCs w:val="28"/>
        </w:rPr>
      </w:pPr>
      <w:r w:rsidRPr="00647395">
        <w:rPr>
          <w:sz w:val="28"/>
          <w:szCs w:val="28"/>
        </w:rPr>
        <w:t>Комитет по внутреннему транспорту</w:t>
      </w:r>
    </w:p>
    <w:p w14:paraId="6EB09B62" w14:textId="77777777" w:rsidR="00117427" w:rsidRPr="00647395" w:rsidRDefault="00117427" w:rsidP="00117427">
      <w:pPr>
        <w:spacing w:before="120"/>
        <w:rPr>
          <w:b/>
          <w:sz w:val="24"/>
          <w:szCs w:val="24"/>
        </w:rPr>
      </w:pPr>
      <w:r w:rsidRPr="00647395">
        <w:rPr>
          <w:b/>
          <w:bCs/>
          <w:sz w:val="24"/>
          <w:szCs w:val="24"/>
        </w:rPr>
        <w:t>Рабочая группа по перевозкам опасных грузов</w:t>
      </w:r>
    </w:p>
    <w:p w14:paraId="0845F704" w14:textId="61A56DB8" w:rsidR="00117427" w:rsidRPr="00CB1DC2" w:rsidRDefault="00117427" w:rsidP="0011742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7F220407" w14:textId="77777777" w:rsidR="00117427" w:rsidRPr="00CB1DC2" w:rsidRDefault="00117427" w:rsidP="00117427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57018DDB" w14:textId="77777777" w:rsidR="00117427" w:rsidRPr="00CB1DC2" w:rsidRDefault="00117427" w:rsidP="00117427">
      <w:pPr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71ABFA93" w14:textId="77777777" w:rsidR="00117427" w:rsidRPr="00CB1DC2" w:rsidRDefault="00117427" w:rsidP="00117427">
      <w:r>
        <w:t>Женева, 24–28 января 2022 года</w:t>
      </w:r>
    </w:p>
    <w:p w14:paraId="6DB8C872" w14:textId="77777777" w:rsidR="00117427" w:rsidRPr="00CB1DC2" w:rsidRDefault="00117427" w:rsidP="00117427">
      <w:r>
        <w:t>Пункт 6 предварительной повестки дня</w:t>
      </w:r>
    </w:p>
    <w:p w14:paraId="64EE9EBE" w14:textId="77777777" w:rsidR="00117427" w:rsidRPr="00CB1DC2" w:rsidRDefault="00117427" w:rsidP="00117427">
      <w:pPr>
        <w:rPr>
          <w:b/>
        </w:rPr>
      </w:pPr>
      <w:r>
        <w:rPr>
          <w:b/>
          <w:bCs/>
        </w:rPr>
        <w:t>Доклады неофициальных рабочих групп</w:t>
      </w:r>
    </w:p>
    <w:p w14:paraId="314CDD6E" w14:textId="77777777" w:rsidR="00117427" w:rsidRPr="00CB1DC2" w:rsidRDefault="00117427" w:rsidP="00117427">
      <w:pPr>
        <w:pStyle w:val="HChG"/>
      </w:pPr>
      <w:r>
        <w:tab/>
      </w:r>
      <w:r>
        <w:tab/>
      </w:r>
      <w:r>
        <w:rPr>
          <w:bCs/>
        </w:rPr>
        <w:t>Отчет о работе двадцать первого совещания группы Рекомендованных классификационных обществ ВОПОГ</w:t>
      </w:r>
    </w:p>
    <w:p w14:paraId="6CD788D8" w14:textId="43E6F2C2" w:rsidR="00117427" w:rsidRPr="00CB1DC2" w:rsidRDefault="00117427" w:rsidP="00117427">
      <w:pPr>
        <w:pStyle w:val="H1G"/>
      </w:pPr>
      <w:r>
        <w:tab/>
      </w:r>
      <w:r>
        <w:tab/>
        <w:t>Представлено группой Рекомендованных классификационных обществ ВОПОГ</w:t>
      </w:r>
      <w:r w:rsidRPr="0011742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17427">
        <w:rPr>
          <w:sz w:val="28"/>
          <w:szCs w:val="28"/>
        </w:rPr>
        <w:t xml:space="preserve"> </w:t>
      </w:r>
      <w:r w:rsidRPr="0011742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23A9B60A" w14:textId="138A39E2" w:rsidR="00117427" w:rsidRPr="00CB1DC2" w:rsidRDefault="00117427" w:rsidP="00117427">
      <w:pPr>
        <w:pStyle w:val="SingleTxtG"/>
      </w:pPr>
      <w:r>
        <w:t xml:space="preserve">Дата проведения: 20 октября 2021 года, 9 ч 30 мин </w:t>
      </w:r>
      <w:r w:rsidRPr="00117427">
        <w:t>—</w:t>
      </w:r>
      <w:r>
        <w:t xml:space="preserve"> 16 ч 30 мин</w:t>
      </w:r>
    </w:p>
    <w:p w14:paraId="40B962F1" w14:textId="77777777" w:rsidR="00117427" w:rsidRPr="00CB1DC2" w:rsidRDefault="00117427" w:rsidP="00117427">
      <w:pPr>
        <w:pStyle w:val="SingleTxtG"/>
      </w:pPr>
      <w:r>
        <w:t>Место проведения: онлайн-совещание в Microsoft Teams</w:t>
      </w:r>
    </w:p>
    <w:p w14:paraId="23159211" w14:textId="77777777" w:rsidR="00117427" w:rsidRPr="00A05C2E" w:rsidRDefault="00117427" w:rsidP="00117427">
      <w:pPr>
        <w:pStyle w:val="SingleTxtG"/>
      </w:pPr>
      <w:r>
        <w:t>Присутствуют:</w:t>
      </w:r>
    </w:p>
    <w:p w14:paraId="0D9159D7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«Бюро Веритас» (BV): г-н Гай Джейкобс</w:t>
      </w:r>
    </w:p>
    <w:p w14:paraId="1C304168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Хорватский регистр судоходства (CRS): г-н Иван Билич-Прчич (председатель), г-н Мисо Мацура</w:t>
      </w:r>
    </w:p>
    <w:p w14:paraId="024A0462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 xml:space="preserve">«Дет норске веритас» (DNV): г-н Торстен Досдал </w:t>
      </w:r>
    </w:p>
    <w:p w14:paraId="6C96CFA8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Регистр Ллойда (LR): г-н Бас Йорманн, г-н Карел Винке</w:t>
      </w:r>
    </w:p>
    <w:p w14:paraId="70A958BE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Итальянский морской регистр (RINA): г-н Патрицио Ди Франческо</w:t>
      </w:r>
    </w:p>
    <w:p w14:paraId="2BBE5368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 xml:space="preserve">Российский морской регистр судоходства (РС): г-н Сергей Легуша </w:t>
      </w:r>
    </w:p>
    <w:p w14:paraId="3F92834A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Российский речной регистр (РРР): г-н Михаил Козин</w:t>
      </w:r>
    </w:p>
    <w:p w14:paraId="72C384CC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Регистр судоходства Украины (РСУ): г-н Микола Сльозко</w:t>
      </w:r>
    </w:p>
    <w:p w14:paraId="51CA7AEC" w14:textId="77777777" w:rsidR="00117427" w:rsidRPr="00CB1DC2" w:rsidRDefault="00117427" w:rsidP="00117427">
      <w:pPr>
        <w:pStyle w:val="SingleTxtG"/>
        <w:pageBreakBefore/>
      </w:pPr>
      <w:r>
        <w:lastRenderedPageBreak/>
        <w:t xml:space="preserve">Комитет по вопросам безопасности ВОПОГ: </w:t>
      </w:r>
    </w:p>
    <w:p w14:paraId="5FDA9077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г-н Хенк Лангенберг (Председатель Комитета по вопросам безопасности ВОПОГ)</w:t>
      </w:r>
    </w:p>
    <w:p w14:paraId="5EE5122D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г-н Манфред Вайнер (Германия, наблюдатель)</w:t>
      </w:r>
    </w:p>
    <w:p w14:paraId="14F7263C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г-н Нильс Ремерс (Нидерланды, наблюдатель)</w:t>
      </w:r>
    </w:p>
    <w:p w14:paraId="68829620" w14:textId="77777777" w:rsidR="00117427" w:rsidRDefault="00117427" w:rsidP="00117427">
      <w:pPr>
        <w:ind w:left="1701" w:hanging="567"/>
      </w:pPr>
      <w:r>
        <w:t>ЕСРС/ЕОС:</w:t>
      </w:r>
    </w:p>
    <w:p w14:paraId="74C62AA7" w14:textId="77777777" w:rsidR="00117427" w:rsidRPr="002E4CA3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г-н Михаэл Зевенберген</w:t>
      </w:r>
    </w:p>
    <w:p w14:paraId="715F517C" w14:textId="77777777" w:rsidR="00117427" w:rsidRPr="00315520" w:rsidRDefault="00117427" w:rsidP="00117427">
      <w:pPr>
        <w:spacing w:after="60"/>
        <w:ind w:left="1701" w:hanging="567"/>
      </w:pPr>
      <w:r>
        <w:t>Не присутствуют (получено уведомление):</w:t>
      </w:r>
    </w:p>
    <w:p w14:paraId="70C5F5F5" w14:textId="77777777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г-н Павлос Сафралис (RINA)</w:t>
      </w:r>
    </w:p>
    <w:p w14:paraId="7579B834" w14:textId="68C29610" w:rsidR="00117427" w:rsidRPr="00CB1DC2" w:rsidRDefault="00117427" w:rsidP="00117427">
      <w:pPr>
        <w:pStyle w:val="Bullet2G"/>
        <w:numPr>
          <w:ilvl w:val="0"/>
          <w:numId w:val="23"/>
        </w:numPr>
        <w:ind w:left="1843" w:hanging="142"/>
      </w:pPr>
      <w:r>
        <w:t>г-н Раффаэле Кочито (BV)</w:t>
      </w:r>
      <w:r w:rsidR="003D2744">
        <w:t>.</w:t>
      </w:r>
    </w:p>
    <w:p w14:paraId="599C9B00" w14:textId="77777777" w:rsidR="00117427" w:rsidRPr="00CB1DC2" w:rsidRDefault="00117427" w:rsidP="00117427">
      <w:pPr>
        <w:pStyle w:val="HChG"/>
      </w:pPr>
      <w:r>
        <w:tab/>
        <w:t>I.</w:t>
      </w:r>
      <w:r>
        <w:tab/>
      </w:r>
      <w:r>
        <w:rPr>
          <w:bCs/>
        </w:rPr>
        <w:t>Открытие</w:t>
      </w:r>
      <w:r w:rsidRPr="00361357">
        <w:rPr>
          <w:bCs/>
        </w:rPr>
        <w:t xml:space="preserve"> </w:t>
      </w:r>
      <w:r>
        <w:rPr>
          <w:bCs/>
        </w:rPr>
        <w:t>совещания</w:t>
      </w:r>
    </w:p>
    <w:p w14:paraId="67F32F6E" w14:textId="77777777" w:rsidR="00117427" w:rsidRPr="00CB1DC2" w:rsidRDefault="00117427" w:rsidP="00117427">
      <w:pPr>
        <w:pStyle w:val="SingleTxtG"/>
      </w:pPr>
      <w:r>
        <w:t>1.</w:t>
      </w:r>
      <w:r>
        <w:tab/>
        <w:t xml:space="preserve">Председатель приветствует участников онлайн-совещания. </w:t>
      </w:r>
    </w:p>
    <w:p w14:paraId="776F8665" w14:textId="77777777" w:rsidR="00117427" w:rsidRPr="00CB1DC2" w:rsidRDefault="00117427" w:rsidP="00117427">
      <w:pPr>
        <w:pStyle w:val="HChG"/>
      </w:pPr>
      <w:r>
        <w:tab/>
        <w:t>II.</w:t>
      </w:r>
      <w:r>
        <w:tab/>
      </w:r>
      <w:r>
        <w:rPr>
          <w:bCs/>
        </w:rPr>
        <w:t>Отчет о работе двадцать первого совещания, направления работы — документ 21 IG 10</w:t>
      </w:r>
    </w:p>
    <w:p w14:paraId="0C83BF10" w14:textId="77777777" w:rsidR="00117427" w:rsidRPr="00CB1DC2" w:rsidRDefault="00117427" w:rsidP="00117427">
      <w:pPr>
        <w:pStyle w:val="SingleTxtG"/>
      </w:pPr>
      <w:bookmarkStart w:id="0" w:name="_Hlk66878600"/>
      <w:r>
        <w:t>2.</w:t>
      </w:r>
      <w:r>
        <w:tab/>
        <w:t>Участники обсудили перечень направлений работы.</w:t>
      </w:r>
    </w:p>
    <w:bookmarkEnd w:id="0"/>
    <w:p w14:paraId="354591B8" w14:textId="77777777" w:rsidR="00117427" w:rsidRPr="00CB1DC2" w:rsidRDefault="00117427" w:rsidP="00117427">
      <w:pPr>
        <w:pStyle w:val="H1G"/>
      </w:pPr>
      <w:r>
        <w:tab/>
        <w:t>A.</w:t>
      </w:r>
      <w:r>
        <w:tab/>
      </w:r>
      <w:r>
        <w:rPr>
          <w:bCs/>
        </w:rPr>
        <w:t>Пропилена оксид (все участники/LR) — документ 17 IG 02a + документ 22 IG 02a</w:t>
      </w:r>
    </w:p>
    <w:p w14:paraId="48F40F91" w14:textId="77777777" w:rsidR="00117427" w:rsidRPr="00CB1DC2" w:rsidRDefault="00117427" w:rsidP="00117427">
      <w:pPr>
        <w:pStyle w:val="SingleTxtG"/>
      </w:pPr>
      <w:r>
        <w:t>3.</w:t>
      </w:r>
      <w:r>
        <w:tab/>
        <w:t>Г-н Винке (LR) представляет документ. Документ должен рассматриваться как руководство и должен быть представлен судовладельцем для каждого судна, на котором перевозится данный продукт. Поднимается несколько вопросов, и предлагаются некоторые изменения. Г-н Винке (LR) внесет в документ соответствующие изменения.</w:t>
      </w:r>
    </w:p>
    <w:p w14:paraId="560611B4" w14:textId="1F2F2587" w:rsidR="00117427" w:rsidRPr="00CB1DC2" w:rsidRDefault="00117427" w:rsidP="00117427">
      <w:pPr>
        <w:pStyle w:val="H1G"/>
      </w:pPr>
      <w:r>
        <w:tab/>
        <w:t>B.</w:t>
      </w:r>
      <w:r>
        <w:tab/>
      </w:r>
      <w:r>
        <w:rPr>
          <w:bCs/>
        </w:rPr>
        <w:t>Рабочая группа по разделу 9.3.4 — (пункт 22 доклада</w:t>
      </w:r>
      <w:r>
        <w:rPr>
          <w:bCs/>
          <w:lang w:val="en-US"/>
        </w:rPr>
        <w:t> </w:t>
      </w:r>
      <w:r>
        <w:rPr>
          <w:bCs/>
        </w:rPr>
        <w:t>ECE/TRANS/WP.15/AC.2/74;</w:t>
      </w:r>
      <w:r>
        <w:t xml:space="preserve"> </w:t>
      </w:r>
      <w:r>
        <w:br/>
      </w:r>
      <w:r>
        <w:rPr>
          <w:bCs/>
        </w:rPr>
        <w:t>неофициальные документы INF 10 и INF 25 тридцать шестой сессии) + ECE/TRANS/WP.15/AC.2/2021/18;</w:t>
      </w:r>
      <w:r>
        <w:t xml:space="preserve"> </w:t>
      </w:r>
      <w:r>
        <w:rPr>
          <w:bCs/>
        </w:rPr>
        <w:t>II b)) (LR)</w:t>
      </w:r>
      <w:r>
        <w:t xml:space="preserve"> </w:t>
      </w:r>
    </w:p>
    <w:p w14:paraId="41E21309" w14:textId="67584CBE" w:rsidR="00117427" w:rsidRPr="00E177B8" w:rsidRDefault="00117427" w:rsidP="00117427">
      <w:pPr>
        <w:pStyle w:val="SingleTxtG"/>
        <w:rPr>
          <w:lang w:val="en-US"/>
        </w:rPr>
      </w:pPr>
      <w:r>
        <w:t>4.</w:t>
      </w:r>
      <w:r>
        <w:tab/>
        <w:t xml:space="preserve">Г-н Йорманн (LR) представляет обновленную информацию о проекте. Реализация проекта началась немного позже, чем ожидалось, по причинам, связанным с финансированием. Нидерландская организация прикладных научных исследований (TNO </w:t>
      </w:r>
      <w:hyperlink r:id="rId8" w:history="1">
        <w:r w:rsidR="00E177B8" w:rsidRPr="001005D9">
          <w:rPr>
            <w:rStyle w:val="af1"/>
          </w:rPr>
          <w:t>https://ww</w:t>
        </w:r>
        <w:r w:rsidR="00E177B8" w:rsidRPr="001005D9">
          <w:rPr>
            <w:rStyle w:val="af1"/>
          </w:rPr>
          <w:t>w</w:t>
        </w:r>
        <w:r w:rsidR="00E177B8" w:rsidRPr="001005D9">
          <w:rPr>
            <w:rStyle w:val="af1"/>
          </w:rPr>
          <w:t>.tno.nl/en/</w:t>
        </w:r>
      </w:hyperlink>
      <w:r>
        <w:t>) организует 26 октября совещание, чтобы представить всем участникам обзор состояния дел. Ожидается, что TNO представит официальный документ для обсуждения на январской сессии. Будут готовы статистические данные и предложения по более крупным грузовым танкам. Часть, касающаяся новых методов расчета, еще не доработана. В представленном документе также будет упомянуты дальнейшие планы. (Ответственный участник: LR)</w:t>
      </w:r>
      <w:r w:rsidR="00E177B8">
        <w:rPr>
          <w:lang w:val="en-US"/>
        </w:rPr>
        <w:t>.</w:t>
      </w:r>
    </w:p>
    <w:p w14:paraId="190128A6" w14:textId="77777777" w:rsidR="00117427" w:rsidRPr="00CB1DC2" w:rsidRDefault="00117427" w:rsidP="00117427">
      <w:pPr>
        <w:pStyle w:val="H1G"/>
      </w:pPr>
      <w:r>
        <w:tab/>
        <w:t>C.</w:t>
      </w:r>
      <w:r>
        <w:tab/>
      </w:r>
      <w:r>
        <w:rPr>
          <w:bCs/>
        </w:rPr>
        <w:t>Быстродействующие клапаны, рассчитанные на более высокие температуры (BV) — документ 19 IG 02h</w:t>
      </w:r>
    </w:p>
    <w:p w14:paraId="5C811CC1" w14:textId="1B25EC16" w:rsidR="00117427" w:rsidRPr="00E177B8" w:rsidRDefault="00117427" w:rsidP="00117427">
      <w:pPr>
        <w:pStyle w:val="SingleTxtG"/>
        <w:rPr>
          <w:lang w:val="en-US"/>
        </w:rPr>
      </w:pPr>
      <w:r>
        <w:t>5.</w:t>
      </w:r>
      <w:r>
        <w:tab/>
        <w:t xml:space="preserve">Г-н Ди Франческо (RINA) пытался проконсультироваться по этому вопросу с некоторыми другими производителями, но не получил от них никакого ответа. </w:t>
      </w:r>
      <w:r w:rsidR="00E177B8">
        <w:br/>
      </w:r>
      <w:r>
        <w:t>Г-н Джейкобс (BV) предлагает не закрывать данную тему и продолжать попытки получить информацию. (Ответственные участники: RINA/BV)</w:t>
      </w:r>
      <w:r w:rsidR="00E177B8">
        <w:rPr>
          <w:lang w:val="en-US"/>
        </w:rPr>
        <w:t>.</w:t>
      </w:r>
    </w:p>
    <w:p w14:paraId="6038F7A5" w14:textId="77777777" w:rsidR="00117427" w:rsidRPr="00CB1DC2" w:rsidRDefault="00117427" w:rsidP="00117427">
      <w:pPr>
        <w:pStyle w:val="H1G"/>
        <w:rPr>
          <w:iCs/>
        </w:rPr>
      </w:pPr>
      <w:r>
        <w:lastRenderedPageBreak/>
        <w:tab/>
        <w:t>D.</w:t>
      </w:r>
      <w:r>
        <w:tab/>
      </w:r>
      <w:r>
        <w:rPr>
          <w:bCs/>
        </w:rPr>
        <w:t>Перечень и проверка НЕэлектрического оборудования (ответственный участник: RINA) — документ 17 IG 04l (Rev 3)</w:t>
      </w:r>
    </w:p>
    <w:p w14:paraId="0481657D" w14:textId="77777777" w:rsidR="00117427" w:rsidRPr="00CB1DC2" w:rsidRDefault="00117427" w:rsidP="00117427">
      <w:pPr>
        <w:pStyle w:val="SingleTxtG"/>
      </w:pPr>
      <w:r>
        <w:t>6.</w:t>
      </w:r>
      <w:r>
        <w:tab/>
        <w:t xml:space="preserve">Г-н Ди Франческо (RINA) представляет и разъясняет пересмотренный документ (Rev. 3). Он отмечает, что нет смысла составлять обширный перечень, поскольку сюрвейер сам решает, как осматривать находящееся на борту оборудование. Этот документ может быть использован в качестве руководства, но не нуждается в дальнейшей доработке. Соответствие оборудования подтверждается выдачей соответствующих свидетельств или актов освидетельствования. Данная тема закрыта. </w:t>
      </w:r>
    </w:p>
    <w:p w14:paraId="731F1924" w14:textId="6889AC70" w:rsidR="00117427" w:rsidRPr="00CB1DC2" w:rsidRDefault="00117427" w:rsidP="00117427">
      <w:pPr>
        <w:pStyle w:val="H1G"/>
      </w:pPr>
      <w:r>
        <w:tab/>
        <w:t>E.</w:t>
      </w:r>
      <w:r>
        <w:tab/>
      </w:r>
      <w:r>
        <w:tab/>
      </w:r>
      <w:r>
        <w:rPr>
          <w:bCs/>
        </w:rPr>
        <w:t xml:space="preserve">Дефлаграция, детонация и устойчивое горение (ответственные участники: BV/все участники) — документ 17 IG 04u, </w:t>
      </w:r>
      <w:r w:rsidR="00E177B8">
        <w:rPr>
          <w:bCs/>
        </w:rPr>
        <w:br/>
      </w:r>
      <w:r>
        <w:rPr>
          <w:bCs/>
        </w:rPr>
        <w:t xml:space="preserve">документ 20 IG 02i, неофициальный документ INF.22 </w:t>
      </w:r>
      <w:r w:rsidR="00E177B8">
        <w:rPr>
          <w:bCs/>
        </w:rPr>
        <w:br/>
      </w:r>
      <w:r>
        <w:rPr>
          <w:bCs/>
        </w:rPr>
        <w:t>тридцать пятой сессии</w:t>
      </w:r>
      <w:r>
        <w:t xml:space="preserve"> </w:t>
      </w:r>
    </w:p>
    <w:p w14:paraId="0B1464C8" w14:textId="4306641F" w:rsidR="00117427" w:rsidRPr="00E177B8" w:rsidRDefault="00117427" w:rsidP="00117427">
      <w:pPr>
        <w:pStyle w:val="SingleTxtG"/>
        <w:rPr>
          <w:lang w:val="en-US"/>
        </w:rPr>
      </w:pPr>
      <w:r>
        <w:t>7.</w:t>
      </w:r>
      <w:r>
        <w:tab/>
        <w:t>Г-н Джейкобс (BV) сообщает об отсутствии прогресса по данной теме. Эта тема будет сохранена в повестке дня. Г-н Ремерс (Нидерланды) представит свои комментарии и предложения, а затем г-н Джейкобс соответствующим образом обновит документ. (Ответственный участник: BV)</w:t>
      </w:r>
      <w:r w:rsidR="00E177B8">
        <w:rPr>
          <w:lang w:val="en-US"/>
        </w:rPr>
        <w:t>.</w:t>
      </w:r>
    </w:p>
    <w:p w14:paraId="286AF2F2" w14:textId="673BD87E" w:rsidR="00117427" w:rsidRPr="00CB1DC2" w:rsidRDefault="00117427" w:rsidP="00117427">
      <w:pPr>
        <w:pStyle w:val="H1G"/>
      </w:pPr>
      <w:r>
        <w:tab/>
        <w:t>F.</w:t>
      </w:r>
      <w:r>
        <w:tab/>
      </w:r>
      <w:r>
        <w:rPr>
          <w:bCs/>
        </w:rPr>
        <w:t xml:space="preserve">Соответствие стандарту EN ISO/IEC 17020:2012 — </w:t>
      </w:r>
      <w:r w:rsidR="00E177B8">
        <w:rPr>
          <w:bCs/>
        </w:rPr>
        <w:br/>
      </w:r>
      <w:r>
        <w:rPr>
          <w:bCs/>
        </w:rPr>
        <w:t>документ 19 IG 03 b (распространен на девятнадцатом совещании), пункты 24 и 25 доклада о работе тридцать шестой сессии + ECE/TRANS/WP.15/AC.2/2021/18;</w:t>
      </w:r>
      <w:r>
        <w:t xml:space="preserve"> </w:t>
      </w:r>
      <w:r>
        <w:rPr>
          <w:bCs/>
        </w:rPr>
        <w:t>II h) (ответственные участники: все</w:t>
      </w:r>
      <w:r w:rsidRPr="00CF4135">
        <w:rPr>
          <w:bCs/>
        </w:rPr>
        <w:t xml:space="preserve"> </w:t>
      </w:r>
      <w:r>
        <w:rPr>
          <w:bCs/>
        </w:rPr>
        <w:t>участники)</w:t>
      </w:r>
    </w:p>
    <w:p w14:paraId="29F700C9" w14:textId="0C03E3F2" w:rsidR="00117427" w:rsidRPr="00CB1DC2" w:rsidRDefault="00117427" w:rsidP="00117427">
      <w:pPr>
        <w:pStyle w:val="SingleTxtG"/>
      </w:pPr>
      <w:r>
        <w:t>8.</w:t>
      </w:r>
      <w:r>
        <w:tab/>
        <w:t>Поскольку вопрос немного неясен, ответа на него пока еще нет. Г-н Вайнер объясняет, что, возможно, желательно будет внести поправку в пункт 1.15.3.8, чтобы привести его в большее соответствие с общепринятой практикой классификационных обществ. Г-н Лангенберг объясняет, что подтверждение соответствия необходимо только при первом направлении ходатайства о признании и в повторном подтверждении нет необходимости, когда классификационное общество уже признано. Лучшей идеей было бы внести поправку в раздел 1.15.4 (Обязанности рекомендованных классификационных обществ), в котором будет предусмотрено регулярное обновление подтверждения соответствия стандартам. LR подготовит проект предложения. (Ответственный участник: LR)</w:t>
      </w:r>
      <w:r w:rsidR="003D2744">
        <w:t>.</w:t>
      </w:r>
    </w:p>
    <w:p w14:paraId="03E5F4D1" w14:textId="7DED54CD" w:rsidR="00117427" w:rsidRPr="00CB1DC2" w:rsidRDefault="00117427" w:rsidP="00117427">
      <w:pPr>
        <w:pStyle w:val="H1G"/>
      </w:pPr>
      <w:r>
        <w:tab/>
        <w:t>G.</w:t>
      </w:r>
      <w:r>
        <w:tab/>
      </w:r>
      <w:r>
        <w:rPr>
          <w:bCs/>
        </w:rPr>
        <w:t xml:space="preserve">Погружные насосы в грузовых танках танкеров-газовозов, сертификация для зоны 0 (ответственные участники: </w:t>
      </w:r>
      <w:r w:rsidR="00E177B8">
        <w:rPr>
          <w:bCs/>
        </w:rPr>
        <w:br/>
      </w:r>
      <w:r>
        <w:rPr>
          <w:bCs/>
        </w:rPr>
        <w:t>RINA и LR) — документа не имеется</w:t>
      </w:r>
    </w:p>
    <w:p w14:paraId="27EDA894" w14:textId="77777777" w:rsidR="00117427" w:rsidRPr="00CB1DC2" w:rsidRDefault="00117427" w:rsidP="00117427">
      <w:pPr>
        <w:pStyle w:val="SingleTxtG"/>
      </w:pPr>
      <w:r>
        <w:t>9.</w:t>
      </w:r>
      <w:r>
        <w:tab/>
        <w:t xml:space="preserve">Г-н Ди Франческо (RINA) подготовил документ, в котором описаны альтернативные способы приемки таких насосов. Это единственный способ решения проблемы, поскольку сертификация насосов для зоны 0 невозможна. Было отмечено, что стандарт IEC 60079-10 касается взрывоопасных зон только в связи с атмосферными условиями, учитывая то, что атмосферные условия включают изменения выше и ниже эталонных уровней 101,3 кПа (1013 мбар) и 20 °С (293 K) в случаях, когда эти изменения оказывают незначительное влияние на характеристики взрывоопасности горючих веществ. Данная тема закрыта. </w:t>
      </w:r>
      <w:bookmarkStart w:id="1" w:name="_Hlk86228509"/>
      <w:bookmarkEnd w:id="1"/>
    </w:p>
    <w:p w14:paraId="63690783" w14:textId="14DB466B" w:rsidR="00117427" w:rsidRPr="00CB1DC2" w:rsidRDefault="00117427" w:rsidP="00117427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 xml:space="preserve">Вопросы, обсуждавшиеся на последней сессии Комитета по вопросам безопасности ВОПОГ </w:t>
      </w:r>
      <w:r w:rsidR="00E177B8">
        <w:rPr>
          <w:bCs/>
        </w:rPr>
        <w:br/>
      </w:r>
      <w:r>
        <w:rPr>
          <w:bCs/>
        </w:rPr>
        <w:t>(документ ECE/TRANS/WP.15/AC.2/2021/18)</w:t>
      </w:r>
    </w:p>
    <w:p w14:paraId="4F520CF2" w14:textId="3F7AB73B" w:rsidR="00117427" w:rsidRPr="00CB1DC2" w:rsidRDefault="00117427" w:rsidP="00117427">
      <w:pPr>
        <w:pStyle w:val="H1G"/>
      </w:pPr>
      <w:r>
        <w:tab/>
        <w:t>A.</w:t>
      </w:r>
      <w:r>
        <w:tab/>
      </w:r>
      <w:r>
        <w:rPr>
          <w:bCs/>
        </w:rPr>
        <w:t>Зонирование в соответствии с разделом 1.2.1 ВОПОГ;</w:t>
      </w:r>
      <w:r>
        <w:t xml:space="preserve"> </w:t>
      </w:r>
      <w:r>
        <w:rPr>
          <w:bCs/>
        </w:rPr>
        <w:t xml:space="preserve">доклад Комитета по вопросам безопасности ВОПОГ </w:t>
      </w:r>
      <w:r w:rsidR="00E177B8" w:rsidRPr="00E177B8">
        <w:rPr>
          <w:bCs/>
        </w:rPr>
        <w:t>—</w:t>
      </w:r>
      <w:r>
        <w:rPr>
          <w:bCs/>
        </w:rPr>
        <w:t xml:space="preserve"> неофициальный документ INF.16 тридцать восьмой сессии (Германия) </w:t>
      </w:r>
      <w:r w:rsidR="00E177B8">
        <w:rPr>
          <w:bCs/>
        </w:rPr>
        <w:br/>
      </w:r>
      <w:r>
        <w:rPr>
          <w:bCs/>
        </w:rPr>
        <w:t>и документ ECE/TRANS/WP.15/AC.2/78 (III а))</w:t>
      </w:r>
    </w:p>
    <w:p w14:paraId="19C79062" w14:textId="77777777" w:rsidR="00117427" w:rsidRPr="00CB1DC2" w:rsidRDefault="00117427" w:rsidP="00117427">
      <w:pPr>
        <w:pStyle w:val="SingleTxtG"/>
        <w:rPr>
          <w:iCs/>
        </w:rPr>
      </w:pPr>
      <w:r>
        <w:t>13.</w:t>
      </w:r>
      <w:r>
        <w:tab/>
        <w:t xml:space="preserve">Г-н Винке (LR) объясняет нынешний способ работы и освидетельствования оборудования. Учитывается только то оборудование, которое является частью судна. </w:t>
      </w:r>
    </w:p>
    <w:p w14:paraId="17FACBBB" w14:textId="77777777" w:rsidR="00117427" w:rsidRPr="00CB1DC2" w:rsidRDefault="00117427" w:rsidP="00117427">
      <w:pPr>
        <w:pStyle w:val="SingleTxtG"/>
        <w:rPr>
          <w:iCs/>
        </w:rPr>
      </w:pPr>
      <w:r>
        <w:t>14.</w:t>
      </w:r>
      <w:r>
        <w:tab/>
        <w:t xml:space="preserve">Г-н Зевенберген (ЕСРС/ЕОС) выражает мнение ЕСРС о том, что необходимо учитывать оборудование, которое может вызвать искрение или возгорание. </w:t>
      </w:r>
    </w:p>
    <w:p w14:paraId="0B668D65" w14:textId="77777777" w:rsidR="00117427" w:rsidRPr="00CB1DC2" w:rsidRDefault="00117427" w:rsidP="00117427">
      <w:pPr>
        <w:pStyle w:val="SingleTxtG"/>
        <w:rPr>
          <w:iCs/>
        </w:rPr>
      </w:pPr>
      <w:r>
        <w:t>15.</w:t>
      </w:r>
      <w:r>
        <w:tab/>
        <w:t xml:space="preserve">Г-н Ди Франческо (RINA) указывает на определение неэлектрического оборудования в стандарте ISO 80079-36. Незакрепленное оборудование не может проверяться классификационным обществом при освидетельствовании. </w:t>
      </w:r>
    </w:p>
    <w:p w14:paraId="784B019A" w14:textId="77777777" w:rsidR="00117427" w:rsidRPr="00CB1DC2" w:rsidRDefault="00117427" w:rsidP="00117427">
      <w:pPr>
        <w:pStyle w:val="SingleTxtG"/>
        <w:rPr>
          <w:iCs/>
        </w:rPr>
      </w:pPr>
      <w:r>
        <w:t>16.</w:t>
      </w:r>
      <w:r>
        <w:tab/>
        <w:t xml:space="preserve">Г-н Вайнер (Германия) указывает на определение, содержащееся в ВОПОГ. Следует также учитывать мобильные устройства, которые могут стать причиной возгорания. </w:t>
      </w:r>
    </w:p>
    <w:p w14:paraId="70896DB3" w14:textId="77777777" w:rsidR="00117427" w:rsidRPr="00CB1DC2" w:rsidRDefault="00117427" w:rsidP="00117427">
      <w:pPr>
        <w:pStyle w:val="SingleTxtG"/>
        <w:rPr>
          <w:iCs/>
        </w:rPr>
      </w:pPr>
      <w:r>
        <w:t>17.</w:t>
      </w:r>
      <w:r>
        <w:tab/>
        <w:t xml:space="preserve">Г-н Ремерс (Нидерланды) указывает на переходные положения, касающиеся пункта 9.3.x.53.1, и подчеркивает, что существуют различные положения для разных частей данного требования (тип и расположение или температурный класс и группа взрывоопасности). Для типа и расположения переходного положения не предусмотрено. Возникает очевидный вопрос: нужно ли переходное положение также и для неэлектрического оборудования? </w:t>
      </w:r>
    </w:p>
    <w:p w14:paraId="63425680" w14:textId="77777777" w:rsidR="00117427" w:rsidRPr="00CB1DC2" w:rsidRDefault="00117427" w:rsidP="00117427">
      <w:pPr>
        <w:pStyle w:val="SingleTxtG"/>
        <w:rPr>
          <w:iCs/>
        </w:rPr>
      </w:pPr>
      <w:r>
        <w:t>18.</w:t>
      </w:r>
      <w:r>
        <w:tab/>
        <w:t xml:space="preserve">Г-н Досдал (DNV) указывает на переходное положение для зон (1.2.1) судна и заявляет, что в переходном положении для самого оборудования нет необходимости. </w:t>
      </w:r>
    </w:p>
    <w:p w14:paraId="02FD4AB0" w14:textId="77777777" w:rsidR="00117427" w:rsidRPr="00CB1DC2" w:rsidRDefault="00117427" w:rsidP="00117427">
      <w:pPr>
        <w:pStyle w:val="SingleTxtG"/>
        <w:rPr>
          <w:iCs/>
        </w:rPr>
      </w:pPr>
      <w:r>
        <w:t>19.</w:t>
      </w:r>
      <w:r>
        <w:tab/>
        <w:t>Г-н Вайнер (Германия) и г-н Ремерс (Нидерланды) выразили мнение, что переходное положение для зоны 1 означает не то, что зона 1 не должна быть классифицирована, а то, что в течение переходного периода границы зоны 1 могут отличаться от определения, содержащегося в разделе 1.2.1 ВОПОГ. По их мнению, положения ВОПОГ 2017 года по данному вопросу остаются применимыми в течение переходного периода.</w:t>
      </w:r>
    </w:p>
    <w:p w14:paraId="4A2701C7" w14:textId="77777777" w:rsidR="00117427" w:rsidRPr="00CB1DC2" w:rsidRDefault="00117427" w:rsidP="00117427">
      <w:pPr>
        <w:pStyle w:val="SingleTxtG"/>
        <w:rPr>
          <w:iCs/>
        </w:rPr>
      </w:pPr>
      <w:r>
        <w:t>20.</w:t>
      </w:r>
      <w:r>
        <w:tab/>
        <w:t>Сделан вывод, что переходные положения для неэлектрического оборудования не нужны, так как оно действительно охватывается переходными положениями в отношении зон (1.2.1). В переходных положениях для зоны 0 нет необходимости. Переходные положения существуют для зон 1 и 2 (после 31 декабря 2034 года).</w:t>
      </w:r>
    </w:p>
    <w:p w14:paraId="557BFFD8" w14:textId="77777777" w:rsidR="00117427" w:rsidRPr="00CB1DC2" w:rsidRDefault="00117427" w:rsidP="00117427">
      <w:pPr>
        <w:pStyle w:val="SingleTxtG"/>
        <w:rPr>
          <w:iCs/>
        </w:rPr>
      </w:pPr>
      <w:r>
        <w:t>21.</w:t>
      </w:r>
      <w:r>
        <w:tab/>
        <w:t>Существующие переходные положения для электрооборудования сочтены ценными и должны быть сохранены. Распространен документ, подготовленный RINA (Rev 3) (см. также 2d). Данная тема закрыта.</w:t>
      </w:r>
    </w:p>
    <w:p w14:paraId="1112D611" w14:textId="3E00FE72" w:rsidR="00117427" w:rsidRPr="00CB1DC2" w:rsidRDefault="00117427" w:rsidP="00117427">
      <w:pPr>
        <w:pStyle w:val="H1G"/>
      </w:pPr>
      <w:r>
        <w:tab/>
        <w:t>B.</w:t>
      </w:r>
      <w:r>
        <w:tab/>
      </w:r>
      <w:r>
        <w:rPr>
          <w:bCs/>
        </w:rPr>
        <w:t>Толкование пункта 9.3.3.12.2 — документ 20 IG 02m и пункт 3 a.</w:t>
      </w:r>
      <w:r>
        <w:t xml:space="preserve"> </w:t>
      </w:r>
      <w:r>
        <w:rPr>
          <w:bCs/>
        </w:rPr>
        <w:t xml:space="preserve">отчета о работе восемнадцатого совещания группы Рекомендованных классификационных обществ ВОПОГ + документ ECE/TRANS/WP.15/AC.2/2021/10 + документ 22 IG 03b </w:t>
      </w:r>
      <w:r w:rsidR="00A5786B" w:rsidRPr="00A5786B">
        <w:rPr>
          <w:bCs/>
        </w:rPr>
        <w:t>—</w:t>
      </w:r>
      <w:r>
        <w:rPr>
          <w:bCs/>
        </w:rPr>
        <w:t xml:space="preserve"> Толкование пункта 9.3.3.12.2 (Системы вентиляции в пустых пространствах)</w:t>
      </w:r>
    </w:p>
    <w:p w14:paraId="1AAB006D" w14:textId="0E67D37A" w:rsidR="00117427" w:rsidRPr="00CB1DC2" w:rsidRDefault="00117427" w:rsidP="00117427">
      <w:pPr>
        <w:pStyle w:val="SingleTxtG"/>
        <w:tabs>
          <w:tab w:val="left" w:pos="7083"/>
        </w:tabs>
        <w:rPr>
          <w:iCs/>
        </w:rPr>
      </w:pPr>
      <w:r>
        <w:t xml:space="preserve">22. Г-н Билич-Прчич (CRS) представляет документ 22 IG 03b </w:t>
      </w:r>
      <w:r w:rsidR="00A5786B" w:rsidRPr="00A5786B">
        <w:t>—</w:t>
      </w:r>
      <w:r>
        <w:t xml:space="preserve"> Толкование пункта</w:t>
      </w:r>
      <w:r w:rsidR="00A5786B">
        <w:rPr>
          <w:lang w:val="en-US"/>
        </w:rPr>
        <w:t> </w:t>
      </w:r>
      <w:r>
        <w:t xml:space="preserve">9.3.3.12.2 (Системы вентиляции в пустых пространствах). Он будет применяться на танкерах всех типов. Поскольку это предусмотрено правилами всех </w:t>
      </w:r>
      <w:r>
        <w:lastRenderedPageBreak/>
        <w:t xml:space="preserve">классификационных обществ и является общепринятой надежной практикой судостроения, переходные положения не нужны. </w:t>
      </w:r>
    </w:p>
    <w:p w14:paraId="2D3C1C8E" w14:textId="77777777" w:rsidR="00117427" w:rsidRPr="00CB1DC2" w:rsidRDefault="00117427" w:rsidP="00117427">
      <w:pPr>
        <w:pStyle w:val="SingleTxtG"/>
        <w:rPr>
          <w:iCs/>
        </w:rPr>
      </w:pPr>
      <w:r>
        <w:t>23.</w:t>
      </w:r>
      <w:r>
        <w:tab/>
        <w:t>Этот документ будет соответствующим образом обновлен и представлен Комитету по вопросам безопасности ВОПОГ до 29 октября 2021 года. Данная тема закрыта.</w:t>
      </w:r>
    </w:p>
    <w:p w14:paraId="76204DF2" w14:textId="00B2370D" w:rsidR="00117427" w:rsidRPr="00CB1DC2" w:rsidRDefault="00117427" w:rsidP="00117427">
      <w:pPr>
        <w:pStyle w:val="H1G"/>
      </w:pPr>
      <w:r>
        <w:tab/>
        <w:t>C.</w:t>
      </w:r>
      <w:r>
        <w:tab/>
      </w:r>
      <w:r>
        <w:rPr>
          <w:bCs/>
        </w:rPr>
        <w:t>Электрические двигательные установки и хранение энергии: предложение по оценке потребности в дополнительных положениях ВОПОГ для безопасной перевозки опасных грузов судами, использующими электрические двигательные установки</w:t>
      </w:r>
      <w:r w:rsidR="000271C3">
        <w:rPr>
          <w:bCs/>
          <w:lang w:val="en-US"/>
        </w:rPr>
        <w:t> </w:t>
      </w:r>
      <w:r w:rsidR="000271C3" w:rsidRPr="000271C3">
        <w:rPr>
          <w:bCs/>
        </w:rPr>
        <w:t>—</w:t>
      </w:r>
      <w:r>
        <w:rPr>
          <w:bCs/>
        </w:rPr>
        <w:t xml:space="preserve"> документ ECE/TRANS/WP.15/AC.2/2021/6 (ЦКСР) + документ 22 IG 03c </w:t>
      </w:r>
      <w:r w:rsidR="000271C3" w:rsidRPr="000271C3">
        <w:rPr>
          <w:bCs/>
        </w:rPr>
        <w:t>—</w:t>
      </w:r>
      <w:r>
        <w:rPr>
          <w:bCs/>
        </w:rPr>
        <w:t xml:space="preserve"> Электрические двигательные системы и</w:t>
      </w:r>
      <w:r w:rsidR="000271C3">
        <w:rPr>
          <w:bCs/>
          <w:lang w:val="en-US"/>
        </w:rPr>
        <w:t> </w:t>
      </w:r>
      <w:r>
        <w:rPr>
          <w:bCs/>
        </w:rPr>
        <w:t>аккумулирование энергии</w:t>
      </w:r>
    </w:p>
    <w:p w14:paraId="505B3F5D" w14:textId="0EAB54E3" w:rsidR="00117427" w:rsidRPr="00CB1DC2" w:rsidRDefault="00117427" w:rsidP="00117427">
      <w:pPr>
        <w:pStyle w:val="SingleTxtG"/>
        <w:rPr>
          <w:iCs/>
        </w:rPr>
      </w:pPr>
      <w:r>
        <w:t>24.</w:t>
      </w:r>
      <w:r>
        <w:tab/>
        <w:t xml:space="preserve">Внесен документ 22 IG 03c </w:t>
      </w:r>
      <w:r w:rsidR="000271C3" w:rsidRPr="000271C3">
        <w:t>—</w:t>
      </w:r>
      <w:r>
        <w:t xml:space="preserve"> Электрические двигательные системы и аккумулирование энергии. Сочтено, что нет необходимости вносить в ВОПОГ</w:t>
      </w:r>
      <w:r w:rsidRPr="006731AA">
        <w:t xml:space="preserve"> </w:t>
      </w:r>
      <w:r>
        <w:t>поправки, касающиеся принципа электрической тяги. Дана вводная информация о контейнерах для аккумуляторов, и в случае их установк</w:t>
      </w:r>
      <w:r w:rsidR="000271C3">
        <w:t>и</w:t>
      </w:r>
      <w:r>
        <w:t xml:space="preserve"> на судах, имеющих свидетельство ВОПОГ, необходимо обсудить поправку к ВОПОГ в Комитете по безопасности ВОПОГ. Это может касаться только перевозки сухих грузов.</w:t>
      </w:r>
    </w:p>
    <w:p w14:paraId="579AB5C4" w14:textId="77777777" w:rsidR="00117427" w:rsidRPr="00CB1DC2" w:rsidRDefault="00117427" w:rsidP="00117427">
      <w:pPr>
        <w:pStyle w:val="SingleTxtG"/>
        <w:rPr>
          <w:iCs/>
        </w:rPr>
      </w:pPr>
      <w:r>
        <w:t>25.</w:t>
      </w:r>
      <w:r>
        <w:tab/>
        <w:t>Поскольку классификационные общества не являются подходящей стороной для решения данного вопроса, с инициативой в этой связи должен выступить ЕСРС при поддержке классификационных обществ.</w:t>
      </w:r>
    </w:p>
    <w:p w14:paraId="653BF804" w14:textId="19B6A8E3" w:rsidR="00117427" w:rsidRPr="00CB1DC2" w:rsidRDefault="00117427" w:rsidP="00117427">
      <w:pPr>
        <w:pStyle w:val="SingleTxtG"/>
        <w:rPr>
          <w:iCs/>
        </w:rPr>
      </w:pPr>
      <w:r>
        <w:t>26.</w:t>
      </w:r>
      <w:r>
        <w:tab/>
        <w:t xml:space="preserve">Г-н Вайнер (Германия) отметил, что исключение для содержащих батареи контейнеров, описанное в документе doc 22 IG 03c </w:t>
      </w:r>
      <w:r w:rsidR="000271C3">
        <w:t>—</w:t>
      </w:r>
      <w:r>
        <w:t xml:space="preserve"> Электрические двигательные системы и аккумулирование энергии, должно быть пересмотрено, поскольку они являются опасным грузом под № ООН 3536, и что необходимо отразить возможное взаимодействие между такими контейнерами с батареями и грузовыми контейнерами в грузовом трюме.</w:t>
      </w:r>
    </w:p>
    <w:p w14:paraId="48A6AD29" w14:textId="77777777" w:rsidR="00117427" w:rsidRPr="00CB1DC2" w:rsidRDefault="00117427" w:rsidP="00117427">
      <w:pPr>
        <w:pStyle w:val="SingleTxtG"/>
        <w:rPr>
          <w:iCs/>
        </w:rPr>
      </w:pPr>
      <w:r>
        <w:t>27.</w:t>
      </w:r>
      <w:r>
        <w:tab/>
        <w:t>Данная тема будет обсуждаться повторно, если это будет сочтено необходимым.</w:t>
      </w:r>
    </w:p>
    <w:p w14:paraId="3D4DD377" w14:textId="77777777" w:rsidR="00117427" w:rsidRPr="00CB1DC2" w:rsidRDefault="00117427" w:rsidP="00117427">
      <w:pPr>
        <w:pStyle w:val="HChG"/>
      </w:pPr>
      <w:r>
        <w:tab/>
        <w:t>IV.</w:t>
      </w:r>
      <w:r>
        <w:tab/>
      </w:r>
      <w:r>
        <w:rPr>
          <w:bCs/>
        </w:rPr>
        <w:t>Технические вопросы</w:t>
      </w:r>
    </w:p>
    <w:p w14:paraId="6DB64056" w14:textId="77777777" w:rsidR="00117427" w:rsidRPr="00CB1DC2" w:rsidRDefault="00117427" w:rsidP="00117427">
      <w:pPr>
        <w:pStyle w:val="SingleTxtG"/>
      </w:pPr>
      <w:r>
        <w:t>28.</w:t>
      </w:r>
      <w:r>
        <w:tab/>
        <w:t>Новых вопросов нет.</w:t>
      </w:r>
    </w:p>
    <w:p w14:paraId="03CF27B8" w14:textId="77777777" w:rsidR="00117427" w:rsidRPr="00CB1DC2" w:rsidRDefault="00117427" w:rsidP="00117427">
      <w:pPr>
        <w:pStyle w:val="HChG"/>
      </w:pPr>
      <w:r>
        <w:tab/>
        <w:t>V.</w:t>
      </w:r>
      <w:r>
        <w:tab/>
      </w:r>
      <w:r>
        <w:rPr>
          <w:bCs/>
        </w:rPr>
        <w:t>Прочие вопросы</w:t>
      </w:r>
    </w:p>
    <w:p w14:paraId="3D3376B7" w14:textId="4E4960C3" w:rsidR="00117427" w:rsidRPr="00CB1DC2" w:rsidRDefault="00117427" w:rsidP="00117427">
      <w:pPr>
        <w:pStyle w:val="H1G"/>
      </w:pPr>
      <w:r>
        <w:tab/>
        <w:t>A.</w:t>
      </w:r>
      <w:r>
        <w:tab/>
      </w:r>
      <w:r>
        <w:rPr>
          <w:bCs/>
        </w:rPr>
        <w:t xml:space="preserve">№ ООН 3082 </w:t>
      </w:r>
      <w:r w:rsidR="000271C3">
        <w:rPr>
          <w:bCs/>
        </w:rPr>
        <w:t>—</w:t>
      </w:r>
      <w:r>
        <w:rPr>
          <w:bCs/>
        </w:rPr>
        <w:t xml:space="preserve"> ... (Трюмные воды, содержащие нефтяной шлам)</w:t>
      </w:r>
    </w:p>
    <w:p w14:paraId="7A5E1F25" w14:textId="77777777" w:rsidR="00117427" w:rsidRPr="00CB1DC2" w:rsidRDefault="00117427" w:rsidP="00117427">
      <w:pPr>
        <w:pStyle w:val="SingleTxtG"/>
        <w:rPr>
          <w:iCs/>
        </w:rPr>
      </w:pPr>
      <w:r>
        <w:t>29.</w:t>
      </w:r>
      <w:r>
        <w:tab/>
        <w:t>Решение по этой теме уже найдено, и она может быть закрыта.</w:t>
      </w:r>
    </w:p>
    <w:p w14:paraId="07DDD863" w14:textId="77777777" w:rsidR="00117427" w:rsidRPr="00CB1DC2" w:rsidRDefault="00117427" w:rsidP="00117427">
      <w:pPr>
        <w:pStyle w:val="H1G"/>
      </w:pPr>
      <w:r>
        <w:tab/>
        <w:t>B.</w:t>
      </w:r>
      <w:r>
        <w:tab/>
      </w:r>
      <w:r>
        <w:rPr>
          <w:bCs/>
        </w:rPr>
        <w:t>LR поднимает вопрос о многостороннем соглашении 18</w:t>
      </w:r>
      <w:r>
        <w:t xml:space="preserve"> </w:t>
      </w:r>
    </w:p>
    <w:p w14:paraId="64C310E0" w14:textId="7E638EAD" w:rsidR="00117427" w:rsidRPr="00CB1DC2" w:rsidRDefault="00117427" w:rsidP="00117427">
      <w:pPr>
        <w:pStyle w:val="SingleTxtG"/>
        <w:rPr>
          <w:iCs/>
        </w:rPr>
      </w:pPr>
      <w:r>
        <w:t>30.</w:t>
      </w:r>
      <w:r>
        <w:tab/>
        <w:t>Эта тема уже обсуждалась на двадцать первом совещании. В отступление от подраздела 3.2.3.1 (колонка 16) и главы 9.3 Правил, прилагаемых к ВОПОГ, танкеры, у которых в перечень веществ, допущенных к перевозке, включены вещества, отнесенные к группе взрывоопасности II B, но которые оборудованы пламегасителями для группы взрывоопасности II</w:t>
      </w:r>
      <w:r w:rsidR="000271C3">
        <w:t> </w:t>
      </w:r>
      <w:r>
        <w:t xml:space="preserve">B3, могут по-прежнему оборудоваться пламегасителями для группы взрывоопасности II B3 для перевозки тех опасных грузов из перечня допущенных веществ, которые отнесены к группе взрывоопасности II B, до возобновления свидетельства о допущении после 31 декабря 2018 года. </w:t>
      </w:r>
    </w:p>
    <w:p w14:paraId="2A6B4315" w14:textId="781FE796" w:rsidR="00117427" w:rsidRPr="00CB1DC2" w:rsidRDefault="00117427" w:rsidP="00117427">
      <w:pPr>
        <w:pStyle w:val="SingleTxtG"/>
        <w:rPr>
          <w:iCs/>
        </w:rPr>
      </w:pPr>
      <w:r>
        <w:lastRenderedPageBreak/>
        <w:t>31.</w:t>
      </w:r>
      <w:r>
        <w:tab/>
        <w:t>Дискуссия была вызвана заявлением владельца одного из судов, который утверждал, что, когда судно должно возобновить свидетельство о допущении ВОПОГ после 31 декабря 2018 года в ходе освидетельствования для возобновления класса (специальное освидетельствование), во время которого взрывозащита была установлена на уровне II</w:t>
      </w:r>
      <w:r w:rsidR="000271C3">
        <w:t> </w:t>
      </w:r>
      <w:r>
        <w:t>B3 согласно соглашению M</w:t>
      </w:r>
      <w:r w:rsidR="000271C3">
        <w:t> </w:t>
      </w:r>
      <w:r>
        <w:t>018, это же судно может перевозить грузы, отнесенные к группе взрывоопасности II</w:t>
      </w:r>
      <w:r w:rsidR="000271C3">
        <w:t> </w:t>
      </w:r>
      <w:r>
        <w:t>B, до следующего возобновления свидетельства о допущении ВОПОГ (освидетельствования для возобновления класса (специального освидетельствования)) после 31 декабря 2021</w:t>
      </w:r>
      <w:r w:rsidR="000271C3">
        <w:t> </w:t>
      </w:r>
      <w:r>
        <w:t xml:space="preserve">года. </w:t>
      </w:r>
    </w:p>
    <w:p w14:paraId="6FF95112" w14:textId="77777777" w:rsidR="00117427" w:rsidRPr="00CB1DC2" w:rsidRDefault="00117427" w:rsidP="00117427">
      <w:pPr>
        <w:pStyle w:val="SingleTxtG"/>
        <w:rPr>
          <w:iCs/>
        </w:rPr>
      </w:pPr>
      <w:r>
        <w:t>32.</w:t>
      </w:r>
      <w:r>
        <w:tab/>
        <w:t>Многосторонние соглашения имеют приоритет над текстом ВОПОГ. Соглашение М 018 имеет приоритет над ВОПОГ в период с 31 декабря 2018 года по 31 декабря 2021 года. После 31 декабря 2021 года ВОПОГ 2021 года вновь вступает в силу в данном конкретном случае. Эта тема может быть закрыта.</w:t>
      </w:r>
    </w:p>
    <w:p w14:paraId="4AA81494" w14:textId="712321D4" w:rsidR="00117427" w:rsidRPr="00CB1DC2" w:rsidRDefault="00117427" w:rsidP="00117427">
      <w:pPr>
        <w:pStyle w:val="H1G"/>
      </w:pPr>
      <w:r>
        <w:tab/>
        <w:t>C.</w:t>
      </w:r>
      <w:r>
        <w:tab/>
      </w:r>
      <w:r>
        <w:rPr>
          <w:bCs/>
        </w:rPr>
        <w:t xml:space="preserve">Вопрос «Фьюэлз-Юроп» относительно перечня веществ, допущенных к перевозке судном, и транспортных документов </w:t>
      </w:r>
      <w:r w:rsidR="000271C3">
        <w:rPr>
          <w:bCs/>
        </w:rPr>
        <w:t>—</w:t>
      </w:r>
      <w:r>
        <w:rPr>
          <w:bCs/>
        </w:rPr>
        <w:t xml:space="preserve"> документ 22 IG 05c – «Фьюэлз-Юроп»: соответствие перечня веществ и транспортных документов</w:t>
      </w:r>
    </w:p>
    <w:p w14:paraId="2D2A411E" w14:textId="7ECE5B06" w:rsidR="00117427" w:rsidRPr="00CB1DC2" w:rsidRDefault="00117427" w:rsidP="00117427">
      <w:pPr>
        <w:pStyle w:val="SingleTxtG"/>
        <w:rPr>
          <w:iCs/>
        </w:rPr>
      </w:pPr>
      <w:r>
        <w:t>33.</w:t>
      </w:r>
      <w:r>
        <w:tab/>
        <w:t xml:space="preserve">Внесен документ 22 IG 05c </w:t>
      </w:r>
      <w:r w:rsidR="000271C3">
        <w:t>—</w:t>
      </w:r>
      <w:r>
        <w:t xml:space="preserve"> «Фьюэлз-Юроп»: соответствие перечня веществ и транспортных документов. Проводится обсуждение позиций, отмеченных звездочками в таблице C. </w:t>
      </w:r>
    </w:p>
    <w:p w14:paraId="4910DD16" w14:textId="77777777" w:rsidR="00117427" w:rsidRPr="00CB1DC2" w:rsidRDefault="00117427" w:rsidP="00117427">
      <w:pPr>
        <w:pStyle w:val="SingleTxtG"/>
        <w:rPr>
          <w:iCs/>
        </w:rPr>
      </w:pPr>
      <w:r>
        <w:t>34.</w:t>
      </w:r>
      <w:r>
        <w:tab/>
        <w:t>Г-н Досдал (DNV) отмечает, что неясно, почему проблема возникла именно сейчас, так как схема принятия решения уже используется в течение многих лет. Путаница на стороне оператора возникает тогда, когда используются другие наименования продуктов, отличающиеся от наименований, указанных в перечне грузов.</w:t>
      </w:r>
    </w:p>
    <w:p w14:paraId="26FE6FE2" w14:textId="4D86EF16" w:rsidR="00117427" w:rsidRPr="00CB1DC2" w:rsidRDefault="00117427" w:rsidP="00117427">
      <w:pPr>
        <w:pStyle w:val="SingleTxtG"/>
        <w:rPr>
          <w:iCs/>
        </w:rPr>
      </w:pPr>
      <w:r>
        <w:t>35.</w:t>
      </w:r>
      <w:r>
        <w:tab/>
        <w:t xml:space="preserve">Представляется необходимым дальнейшее обсуждение с «Фьюэлз-Юроп». </w:t>
      </w:r>
      <w:r w:rsidR="000271C3">
        <w:br/>
      </w:r>
      <w:r>
        <w:t>Г-н Винке (LR) займется этим вопросом.</w:t>
      </w:r>
    </w:p>
    <w:p w14:paraId="0A16F13E" w14:textId="77777777" w:rsidR="00117427" w:rsidRPr="00CB1DC2" w:rsidRDefault="00117427" w:rsidP="00117427">
      <w:pPr>
        <w:pStyle w:val="H1G"/>
      </w:pPr>
      <w:r>
        <w:tab/>
        <w:t>D.</w:t>
      </w:r>
      <w:r>
        <w:tab/>
      </w:r>
      <w:r>
        <w:tab/>
      </w:r>
      <w:r>
        <w:rPr>
          <w:bCs/>
        </w:rPr>
        <w:t>Прочие вопросы</w:t>
      </w:r>
    </w:p>
    <w:p w14:paraId="2D319D95" w14:textId="77777777" w:rsidR="00117427" w:rsidRPr="00CB1DC2" w:rsidRDefault="00117427" w:rsidP="00117427">
      <w:pPr>
        <w:pStyle w:val="SingleTxtG"/>
        <w:rPr>
          <w:iCs/>
        </w:rPr>
      </w:pPr>
      <w:r>
        <w:t>36.</w:t>
      </w:r>
      <w:r>
        <w:tab/>
        <w:t>Г-н Лангенберг, выступая в качестве наблюдателя, отмечает, что одной из тем в повестке дня мог бы стать «обмен опытом между классификационными обществами», поскольку об этом упоминается в ВОПОГ.</w:t>
      </w:r>
    </w:p>
    <w:p w14:paraId="63773099" w14:textId="77777777" w:rsidR="00117427" w:rsidRPr="00CB1DC2" w:rsidRDefault="00117427" w:rsidP="00117427">
      <w:pPr>
        <w:pStyle w:val="SingleTxtG"/>
        <w:rPr>
          <w:iCs/>
        </w:rPr>
      </w:pPr>
      <w:r>
        <w:t>37.</w:t>
      </w:r>
      <w:r>
        <w:tab/>
        <w:t>Г-н Ремерс (Нидерланды) сообщает информацию о работе неофициальной рабочей группы по вопросу о погрузке поверх. Классификационным обществам будет задан вопрос о включении в последнюю колонку примечания о том, что соответствующий продукт может грузиться поверх. Г-н Винке (LR) подтверждает, что это возможно. Это означает, что необходимо включить примечание в колонку 20 таблицы С. Затем это примечание может быть использовано в качестве аналогичного примечания или замечания в перечне продуктов.</w:t>
      </w:r>
    </w:p>
    <w:p w14:paraId="6E9044C1" w14:textId="77777777" w:rsidR="00117427" w:rsidRPr="00CB1DC2" w:rsidRDefault="00117427" w:rsidP="00117427">
      <w:pPr>
        <w:pStyle w:val="HChG"/>
      </w:pPr>
      <w:r>
        <w:tab/>
        <w:t>VI.</w:t>
      </w:r>
      <w:r>
        <w:tab/>
        <w:t>Дата</w:t>
      </w:r>
      <w:r>
        <w:rPr>
          <w:bCs/>
        </w:rPr>
        <w:t xml:space="preserve"> и место проведения следующего совещания</w:t>
      </w:r>
    </w:p>
    <w:p w14:paraId="2FAAA4E3" w14:textId="77777777" w:rsidR="00117427" w:rsidRPr="00CB1DC2" w:rsidRDefault="00117427" w:rsidP="00117427">
      <w:pPr>
        <w:pStyle w:val="SingleTxtG"/>
      </w:pPr>
      <w:r>
        <w:t>38.</w:t>
      </w:r>
      <w:r>
        <w:tab/>
        <w:t>Среда, 16 марта 2022 года в Загребе.</w:t>
      </w:r>
    </w:p>
    <w:p w14:paraId="40846D36" w14:textId="77777777" w:rsidR="00117427" w:rsidRDefault="00117427" w:rsidP="00117427">
      <w:pPr>
        <w:pStyle w:val="HChG"/>
      </w:pPr>
      <w:r>
        <w:tab/>
        <w:t>VII.</w:t>
      </w:r>
      <w:r>
        <w:tab/>
      </w:r>
      <w:r>
        <w:rPr>
          <w:bCs/>
        </w:rPr>
        <w:t>Закрытие совещания</w:t>
      </w:r>
    </w:p>
    <w:p w14:paraId="43D3619E" w14:textId="56136141" w:rsidR="00E12C5F" w:rsidRPr="008D53B6" w:rsidRDefault="00117427" w:rsidP="0011742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117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3A7B" w14:textId="77777777" w:rsidR="00342759" w:rsidRPr="00A312BC" w:rsidRDefault="00342759" w:rsidP="00A312BC"/>
  </w:endnote>
  <w:endnote w:type="continuationSeparator" w:id="0">
    <w:p w14:paraId="371B4461" w14:textId="77777777" w:rsidR="00342759" w:rsidRPr="00A312BC" w:rsidRDefault="003427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2F43" w14:textId="506B7E29" w:rsidR="00117427" w:rsidRPr="00117427" w:rsidRDefault="00117427">
    <w:pPr>
      <w:pStyle w:val="a8"/>
    </w:pPr>
    <w:r w:rsidRPr="00117427">
      <w:rPr>
        <w:b/>
        <w:sz w:val="18"/>
      </w:rPr>
      <w:fldChar w:fldCharType="begin"/>
    </w:r>
    <w:r w:rsidRPr="00117427">
      <w:rPr>
        <w:b/>
        <w:sz w:val="18"/>
      </w:rPr>
      <w:instrText xml:space="preserve"> PAGE  \* MERGEFORMAT </w:instrText>
    </w:r>
    <w:r w:rsidRPr="00117427">
      <w:rPr>
        <w:b/>
        <w:sz w:val="18"/>
      </w:rPr>
      <w:fldChar w:fldCharType="separate"/>
    </w:r>
    <w:r w:rsidRPr="00117427">
      <w:rPr>
        <w:b/>
        <w:noProof/>
        <w:sz w:val="18"/>
      </w:rPr>
      <w:t>2</w:t>
    </w:r>
    <w:r w:rsidRPr="00117427">
      <w:rPr>
        <w:b/>
        <w:sz w:val="18"/>
      </w:rPr>
      <w:fldChar w:fldCharType="end"/>
    </w:r>
    <w:r>
      <w:rPr>
        <w:b/>
        <w:sz w:val="18"/>
      </w:rPr>
      <w:tab/>
    </w:r>
    <w:r>
      <w:t>GE.21-16508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0B98" w14:textId="73D29938" w:rsidR="00117427" w:rsidRPr="00117427" w:rsidRDefault="00117427" w:rsidP="00117427">
    <w:pPr>
      <w:pStyle w:val="a8"/>
      <w:tabs>
        <w:tab w:val="clear" w:pos="9639"/>
        <w:tab w:val="right" w:pos="9638"/>
      </w:tabs>
      <w:rPr>
        <w:b/>
        <w:sz w:val="18"/>
      </w:rPr>
    </w:pPr>
    <w:r>
      <w:t>GE.21-16508</w:t>
    </w:r>
    <w:r>
      <w:tab/>
    </w:r>
    <w:r w:rsidRPr="00117427">
      <w:rPr>
        <w:b/>
        <w:sz w:val="18"/>
      </w:rPr>
      <w:fldChar w:fldCharType="begin"/>
    </w:r>
    <w:r w:rsidRPr="00117427">
      <w:rPr>
        <w:b/>
        <w:sz w:val="18"/>
      </w:rPr>
      <w:instrText xml:space="preserve"> PAGE  \* MERGEFORMAT </w:instrText>
    </w:r>
    <w:r w:rsidRPr="00117427">
      <w:rPr>
        <w:b/>
        <w:sz w:val="18"/>
      </w:rPr>
      <w:fldChar w:fldCharType="separate"/>
    </w:r>
    <w:r w:rsidRPr="00117427">
      <w:rPr>
        <w:b/>
        <w:noProof/>
        <w:sz w:val="18"/>
      </w:rPr>
      <w:t>3</w:t>
    </w:r>
    <w:r w:rsidRPr="001174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8D5D" w14:textId="43A85820" w:rsidR="00042B72" w:rsidRPr="00117427" w:rsidRDefault="00117427" w:rsidP="0011742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51F0F8" wp14:editId="478CD4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21-16508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E2AAA0" wp14:editId="1F7771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171121  171121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010EF" w14:textId="77777777" w:rsidR="00342759" w:rsidRPr="001075E9" w:rsidRDefault="003427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334E6" w14:textId="77777777" w:rsidR="00342759" w:rsidRDefault="003427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B3C18D" w14:textId="77777777" w:rsidR="00117427" w:rsidRPr="00CB1DC2" w:rsidRDefault="00117427" w:rsidP="00117427">
      <w:pPr>
        <w:pStyle w:val="ad"/>
      </w:pPr>
      <w:r>
        <w:tab/>
      </w:r>
      <w:r w:rsidRPr="0011742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CCNR-ZKR/ADN/WP.15/AC.2/2022/11.</w:t>
      </w:r>
    </w:p>
  </w:footnote>
  <w:footnote w:id="2">
    <w:p w14:paraId="10151957" w14:textId="77777777" w:rsidR="00117427" w:rsidRPr="002F2114" w:rsidRDefault="00117427" w:rsidP="00117427">
      <w:pPr>
        <w:pStyle w:val="ad"/>
        <w:widowControl w:val="0"/>
      </w:pPr>
      <w:r>
        <w:tab/>
      </w:r>
      <w:r w:rsidRPr="00117427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F3F1" w14:textId="6DE7A524" w:rsidR="00117427" w:rsidRPr="00117427" w:rsidRDefault="00117427">
    <w:pPr>
      <w:pStyle w:val="a5"/>
    </w:pPr>
    <w:fldSimple w:instr=" TITLE  \* MERGEFORMAT ">
      <w:r w:rsidR="00BA2C76">
        <w:t>ECE/TRANS/WP.15/AC.2/2022/11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0ABE" w14:textId="12D8438D" w:rsidR="00117427" w:rsidRPr="00117427" w:rsidRDefault="00117427" w:rsidP="00117427">
    <w:pPr>
      <w:pStyle w:val="a5"/>
      <w:jc w:val="right"/>
    </w:pPr>
    <w:fldSimple w:instr=" TITLE  \* MERGEFORMAT ">
      <w:r w:rsidR="00BA2C76">
        <w:t>ECE/TRANS/WP.15/AC.2/2022/11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42FD" w14:textId="77777777" w:rsidR="00117427" w:rsidRDefault="00117427" w:rsidP="001174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H23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9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59"/>
    <w:rsid w:val="000271C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7427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759"/>
    <w:rsid w:val="00381C24"/>
    <w:rsid w:val="00387CD4"/>
    <w:rsid w:val="003958D0"/>
    <w:rsid w:val="003A0D43"/>
    <w:rsid w:val="003A48CE"/>
    <w:rsid w:val="003B00E5"/>
    <w:rsid w:val="003D2744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5C1D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786B"/>
    <w:rsid w:val="00A84021"/>
    <w:rsid w:val="00A84D35"/>
    <w:rsid w:val="00A917B3"/>
    <w:rsid w:val="00AB4B51"/>
    <w:rsid w:val="00B10CC7"/>
    <w:rsid w:val="00B36DF7"/>
    <w:rsid w:val="00B539E7"/>
    <w:rsid w:val="00B62458"/>
    <w:rsid w:val="00BA2C76"/>
    <w:rsid w:val="00BC18B2"/>
    <w:rsid w:val="00BD33EE"/>
    <w:rsid w:val="00BE1CC7"/>
    <w:rsid w:val="00C106D6"/>
    <w:rsid w:val="00C119AE"/>
    <w:rsid w:val="00C60F0C"/>
    <w:rsid w:val="00C614F8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77B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9BCFE4"/>
  <w15:docId w15:val="{961E353E-D2EF-43FC-AFB9-39FB89A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11742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locked/>
    <w:rsid w:val="00117427"/>
    <w:rPr>
      <w:lang w:val="ru-RU" w:eastAsia="en-US"/>
    </w:rPr>
  </w:style>
  <w:style w:type="character" w:customStyle="1" w:styleId="HChGChar">
    <w:name w:val="_ H _Ch_G Char"/>
    <w:link w:val="HChG"/>
    <w:rsid w:val="00117427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E1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o.nl/en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08BCD-E7B1-49E6-AA65-E6F62534C68B}"/>
</file>

<file path=customXml/itemProps2.xml><?xml version="1.0" encoding="utf-8"?>
<ds:datastoreItem xmlns:ds="http://schemas.openxmlformats.org/officeDocument/2006/customXml" ds:itemID="{941A4E32-CDE2-409C-98C1-A842E3F2E195}"/>
</file>

<file path=customXml/itemProps3.xml><?xml version="1.0" encoding="utf-8"?>
<ds:datastoreItem xmlns:ds="http://schemas.openxmlformats.org/officeDocument/2006/customXml" ds:itemID="{B1DF024D-16B6-4400-A6B5-3D76FF28AB0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1873</Words>
  <Characters>12590</Characters>
  <Application>Microsoft Office Word</Application>
  <DocSecurity>0</DocSecurity>
  <Lines>1144</Lines>
  <Paragraphs>482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ECE/TRANS/WP.15/AC.2/2022/11</vt:lpstr>
      <vt:lpstr>A/</vt:lpstr>
      <vt:lpstr>A/</vt:lpstr>
    </vt:vector>
  </TitlesOfParts>
  <Company>DCM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ECE/TRANS/WP.15/AC.2/2022/11</dc:title>
  <dc:subject/>
  <dc:creator>Olga OVTCHINNIKOVA</dc:creator>
  <cp:keywords/>
  <cp:lastModifiedBy>Olga Ovchinnikova</cp:lastModifiedBy>
  <cp:revision>3</cp:revision>
  <cp:lastPrinted>2021-11-17T12:11:00Z</cp:lastPrinted>
  <dcterms:created xsi:type="dcterms:W3CDTF">2021-11-17T12:11:00Z</dcterms:created>
  <dcterms:modified xsi:type="dcterms:W3CDTF">2021-11-17T12:12:00Z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