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6234A9" w14:textId="77777777" w:rsidTr="00B20551">
        <w:trPr>
          <w:cantSplit/>
          <w:trHeight w:hRule="exact" w:val="851"/>
        </w:trPr>
        <w:tc>
          <w:tcPr>
            <w:tcW w:w="1276" w:type="dxa"/>
            <w:tcBorders>
              <w:bottom w:val="single" w:sz="4" w:space="0" w:color="auto"/>
            </w:tcBorders>
            <w:vAlign w:val="bottom"/>
          </w:tcPr>
          <w:p w14:paraId="45DC071C" w14:textId="77777777" w:rsidR="009E6CB7" w:rsidRDefault="009E6CB7" w:rsidP="00B20551">
            <w:pPr>
              <w:spacing w:after="80"/>
            </w:pPr>
          </w:p>
        </w:tc>
        <w:tc>
          <w:tcPr>
            <w:tcW w:w="2268" w:type="dxa"/>
            <w:tcBorders>
              <w:bottom w:val="single" w:sz="4" w:space="0" w:color="auto"/>
            </w:tcBorders>
            <w:vAlign w:val="bottom"/>
          </w:tcPr>
          <w:p w14:paraId="250991E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2FA88D" w14:textId="32B0216D" w:rsidR="009E6CB7" w:rsidRPr="00D47EEA" w:rsidRDefault="00710A56" w:rsidP="00710A56">
            <w:pPr>
              <w:jc w:val="right"/>
            </w:pPr>
            <w:r w:rsidRPr="00710A56">
              <w:rPr>
                <w:sz w:val="40"/>
              </w:rPr>
              <w:t>ECE</w:t>
            </w:r>
            <w:r>
              <w:t>/TRANS/WP.15/AC.2/2022/11</w:t>
            </w:r>
          </w:p>
        </w:tc>
      </w:tr>
      <w:tr w:rsidR="009E6CB7" w14:paraId="2D13E721" w14:textId="77777777" w:rsidTr="00B20551">
        <w:trPr>
          <w:cantSplit/>
          <w:trHeight w:hRule="exact" w:val="2835"/>
        </w:trPr>
        <w:tc>
          <w:tcPr>
            <w:tcW w:w="1276" w:type="dxa"/>
            <w:tcBorders>
              <w:top w:val="single" w:sz="4" w:space="0" w:color="auto"/>
              <w:bottom w:val="single" w:sz="12" w:space="0" w:color="auto"/>
            </w:tcBorders>
          </w:tcPr>
          <w:p w14:paraId="488B38F2" w14:textId="77777777" w:rsidR="009E6CB7" w:rsidRDefault="00686A48" w:rsidP="00B20551">
            <w:pPr>
              <w:spacing w:before="120"/>
            </w:pPr>
            <w:r>
              <w:rPr>
                <w:noProof/>
                <w:lang w:val="fr-CH" w:eastAsia="fr-CH"/>
              </w:rPr>
              <w:drawing>
                <wp:inline distT="0" distB="0" distL="0" distR="0" wp14:anchorId="1CF08BF3" wp14:editId="5335BC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14780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C7DE441" w14:textId="77777777" w:rsidR="009E6CB7" w:rsidRDefault="00710A56" w:rsidP="00710A56">
            <w:pPr>
              <w:spacing w:before="240" w:line="240" w:lineRule="exact"/>
            </w:pPr>
            <w:r>
              <w:t>Distr.: General</w:t>
            </w:r>
          </w:p>
          <w:p w14:paraId="02A61648" w14:textId="45F37D6D" w:rsidR="00710A56" w:rsidRDefault="004C64AE" w:rsidP="00710A56">
            <w:pPr>
              <w:spacing w:line="240" w:lineRule="exact"/>
            </w:pPr>
            <w:r>
              <w:t>11</w:t>
            </w:r>
            <w:r w:rsidR="00710A56">
              <w:t xml:space="preserve"> November 202</w:t>
            </w:r>
            <w:r w:rsidR="00B47BBF">
              <w:t>1</w:t>
            </w:r>
          </w:p>
          <w:p w14:paraId="0B738C72" w14:textId="77777777" w:rsidR="00710A56" w:rsidRDefault="00710A56" w:rsidP="00710A56">
            <w:pPr>
              <w:spacing w:line="240" w:lineRule="exact"/>
            </w:pPr>
          </w:p>
          <w:p w14:paraId="4C4C7AE8" w14:textId="6ADF983A" w:rsidR="00710A56" w:rsidRDefault="00710A56" w:rsidP="00710A56">
            <w:pPr>
              <w:spacing w:line="240" w:lineRule="exact"/>
            </w:pPr>
            <w:r>
              <w:t>Original: English</w:t>
            </w:r>
          </w:p>
        </w:tc>
      </w:tr>
    </w:tbl>
    <w:p w14:paraId="3D0FBC6E" w14:textId="5D8BB897" w:rsidR="00891A4B" w:rsidRDefault="00891A4B" w:rsidP="00710A56">
      <w:pPr>
        <w:spacing w:before="120"/>
        <w:rPr>
          <w:b/>
          <w:sz w:val="28"/>
          <w:szCs w:val="28"/>
        </w:rPr>
      </w:pPr>
      <w:r w:rsidRPr="00AB134D">
        <w:rPr>
          <w:b/>
          <w:sz w:val="28"/>
          <w:szCs w:val="28"/>
        </w:rPr>
        <w:t>Economic Commission for Europe</w:t>
      </w:r>
    </w:p>
    <w:p w14:paraId="5EAA4653" w14:textId="77777777" w:rsidR="007A70A4" w:rsidRPr="003344AF" w:rsidRDefault="007A70A4" w:rsidP="007A70A4">
      <w:pPr>
        <w:spacing w:before="120"/>
        <w:rPr>
          <w:sz w:val="28"/>
          <w:szCs w:val="28"/>
        </w:rPr>
      </w:pPr>
      <w:r w:rsidRPr="003344AF">
        <w:rPr>
          <w:sz w:val="28"/>
          <w:szCs w:val="28"/>
        </w:rPr>
        <w:t>Inland Transport Committee</w:t>
      </w:r>
    </w:p>
    <w:p w14:paraId="4558D271" w14:textId="77777777" w:rsidR="007A70A4" w:rsidRPr="003344AF" w:rsidRDefault="007A70A4" w:rsidP="007A70A4">
      <w:pPr>
        <w:spacing w:before="120"/>
        <w:rPr>
          <w:b/>
          <w:sz w:val="24"/>
          <w:szCs w:val="24"/>
        </w:rPr>
      </w:pPr>
      <w:r w:rsidRPr="003344AF">
        <w:rPr>
          <w:b/>
          <w:sz w:val="24"/>
          <w:szCs w:val="24"/>
        </w:rPr>
        <w:t>Working Party on the Transport of Dangerous Goods</w:t>
      </w:r>
    </w:p>
    <w:p w14:paraId="7B8E0F4A" w14:textId="77777777" w:rsidR="007A70A4" w:rsidRPr="003344AF" w:rsidRDefault="007A70A4" w:rsidP="007A70A4">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13ED8CB6" w14:textId="77777777" w:rsidR="007A70A4" w:rsidRPr="003344AF" w:rsidRDefault="007A70A4" w:rsidP="007A70A4">
      <w:pPr>
        <w:rPr>
          <w:b/>
        </w:rPr>
      </w:pPr>
      <w:r w:rsidRPr="003344AF">
        <w:rPr>
          <w:b/>
        </w:rPr>
        <w:t>(ADN Safety Committee)</w:t>
      </w:r>
    </w:p>
    <w:p w14:paraId="1B3BDB4A" w14:textId="77777777" w:rsidR="007A70A4" w:rsidRPr="003344AF" w:rsidRDefault="007A70A4" w:rsidP="007A70A4">
      <w:pPr>
        <w:spacing w:before="120"/>
        <w:rPr>
          <w:b/>
        </w:rPr>
      </w:pPr>
      <w:r w:rsidRPr="003344AF">
        <w:rPr>
          <w:b/>
        </w:rPr>
        <w:t>Thirty-</w:t>
      </w:r>
      <w:r>
        <w:rPr>
          <w:b/>
        </w:rPr>
        <w:t>nin</w:t>
      </w:r>
      <w:r w:rsidRPr="003344AF">
        <w:rPr>
          <w:b/>
        </w:rPr>
        <w:t>th session</w:t>
      </w:r>
    </w:p>
    <w:p w14:paraId="6258700F" w14:textId="77777777" w:rsidR="007A70A4" w:rsidRPr="003344AF" w:rsidRDefault="007A70A4" w:rsidP="007A70A4">
      <w:r w:rsidRPr="003344AF">
        <w:t>Geneva, 2</w:t>
      </w:r>
      <w:r>
        <w:t>4</w:t>
      </w:r>
      <w:r w:rsidRPr="003344AF">
        <w:t>–2</w:t>
      </w:r>
      <w:r>
        <w:t>8</w:t>
      </w:r>
      <w:r w:rsidRPr="003344AF">
        <w:t xml:space="preserve"> </w:t>
      </w:r>
      <w:r>
        <w:t>January 2022</w:t>
      </w:r>
    </w:p>
    <w:p w14:paraId="75CFE8E8" w14:textId="77777777" w:rsidR="007A70A4" w:rsidRPr="003344AF" w:rsidRDefault="007A70A4" w:rsidP="007A70A4">
      <w:r w:rsidRPr="003344AF">
        <w:t xml:space="preserve">Item </w:t>
      </w:r>
      <w:r>
        <w:t>6</w:t>
      </w:r>
      <w:r w:rsidRPr="003344AF">
        <w:t xml:space="preserve"> of the provisional agenda</w:t>
      </w:r>
    </w:p>
    <w:p w14:paraId="4426F6FB" w14:textId="77777777" w:rsidR="007A70A4" w:rsidRPr="00A05C2E" w:rsidRDefault="007A70A4" w:rsidP="007A70A4">
      <w:pPr>
        <w:rPr>
          <w:b/>
        </w:rPr>
      </w:pPr>
      <w:r w:rsidRPr="00A05C2E">
        <w:rPr>
          <w:b/>
          <w:bCs/>
        </w:rPr>
        <w:t>Reports of informal working groups</w:t>
      </w:r>
    </w:p>
    <w:p w14:paraId="25DDC7D6" w14:textId="77777777" w:rsidR="007A70A4" w:rsidRPr="00A05C2E" w:rsidRDefault="007A70A4" w:rsidP="007A70A4">
      <w:pPr>
        <w:pStyle w:val="HChG"/>
      </w:pPr>
      <w:r w:rsidRPr="00A05C2E">
        <w:tab/>
      </w:r>
      <w:r w:rsidRPr="00A05C2E">
        <w:tab/>
        <w:t>Minutes of meeting of the twenty-first meeting of the Group of Recommended ADN Classification Societies</w:t>
      </w:r>
    </w:p>
    <w:p w14:paraId="48482F9D" w14:textId="77777777" w:rsidR="007A70A4" w:rsidRPr="00A05C2E" w:rsidRDefault="007A70A4" w:rsidP="007A70A4">
      <w:pPr>
        <w:pStyle w:val="H1G"/>
      </w:pPr>
      <w:r w:rsidRPr="00A05C2E">
        <w:tab/>
      </w:r>
      <w:r w:rsidRPr="00A05C2E">
        <w:tab/>
        <w:t>Submitted by the Group of Recommended ADN Classification Societies</w:t>
      </w:r>
      <w:r w:rsidRPr="00DC32CB">
        <w:rPr>
          <w:rStyle w:val="FootnoteReference"/>
          <w:b w:val="0"/>
          <w:bCs/>
          <w:sz w:val="20"/>
          <w:vertAlign w:val="baseline"/>
        </w:rPr>
        <w:footnoteReference w:customMarkFollows="1" w:id="2"/>
        <w:t>*</w:t>
      </w:r>
      <w:r w:rsidRPr="00A05C2E">
        <w:rPr>
          <w:b w:val="0"/>
          <w:bCs/>
          <w:sz w:val="20"/>
          <w:vertAlign w:val="superscript"/>
        </w:rPr>
        <w:t>,</w:t>
      </w:r>
      <w:r w:rsidRPr="00A05C2E">
        <w:rPr>
          <w:sz w:val="20"/>
          <w:vertAlign w:val="superscript"/>
        </w:rPr>
        <w:t xml:space="preserve"> </w:t>
      </w:r>
      <w:r w:rsidRPr="00DC32CB">
        <w:rPr>
          <w:rStyle w:val="FootnoteReference"/>
          <w:b w:val="0"/>
          <w:bCs/>
          <w:sz w:val="20"/>
          <w:vertAlign w:val="baseline"/>
        </w:rPr>
        <w:footnoteReference w:customMarkFollows="1" w:id="3"/>
        <w:t>**</w:t>
      </w:r>
    </w:p>
    <w:p w14:paraId="14576FD5" w14:textId="0BF3A8B9" w:rsidR="007A70A4" w:rsidRPr="00A05C2E" w:rsidRDefault="007A70A4" w:rsidP="007A70A4">
      <w:pPr>
        <w:pStyle w:val="SingleTxtG"/>
      </w:pPr>
      <w:r w:rsidRPr="00A05C2E">
        <w:t xml:space="preserve">Date: </w:t>
      </w:r>
      <w:r>
        <w:t>20</w:t>
      </w:r>
      <w:r w:rsidRPr="00A05C2E">
        <w:t xml:space="preserve"> </w:t>
      </w:r>
      <w:r>
        <w:t>October</w:t>
      </w:r>
      <w:r w:rsidRPr="00A05C2E">
        <w:t xml:space="preserve"> 202</w:t>
      </w:r>
      <w:r w:rsidR="0016722F">
        <w:t>1</w:t>
      </w:r>
      <w:r w:rsidRPr="00A05C2E">
        <w:t>, 09:30 – 16:30 hrs</w:t>
      </w:r>
    </w:p>
    <w:p w14:paraId="7969F107" w14:textId="03B3468A" w:rsidR="007A70A4" w:rsidRPr="00A05C2E" w:rsidRDefault="007A70A4" w:rsidP="007A70A4">
      <w:pPr>
        <w:pStyle w:val="SingleTxtG"/>
      </w:pPr>
      <w:r w:rsidRPr="00A05C2E">
        <w:t xml:space="preserve">Location: online </w:t>
      </w:r>
      <w:r w:rsidR="00945F6C">
        <w:t>—</w:t>
      </w:r>
      <w:r w:rsidRPr="00A05C2E">
        <w:t xml:space="preserve"> meeting via Microsoft Teams</w:t>
      </w:r>
    </w:p>
    <w:p w14:paraId="705091A7" w14:textId="77777777" w:rsidR="007A70A4" w:rsidRPr="00A05C2E" w:rsidRDefault="007A70A4" w:rsidP="007A70A4">
      <w:pPr>
        <w:pStyle w:val="SingleTxtG"/>
      </w:pPr>
      <w:r w:rsidRPr="00A05C2E">
        <w:t>Attendees:</w:t>
      </w:r>
    </w:p>
    <w:p w14:paraId="5DF09419" w14:textId="43757DD6" w:rsidR="007A70A4" w:rsidRPr="00A05C2E" w:rsidRDefault="006A7C7C" w:rsidP="006A7C7C">
      <w:pPr>
        <w:pStyle w:val="Bullet2G"/>
        <w:numPr>
          <w:ilvl w:val="0"/>
          <w:numId w:val="0"/>
        </w:numPr>
        <w:tabs>
          <w:tab w:val="left" w:pos="5132"/>
        </w:tabs>
        <w:ind w:left="1843" w:hanging="142"/>
      </w:pPr>
      <w:r w:rsidRPr="00A05C2E">
        <w:t>•</w:t>
      </w:r>
      <w:r w:rsidRPr="00A05C2E">
        <w:tab/>
      </w:r>
      <w:r w:rsidR="007A70A4" w:rsidRPr="00715964">
        <w:t>Bureau Veritas (</w:t>
      </w:r>
      <w:r w:rsidR="007A70A4" w:rsidRPr="00A05C2E">
        <w:t>BV</w:t>
      </w:r>
      <w:r w:rsidR="007A70A4">
        <w:t>)</w:t>
      </w:r>
      <w:r w:rsidR="007A70A4" w:rsidRPr="00A05C2E">
        <w:t>: Mr. Mr. Guy Jacobs</w:t>
      </w:r>
    </w:p>
    <w:p w14:paraId="716E7A97" w14:textId="6C3B8BF7" w:rsidR="007A70A4" w:rsidRPr="00A05C2E" w:rsidRDefault="006A7C7C" w:rsidP="006A7C7C">
      <w:pPr>
        <w:pStyle w:val="Bullet2G"/>
        <w:numPr>
          <w:ilvl w:val="0"/>
          <w:numId w:val="0"/>
        </w:numPr>
        <w:tabs>
          <w:tab w:val="left" w:pos="5132"/>
        </w:tabs>
        <w:ind w:left="1843" w:hanging="142"/>
      </w:pPr>
      <w:r w:rsidRPr="00A05C2E">
        <w:t>•</w:t>
      </w:r>
      <w:r w:rsidRPr="00A05C2E">
        <w:tab/>
      </w:r>
      <w:r w:rsidR="007A70A4" w:rsidRPr="00715964">
        <w:t>Croatian Register of Shipping (</w:t>
      </w:r>
      <w:r w:rsidR="007A70A4" w:rsidRPr="00A05C2E">
        <w:t>CRS</w:t>
      </w:r>
      <w:r w:rsidR="007A70A4">
        <w:t>)</w:t>
      </w:r>
      <w:r w:rsidR="007A70A4" w:rsidRPr="00A05C2E">
        <w:t>: Mr. Ivan Bilić Prcić (chairman)</w:t>
      </w:r>
      <w:r w:rsidR="007A70A4">
        <w:t>, Mr. Miso Macura</w:t>
      </w:r>
    </w:p>
    <w:p w14:paraId="3661E832" w14:textId="652F8CDB" w:rsidR="007A70A4" w:rsidRPr="002A268E" w:rsidRDefault="006A7C7C" w:rsidP="006A7C7C">
      <w:pPr>
        <w:pStyle w:val="Bullet2G"/>
        <w:numPr>
          <w:ilvl w:val="0"/>
          <w:numId w:val="0"/>
        </w:numPr>
        <w:tabs>
          <w:tab w:val="left" w:pos="5132"/>
        </w:tabs>
        <w:ind w:left="1843" w:hanging="142"/>
      </w:pPr>
      <w:r w:rsidRPr="002A268E">
        <w:t>•</w:t>
      </w:r>
      <w:r w:rsidRPr="002A268E">
        <w:tab/>
      </w:r>
      <w:r w:rsidR="007A70A4" w:rsidRPr="002A268E">
        <w:t>Det Norske Veritas</w:t>
      </w:r>
      <w:r w:rsidR="007A70A4" w:rsidRPr="002E4CA3">
        <w:t xml:space="preserve"> (</w:t>
      </w:r>
      <w:r w:rsidR="007A70A4" w:rsidRPr="002A268E">
        <w:t xml:space="preserve">DNV): Mr. Torsten Dosdahl </w:t>
      </w:r>
    </w:p>
    <w:p w14:paraId="65158B05" w14:textId="641DC586" w:rsidR="007A70A4" w:rsidRPr="00A05C2E" w:rsidRDefault="006A7C7C" w:rsidP="006A7C7C">
      <w:pPr>
        <w:pStyle w:val="Bullet2G"/>
        <w:numPr>
          <w:ilvl w:val="0"/>
          <w:numId w:val="0"/>
        </w:numPr>
        <w:tabs>
          <w:tab w:val="left" w:pos="5132"/>
        </w:tabs>
        <w:ind w:left="1843" w:hanging="142"/>
      </w:pPr>
      <w:r w:rsidRPr="00A05C2E">
        <w:t>•</w:t>
      </w:r>
      <w:r w:rsidRPr="00A05C2E">
        <w:tab/>
      </w:r>
      <w:r w:rsidR="007A70A4" w:rsidRPr="00715964">
        <w:t>Lloyds Register (</w:t>
      </w:r>
      <w:r w:rsidR="007A70A4" w:rsidRPr="00A05C2E">
        <w:t>LR</w:t>
      </w:r>
      <w:r w:rsidR="007A70A4">
        <w:t>)</w:t>
      </w:r>
      <w:r w:rsidR="007A70A4" w:rsidRPr="00A05C2E">
        <w:t>: Mr. Bas Joormann, Mr. Karel Vinke</w:t>
      </w:r>
    </w:p>
    <w:p w14:paraId="06833C40" w14:textId="567BBD66" w:rsidR="007A70A4" w:rsidRPr="001F789E" w:rsidRDefault="006A7C7C" w:rsidP="006A7C7C">
      <w:pPr>
        <w:pStyle w:val="Bullet2G"/>
        <w:numPr>
          <w:ilvl w:val="0"/>
          <w:numId w:val="0"/>
        </w:numPr>
        <w:tabs>
          <w:tab w:val="left" w:pos="5132"/>
        </w:tabs>
        <w:ind w:left="1843" w:hanging="142"/>
        <w:rPr>
          <w:lang w:val="es-ES"/>
        </w:rPr>
      </w:pPr>
      <w:r w:rsidRPr="001F789E">
        <w:rPr>
          <w:lang w:val="es-ES"/>
        </w:rPr>
        <w:t>•</w:t>
      </w:r>
      <w:r w:rsidRPr="001F789E">
        <w:rPr>
          <w:lang w:val="es-ES"/>
        </w:rPr>
        <w:tab/>
      </w:r>
      <w:r w:rsidR="007A70A4" w:rsidRPr="001F789E">
        <w:rPr>
          <w:lang w:val="es-ES"/>
        </w:rPr>
        <w:t>Registro Italiano Navale (RINA): Mr. Patrizio Di Francesco</w:t>
      </w:r>
    </w:p>
    <w:p w14:paraId="73AB1945" w14:textId="452FD142" w:rsidR="007A70A4" w:rsidRPr="002A268E" w:rsidRDefault="006A7C7C" w:rsidP="006A7C7C">
      <w:pPr>
        <w:pStyle w:val="Bullet2G"/>
        <w:numPr>
          <w:ilvl w:val="0"/>
          <w:numId w:val="0"/>
        </w:numPr>
        <w:tabs>
          <w:tab w:val="left" w:pos="5132"/>
        </w:tabs>
        <w:ind w:left="1843" w:hanging="142"/>
      </w:pPr>
      <w:r w:rsidRPr="002A268E">
        <w:t>•</w:t>
      </w:r>
      <w:r w:rsidRPr="002A268E">
        <w:tab/>
      </w:r>
      <w:r w:rsidR="007A70A4" w:rsidRPr="002A268E">
        <w:t xml:space="preserve">Russian Maritime Register of Shipping (RS): Mr. Sergey Legusha </w:t>
      </w:r>
    </w:p>
    <w:p w14:paraId="05F56AD9" w14:textId="329625AB" w:rsidR="007A70A4" w:rsidRPr="002A268E" w:rsidRDefault="006A7C7C" w:rsidP="006A7C7C">
      <w:pPr>
        <w:pStyle w:val="Bullet2G"/>
        <w:numPr>
          <w:ilvl w:val="0"/>
          <w:numId w:val="0"/>
        </w:numPr>
        <w:tabs>
          <w:tab w:val="left" w:pos="5132"/>
        </w:tabs>
        <w:ind w:left="1843" w:hanging="142"/>
      </w:pPr>
      <w:r w:rsidRPr="002A268E">
        <w:t>•</w:t>
      </w:r>
      <w:r w:rsidRPr="002A268E">
        <w:tab/>
      </w:r>
      <w:r w:rsidR="007A70A4" w:rsidRPr="002A268E">
        <w:t>Russian River Register (RRR): Mr. Michael Kozin</w:t>
      </w:r>
    </w:p>
    <w:p w14:paraId="3310C732" w14:textId="49D95B73" w:rsidR="007A70A4" w:rsidRPr="00A05C2E" w:rsidRDefault="006A7C7C" w:rsidP="006A7C7C">
      <w:pPr>
        <w:pStyle w:val="Bullet2G"/>
        <w:numPr>
          <w:ilvl w:val="0"/>
          <w:numId w:val="0"/>
        </w:numPr>
        <w:tabs>
          <w:tab w:val="left" w:pos="5132"/>
        </w:tabs>
        <w:ind w:left="1843" w:hanging="142"/>
      </w:pPr>
      <w:r w:rsidRPr="00A05C2E">
        <w:t>•</w:t>
      </w:r>
      <w:r w:rsidRPr="00A05C2E">
        <w:tab/>
      </w:r>
      <w:r w:rsidR="007A70A4" w:rsidRPr="00715964">
        <w:t>Shipping Register of Ukraine (</w:t>
      </w:r>
      <w:r w:rsidR="007A70A4" w:rsidRPr="00A05C2E">
        <w:t>SRU</w:t>
      </w:r>
      <w:r w:rsidR="007A70A4">
        <w:t>)</w:t>
      </w:r>
      <w:r w:rsidR="007A70A4" w:rsidRPr="00A05C2E">
        <w:t>: Mr. Mykola Slozko</w:t>
      </w:r>
    </w:p>
    <w:p w14:paraId="25B6A421" w14:textId="77777777" w:rsidR="007A70A4" w:rsidRPr="00A05C2E" w:rsidRDefault="007A70A4" w:rsidP="007A70A4">
      <w:pPr>
        <w:pStyle w:val="SingleTxtG"/>
      </w:pPr>
      <w:r w:rsidRPr="00A05C2E">
        <w:t xml:space="preserve">ADN Safety Committee: </w:t>
      </w:r>
    </w:p>
    <w:p w14:paraId="6AC34D18" w14:textId="38DE791F" w:rsidR="007A70A4" w:rsidRDefault="006A7C7C" w:rsidP="006A7C7C">
      <w:pPr>
        <w:pStyle w:val="Bullet2G"/>
        <w:numPr>
          <w:ilvl w:val="0"/>
          <w:numId w:val="0"/>
        </w:numPr>
        <w:tabs>
          <w:tab w:val="left" w:pos="5132"/>
        </w:tabs>
        <w:ind w:left="1843" w:hanging="142"/>
      </w:pPr>
      <w:r>
        <w:t>•</w:t>
      </w:r>
      <w:r>
        <w:tab/>
      </w:r>
      <w:r w:rsidR="007A70A4" w:rsidRPr="00A05C2E">
        <w:t xml:space="preserve">Mr. Henk Langenberg (chairman </w:t>
      </w:r>
      <w:r w:rsidR="007A70A4">
        <w:t xml:space="preserve">of </w:t>
      </w:r>
      <w:r w:rsidR="007A70A4" w:rsidRPr="00A05C2E">
        <w:t>ADN Safety Committee)</w:t>
      </w:r>
    </w:p>
    <w:p w14:paraId="61717A04" w14:textId="1E5B8A89" w:rsidR="007A70A4" w:rsidRPr="001138D6" w:rsidRDefault="006A7C7C" w:rsidP="006A7C7C">
      <w:pPr>
        <w:pStyle w:val="Bullet2G"/>
        <w:numPr>
          <w:ilvl w:val="0"/>
          <w:numId w:val="0"/>
        </w:numPr>
        <w:tabs>
          <w:tab w:val="left" w:pos="5132"/>
        </w:tabs>
        <w:ind w:left="1843" w:hanging="142"/>
      </w:pPr>
      <w:r w:rsidRPr="001138D6">
        <w:lastRenderedPageBreak/>
        <w:t>•</w:t>
      </w:r>
      <w:r w:rsidRPr="001138D6">
        <w:tab/>
      </w:r>
      <w:r w:rsidR="007A70A4" w:rsidRPr="001138D6">
        <w:t>Mr. Manfred Weiner (Germany, observer)</w:t>
      </w:r>
    </w:p>
    <w:p w14:paraId="5962E5A9" w14:textId="59369769" w:rsidR="007A70A4" w:rsidRPr="00A05C2E" w:rsidRDefault="006A7C7C" w:rsidP="006A7C7C">
      <w:pPr>
        <w:pStyle w:val="Bullet2G"/>
        <w:numPr>
          <w:ilvl w:val="0"/>
          <w:numId w:val="0"/>
        </w:numPr>
        <w:tabs>
          <w:tab w:val="left" w:pos="5132"/>
        </w:tabs>
        <w:ind w:left="1843" w:hanging="142"/>
      </w:pPr>
      <w:r w:rsidRPr="00A05C2E">
        <w:t>•</w:t>
      </w:r>
      <w:r w:rsidRPr="00A05C2E">
        <w:tab/>
      </w:r>
      <w:r w:rsidR="007A70A4" w:rsidRPr="00A05C2E">
        <w:t>Mr. Niels Remers (Netherlands, observer)</w:t>
      </w:r>
    </w:p>
    <w:p w14:paraId="4211680D" w14:textId="5AC18F8A" w:rsidR="007A70A4" w:rsidRDefault="007A70A4" w:rsidP="007A70A4">
      <w:pPr>
        <w:ind w:left="1701" w:hanging="567"/>
      </w:pPr>
      <w:r>
        <w:t>EBU/ESO</w:t>
      </w:r>
      <w:r w:rsidR="0076434E">
        <w:t>:</w:t>
      </w:r>
    </w:p>
    <w:p w14:paraId="30D18487" w14:textId="49A4FACE" w:rsidR="007A70A4" w:rsidRPr="002E4CA3" w:rsidRDefault="006A7C7C" w:rsidP="006A7C7C">
      <w:pPr>
        <w:pStyle w:val="Bullet2G"/>
        <w:numPr>
          <w:ilvl w:val="0"/>
          <w:numId w:val="0"/>
        </w:numPr>
        <w:tabs>
          <w:tab w:val="left" w:pos="5132"/>
        </w:tabs>
        <w:ind w:left="1843" w:hanging="142"/>
      </w:pPr>
      <w:r w:rsidRPr="002E4CA3">
        <w:t>•</w:t>
      </w:r>
      <w:r w:rsidRPr="002E4CA3">
        <w:tab/>
      </w:r>
      <w:r w:rsidR="007A70A4" w:rsidRPr="002E4CA3">
        <w:t>Mr. Michael Zevenbergen</w:t>
      </w:r>
    </w:p>
    <w:p w14:paraId="70D605A8" w14:textId="77777777" w:rsidR="007A70A4" w:rsidRPr="00315520" w:rsidRDefault="007A70A4" w:rsidP="007A70A4">
      <w:pPr>
        <w:spacing w:after="60"/>
        <w:ind w:left="1701" w:hanging="567"/>
      </w:pPr>
      <w:r w:rsidRPr="00315520">
        <w:t>Not attending (with notices):</w:t>
      </w:r>
    </w:p>
    <w:p w14:paraId="5DA3FD55" w14:textId="4CD95BD6" w:rsidR="007A70A4" w:rsidRPr="002E4CA3" w:rsidRDefault="006A7C7C" w:rsidP="006A7C7C">
      <w:pPr>
        <w:pStyle w:val="Bullet2G"/>
        <w:numPr>
          <w:ilvl w:val="0"/>
          <w:numId w:val="0"/>
        </w:numPr>
        <w:tabs>
          <w:tab w:val="left" w:pos="5132"/>
        </w:tabs>
        <w:ind w:left="1843" w:hanging="142"/>
      </w:pPr>
      <w:r w:rsidRPr="002E4CA3">
        <w:t>•</w:t>
      </w:r>
      <w:r w:rsidRPr="002E4CA3">
        <w:tab/>
      </w:r>
      <w:r w:rsidR="007A70A4" w:rsidRPr="002E4CA3">
        <w:t>Mr. Pavlos Safralis (RINA)</w:t>
      </w:r>
    </w:p>
    <w:p w14:paraId="773A9718" w14:textId="0569F49A" w:rsidR="007A70A4" w:rsidRPr="002E4CA3" w:rsidRDefault="006A7C7C" w:rsidP="006A7C7C">
      <w:pPr>
        <w:pStyle w:val="Bullet2G"/>
        <w:numPr>
          <w:ilvl w:val="0"/>
          <w:numId w:val="0"/>
        </w:numPr>
        <w:tabs>
          <w:tab w:val="left" w:pos="5132"/>
        </w:tabs>
        <w:ind w:left="1843" w:hanging="142"/>
      </w:pPr>
      <w:r w:rsidRPr="002E4CA3">
        <w:t>•</w:t>
      </w:r>
      <w:r w:rsidRPr="002E4CA3">
        <w:tab/>
      </w:r>
      <w:r w:rsidR="007A70A4" w:rsidRPr="002E4CA3">
        <w:t>Mr. Raffaele Cocito (BV)</w:t>
      </w:r>
    </w:p>
    <w:p w14:paraId="1DC35F2B" w14:textId="77777777" w:rsidR="007A70A4" w:rsidRPr="00A05C2E" w:rsidRDefault="007A70A4" w:rsidP="007A70A4">
      <w:pPr>
        <w:pStyle w:val="HChG"/>
      </w:pPr>
      <w:r w:rsidRPr="00A05C2E">
        <w:tab/>
        <w:t>I.</w:t>
      </w:r>
      <w:r w:rsidRPr="00A05C2E">
        <w:tab/>
        <w:t>Opening</w:t>
      </w:r>
    </w:p>
    <w:p w14:paraId="6B26BA61" w14:textId="77777777" w:rsidR="007A70A4" w:rsidRPr="00A05C2E" w:rsidRDefault="007A70A4" w:rsidP="007A70A4">
      <w:pPr>
        <w:pStyle w:val="SingleTxtG"/>
      </w:pPr>
      <w:r w:rsidRPr="00A05C2E">
        <w:t>1.</w:t>
      </w:r>
      <w:r w:rsidRPr="00A05C2E">
        <w:tab/>
      </w:r>
      <w:r w:rsidRPr="00CC6BA7">
        <w:t xml:space="preserve">The chairman welcomes the participants for this online meeting. </w:t>
      </w:r>
    </w:p>
    <w:p w14:paraId="47C8F933" w14:textId="59FAABAC" w:rsidR="007A70A4" w:rsidRPr="003A0AE4" w:rsidRDefault="007A70A4" w:rsidP="007A70A4">
      <w:pPr>
        <w:pStyle w:val="HChG"/>
      </w:pPr>
      <w:r w:rsidRPr="00A05C2E">
        <w:tab/>
        <w:t>II.</w:t>
      </w:r>
      <w:r w:rsidRPr="00A05C2E">
        <w:tab/>
        <w:t>Minutes of meeting twent</w:t>
      </w:r>
      <w:r>
        <w:t>y first</w:t>
      </w:r>
      <w:r w:rsidRPr="00A05C2E">
        <w:t xml:space="preserve"> meeting, action points </w:t>
      </w:r>
      <w:r w:rsidR="002763AA" w:rsidRPr="001F789E">
        <w:t>—</w:t>
      </w:r>
      <w:r w:rsidRPr="00A05C2E">
        <w:t xml:space="preserve"> </w:t>
      </w:r>
      <w:r w:rsidR="00B573FF">
        <w:t>document</w:t>
      </w:r>
      <w:r w:rsidRPr="003A0AE4">
        <w:rPr>
          <w:i/>
          <w:iCs/>
        </w:rPr>
        <w:t xml:space="preserve"> </w:t>
      </w:r>
      <w:r w:rsidRPr="003A0AE4">
        <w:t>21 IG 10</w:t>
      </w:r>
    </w:p>
    <w:p w14:paraId="040CEAFA" w14:textId="77777777" w:rsidR="007A70A4" w:rsidRPr="003A0AE4" w:rsidRDefault="007A70A4" w:rsidP="007A70A4">
      <w:pPr>
        <w:pStyle w:val="SingleTxtG"/>
      </w:pPr>
      <w:bookmarkStart w:id="0" w:name="_Hlk66878600"/>
      <w:r w:rsidRPr="003A0AE4">
        <w:t>2.</w:t>
      </w:r>
      <w:r w:rsidRPr="003A0AE4">
        <w:tab/>
        <w:t>The list of action points was discussed.</w:t>
      </w:r>
    </w:p>
    <w:bookmarkEnd w:id="0"/>
    <w:p w14:paraId="7E9F3D4D" w14:textId="0112CC42" w:rsidR="007A70A4" w:rsidRPr="00A05C2E" w:rsidRDefault="007A70A4" w:rsidP="00125C22">
      <w:pPr>
        <w:pStyle w:val="H1G"/>
      </w:pPr>
      <w:r w:rsidRPr="003A0AE4">
        <w:tab/>
      </w:r>
      <w:r w:rsidR="00125C22" w:rsidRPr="003A0AE4">
        <w:t>A.</w:t>
      </w:r>
      <w:r w:rsidRPr="003A0AE4">
        <w:tab/>
        <w:t xml:space="preserve">Propylene Oxide (All / LR) </w:t>
      </w:r>
      <w:r w:rsidR="004273B6">
        <w:t xml:space="preserve">— </w:t>
      </w:r>
      <w:r w:rsidR="001505C4">
        <w:rPr>
          <w:iCs/>
        </w:rPr>
        <w:t>document</w:t>
      </w:r>
      <w:r w:rsidRPr="003A0AE4">
        <w:rPr>
          <w:iCs/>
        </w:rPr>
        <w:t xml:space="preserve"> 17 IG 02a + </w:t>
      </w:r>
      <w:r w:rsidR="001505C4">
        <w:rPr>
          <w:iCs/>
        </w:rPr>
        <w:t>document</w:t>
      </w:r>
      <w:r w:rsidRPr="003A0AE4">
        <w:rPr>
          <w:iCs/>
        </w:rPr>
        <w:t xml:space="preserve"> 22 IG 02a</w:t>
      </w:r>
    </w:p>
    <w:p w14:paraId="3DFFB3ED" w14:textId="130AE264" w:rsidR="007A70A4" w:rsidRPr="00A05C2E" w:rsidRDefault="007A70A4" w:rsidP="007A70A4">
      <w:pPr>
        <w:pStyle w:val="SingleTxtG"/>
      </w:pPr>
      <w:r w:rsidRPr="00A05C2E">
        <w:t>3.</w:t>
      </w:r>
      <w:r w:rsidRPr="00A05C2E">
        <w:tab/>
      </w:r>
      <w:r w:rsidRPr="00CC6BA7">
        <w:t>Mr</w:t>
      </w:r>
      <w:r w:rsidR="001505C4">
        <w:t>.</w:t>
      </w:r>
      <w:r w:rsidRPr="00CC6BA7">
        <w:t xml:space="preserve"> Vinke (LR) introduces the document. The document should be considered as a guidance and should be submitted by the ship owner for each ship on which it is carried. Several questions are raised and some modifications are proposed. Mr</w:t>
      </w:r>
      <w:r w:rsidR="001505C4">
        <w:t>.</w:t>
      </w:r>
      <w:r w:rsidRPr="00CC6BA7">
        <w:t xml:space="preserve"> Vinke (LR) will update the document accordingly.</w:t>
      </w:r>
    </w:p>
    <w:p w14:paraId="15A655CE" w14:textId="08604CB8" w:rsidR="007A70A4" w:rsidRPr="00A05C2E" w:rsidRDefault="007A70A4" w:rsidP="00182F87">
      <w:pPr>
        <w:pStyle w:val="H1G"/>
      </w:pPr>
      <w:r w:rsidRPr="00A05C2E">
        <w:tab/>
      </w:r>
      <w:r w:rsidR="00182F87">
        <w:t>B.</w:t>
      </w:r>
      <w:r w:rsidRPr="00A05C2E">
        <w:tab/>
        <w:t xml:space="preserve">Working group on 9.3.4 </w:t>
      </w:r>
      <w:r w:rsidR="00071957">
        <w:t>—</w:t>
      </w:r>
      <w:r w:rsidRPr="00A05C2E">
        <w:t xml:space="preserve"> (point 22 of report </w:t>
      </w:r>
      <w:r w:rsidR="00470231">
        <w:t>ECE/TRANS</w:t>
      </w:r>
      <w:r w:rsidR="003E6A51">
        <w:t>/</w:t>
      </w:r>
      <w:r w:rsidRPr="00A05C2E">
        <w:t xml:space="preserve">WP.15/AC.2/74; </w:t>
      </w:r>
      <w:r w:rsidR="00D7500A">
        <w:t>informal document</w:t>
      </w:r>
      <w:r w:rsidR="00DC0A1D">
        <w:t>s</w:t>
      </w:r>
      <w:r w:rsidR="00D7500A">
        <w:t xml:space="preserve"> </w:t>
      </w:r>
      <w:r w:rsidRPr="00A05C2E">
        <w:t xml:space="preserve">INF 10 and INF 25 of </w:t>
      </w:r>
      <w:r>
        <w:t>thirty-sixth</w:t>
      </w:r>
      <w:r w:rsidRPr="00A05C2E">
        <w:t xml:space="preserve"> </w:t>
      </w:r>
      <w:r>
        <w:t>session</w:t>
      </w:r>
      <w:r w:rsidRPr="00A05C2E">
        <w:t xml:space="preserve">) </w:t>
      </w:r>
      <w:r w:rsidRPr="00CC6BA7">
        <w:t xml:space="preserve">+ </w:t>
      </w:r>
      <w:r w:rsidR="003E6A51">
        <w:t>ECE/TRANS/</w:t>
      </w:r>
      <w:r w:rsidRPr="00CC6BA7">
        <w:t xml:space="preserve">WP.15/AC.2/2021/18; II(b)) (LR) </w:t>
      </w:r>
    </w:p>
    <w:p w14:paraId="293676FC" w14:textId="50079275" w:rsidR="007A70A4" w:rsidRDefault="007A70A4" w:rsidP="007A70A4">
      <w:pPr>
        <w:pStyle w:val="SingleTxtG"/>
      </w:pPr>
      <w:r w:rsidRPr="00A05C2E">
        <w:t>4.</w:t>
      </w:r>
      <w:r w:rsidRPr="00A05C2E">
        <w:tab/>
      </w:r>
      <w:r w:rsidRPr="00CC6BA7">
        <w:t>Mr</w:t>
      </w:r>
      <w:r w:rsidR="00182F87">
        <w:t>.</w:t>
      </w:r>
      <w:r w:rsidRPr="00CC6BA7">
        <w:t xml:space="preserve"> Joormann (LR) gives an update on the project. Project has started a bit later </w:t>
      </w:r>
      <w:r w:rsidR="000623EE" w:rsidRPr="00CC6BA7">
        <w:t>than</w:t>
      </w:r>
      <w:r w:rsidRPr="00CC6BA7">
        <w:t xml:space="preserve"> expected due to the funding. </w:t>
      </w:r>
      <w:r w:rsidRPr="002E4CA3">
        <w:t xml:space="preserve">Netherlands Organisation for Applied Scientific Research (TNO </w:t>
      </w:r>
      <w:hyperlink r:id="rId11" w:history="1">
        <w:r w:rsidRPr="00B776DB">
          <w:rPr>
            <w:rStyle w:val="Hyperlink"/>
            <w:color w:val="auto"/>
          </w:rPr>
          <w:t>https://www.tno.nl/en/</w:t>
        </w:r>
      </w:hyperlink>
      <w:r w:rsidRPr="002E4CA3">
        <w:t>)</w:t>
      </w:r>
      <w:r>
        <w:t xml:space="preserve"> </w:t>
      </w:r>
      <w:r w:rsidRPr="00CC6BA7">
        <w:t>has organised a meeting on 26 October to give a status overview to all participants. It’s expected that TNO will submit a formal document for discussion at the January session. The statistics and proposals for larger cargo tanks will be ready. The part on new calculation methods isn’t finalised yet. In the submitted document also the further planning will be mentioned.</w:t>
      </w:r>
      <w:r>
        <w:t xml:space="preserve"> </w:t>
      </w:r>
      <w:r w:rsidRPr="00CC6BA7">
        <w:t>(Action LR)</w:t>
      </w:r>
    </w:p>
    <w:p w14:paraId="297F6F66" w14:textId="64F58983" w:rsidR="007A70A4" w:rsidRPr="00A05C2E" w:rsidRDefault="007A70A4" w:rsidP="00844D14">
      <w:pPr>
        <w:pStyle w:val="H1G"/>
      </w:pPr>
      <w:r w:rsidRPr="00A05C2E">
        <w:tab/>
      </w:r>
      <w:r w:rsidR="00844D14">
        <w:t>C.</w:t>
      </w:r>
      <w:r w:rsidRPr="00A05C2E">
        <w:tab/>
        <w:t xml:space="preserve">High velocity valves related to higher temperatures (BV) </w:t>
      </w:r>
      <w:r w:rsidR="00844D14">
        <w:t>—</w:t>
      </w:r>
      <w:r w:rsidRPr="00A05C2E">
        <w:rPr>
          <w:i/>
        </w:rPr>
        <w:t xml:space="preserve"> </w:t>
      </w:r>
      <w:r w:rsidRPr="00A05C2E">
        <w:rPr>
          <w:iCs/>
        </w:rPr>
        <w:t>document 19 IG 02h</w:t>
      </w:r>
    </w:p>
    <w:p w14:paraId="18E16B55" w14:textId="3AA94D13" w:rsidR="007A70A4" w:rsidRDefault="007A70A4" w:rsidP="007A70A4">
      <w:pPr>
        <w:pStyle w:val="SingleTxtG"/>
      </w:pPr>
      <w:r w:rsidRPr="00A05C2E">
        <w:t>5.</w:t>
      </w:r>
      <w:r w:rsidRPr="00A05C2E">
        <w:tab/>
      </w:r>
      <w:r w:rsidRPr="00CC6BA7">
        <w:t>Mr</w:t>
      </w:r>
      <w:r w:rsidR="00844D14">
        <w:t>.</w:t>
      </w:r>
      <w:r w:rsidRPr="00CC6BA7">
        <w:t xml:space="preserve"> Di Francesco (RINA) has tried to investigate with some other manufacturers but didn’t get any reply from them. Mr Jacobs (BV) suggests keeping the topic open and keep on trying to find info.</w:t>
      </w:r>
      <w:r>
        <w:t xml:space="preserve"> </w:t>
      </w:r>
      <w:r w:rsidRPr="00CC6BA7">
        <w:t>(Action RINA</w:t>
      </w:r>
      <w:r>
        <w:t xml:space="preserve"> / </w:t>
      </w:r>
      <w:r w:rsidRPr="00CC6BA7">
        <w:t>BV)</w:t>
      </w:r>
    </w:p>
    <w:p w14:paraId="1ADF561A" w14:textId="4932A345" w:rsidR="007A70A4" w:rsidRPr="002E4CA3" w:rsidRDefault="007A70A4" w:rsidP="00844D14">
      <w:pPr>
        <w:pStyle w:val="H1G"/>
        <w:rPr>
          <w:iCs/>
        </w:rPr>
      </w:pPr>
      <w:r w:rsidRPr="00A05C2E">
        <w:tab/>
      </w:r>
      <w:r w:rsidR="00844D14">
        <w:t>D.</w:t>
      </w:r>
      <w:r w:rsidRPr="00A05C2E">
        <w:tab/>
      </w:r>
      <w:r w:rsidRPr="002E4CA3">
        <w:t>List and Inspection of NON-electrical equipment (action RINA)</w:t>
      </w:r>
      <w:r w:rsidR="000E7B7A">
        <w:t xml:space="preserve"> — document</w:t>
      </w:r>
      <w:r w:rsidRPr="002E4CA3">
        <w:t xml:space="preserve"> 17 IG 04l (Rev 3)</w:t>
      </w:r>
    </w:p>
    <w:p w14:paraId="04F6DC18" w14:textId="749D3284" w:rsidR="007A70A4" w:rsidRPr="002E4CA3" w:rsidRDefault="007A70A4" w:rsidP="007A70A4">
      <w:pPr>
        <w:pStyle w:val="SingleTxtG"/>
      </w:pPr>
      <w:r>
        <w:t>6.</w:t>
      </w:r>
      <w:r>
        <w:tab/>
      </w:r>
      <w:r w:rsidRPr="002E4CA3">
        <w:t>The revised document (Rev. 3) has been submitted and explained by Mr</w:t>
      </w:r>
      <w:r w:rsidR="004B32C9">
        <w:t>.</w:t>
      </w:r>
      <w:r w:rsidRPr="002E4CA3">
        <w:t xml:space="preserve"> Di Francesco (RINA). He mentions that it makes no sense to make an extensive list as it’s also up to the surveyor how to survey the equipment on board. The document can be used as a guidance but doesn’t need to be further worked on. By issuing of relevant certificates or survey statements it is confirmed compliance of the equipment.</w:t>
      </w:r>
      <w:r>
        <w:t xml:space="preserve"> </w:t>
      </w:r>
      <w:r w:rsidRPr="002E4CA3">
        <w:t xml:space="preserve">Topic is closed. </w:t>
      </w:r>
    </w:p>
    <w:p w14:paraId="0D66447C" w14:textId="52D63576" w:rsidR="007A70A4" w:rsidRPr="002E4CA3" w:rsidRDefault="004B32C9" w:rsidP="004B32C9">
      <w:pPr>
        <w:pStyle w:val="H1G"/>
      </w:pPr>
      <w:r>
        <w:lastRenderedPageBreak/>
        <w:tab/>
        <w:t>E.</w:t>
      </w:r>
      <w:r>
        <w:tab/>
      </w:r>
      <w:r w:rsidR="007A70A4">
        <w:tab/>
      </w:r>
      <w:r w:rsidR="007A70A4" w:rsidRPr="002E4CA3">
        <w:t xml:space="preserve">Deflagration, detonation and steady burning (action BV/All) </w:t>
      </w:r>
      <w:r w:rsidR="0036549C">
        <w:t>—</w:t>
      </w:r>
      <w:r w:rsidR="007A70A4" w:rsidRPr="002E4CA3">
        <w:t xml:space="preserve"> </w:t>
      </w:r>
      <w:r w:rsidR="008C2A72">
        <w:t>document</w:t>
      </w:r>
      <w:r w:rsidR="007A70A4" w:rsidRPr="002E4CA3">
        <w:t xml:space="preserve"> 17 IG 04u, </w:t>
      </w:r>
      <w:r w:rsidR="008C2A72">
        <w:t>document</w:t>
      </w:r>
      <w:r w:rsidR="007A70A4" w:rsidRPr="002E4CA3">
        <w:t xml:space="preserve"> 20 IG 02i, </w:t>
      </w:r>
      <w:r w:rsidR="008C2A72">
        <w:t xml:space="preserve">informal document </w:t>
      </w:r>
      <w:r w:rsidR="007A70A4" w:rsidRPr="002E4CA3">
        <w:t xml:space="preserve">INF 22 of </w:t>
      </w:r>
      <w:r w:rsidR="00507498">
        <w:t xml:space="preserve">the </w:t>
      </w:r>
      <w:r w:rsidR="007A3A5F">
        <w:t>thirty</w:t>
      </w:r>
      <w:r w:rsidR="003C2A3E">
        <w:t>-</w:t>
      </w:r>
      <w:r w:rsidR="007A3A5F">
        <w:t>fifth</w:t>
      </w:r>
      <w:r w:rsidR="007A70A4" w:rsidRPr="002E4CA3">
        <w:t xml:space="preserve"> </w:t>
      </w:r>
      <w:r w:rsidR="00460504">
        <w:t>session</w:t>
      </w:r>
      <w:r w:rsidR="007A70A4" w:rsidRPr="002E4CA3">
        <w:t xml:space="preserve"> </w:t>
      </w:r>
    </w:p>
    <w:p w14:paraId="275E12A1" w14:textId="6CAB1455" w:rsidR="007A70A4" w:rsidRPr="002E4CA3" w:rsidRDefault="007A70A4" w:rsidP="007A70A4">
      <w:pPr>
        <w:pStyle w:val="SingleTxtG"/>
      </w:pPr>
      <w:r>
        <w:t>7.</w:t>
      </w:r>
      <w:r>
        <w:tab/>
      </w:r>
      <w:r w:rsidRPr="002E4CA3">
        <w:t>Mr</w:t>
      </w:r>
      <w:r w:rsidR="009F5363">
        <w:t>.</w:t>
      </w:r>
      <w:r w:rsidRPr="002E4CA3">
        <w:t xml:space="preserve"> Jacobs</w:t>
      </w:r>
      <w:r>
        <w:t xml:space="preserve"> (BV)</w:t>
      </w:r>
      <w:r w:rsidRPr="002E4CA3">
        <w:t xml:space="preserve"> reports no progress on this topic. Will be kept on the agenda. Mr</w:t>
      </w:r>
      <w:r w:rsidR="009F5363">
        <w:t>.</w:t>
      </w:r>
      <w:r w:rsidR="007A3A5F">
        <w:t> </w:t>
      </w:r>
      <w:r w:rsidRPr="002E4CA3">
        <w:t>Remers (NL) will submit his comments and suggestions, Mr</w:t>
      </w:r>
      <w:r w:rsidR="009F5363">
        <w:t>.</w:t>
      </w:r>
      <w:r w:rsidRPr="002E4CA3">
        <w:t xml:space="preserve"> Jacobs will then update the document accordingly.</w:t>
      </w:r>
      <w:r>
        <w:t xml:space="preserve"> </w:t>
      </w:r>
      <w:r w:rsidRPr="002E4CA3">
        <w:t>(Action BV)</w:t>
      </w:r>
    </w:p>
    <w:p w14:paraId="3FAE4609" w14:textId="7ECDC967" w:rsidR="007A70A4" w:rsidRPr="002E4CA3" w:rsidRDefault="004B32C9" w:rsidP="004B32C9">
      <w:pPr>
        <w:pStyle w:val="H1G"/>
      </w:pPr>
      <w:r>
        <w:tab/>
        <w:t>F</w:t>
      </w:r>
      <w:r w:rsidR="000B5F30">
        <w:t>.</w:t>
      </w:r>
      <w:r w:rsidR="007A70A4">
        <w:tab/>
      </w:r>
      <w:r w:rsidR="007A70A4" w:rsidRPr="002E4CA3">
        <w:t xml:space="preserve">Compliance with the EN ISO/IEC 17020:2012 </w:t>
      </w:r>
      <w:r w:rsidR="003C677C">
        <w:t>— document</w:t>
      </w:r>
      <w:r w:rsidR="007A70A4" w:rsidRPr="002E4CA3">
        <w:t xml:space="preserve"> 19 IG 03 b (distributed for </w:t>
      </w:r>
      <w:r w:rsidR="00A00911">
        <w:t>nineteenth</w:t>
      </w:r>
      <w:r w:rsidR="007A70A4" w:rsidRPr="002E4CA3">
        <w:t xml:space="preserve"> </w:t>
      </w:r>
      <w:r w:rsidR="00F75D28">
        <w:t>session</w:t>
      </w:r>
      <w:r w:rsidR="007A70A4" w:rsidRPr="002E4CA3">
        <w:t xml:space="preserve">), point 24 and 25 at the report of </w:t>
      </w:r>
      <w:r w:rsidR="003C677C">
        <w:t>thirt</w:t>
      </w:r>
      <w:r w:rsidR="009660D0">
        <w:t>y</w:t>
      </w:r>
      <w:r w:rsidR="004F032B">
        <w:t>-</w:t>
      </w:r>
      <w:r w:rsidR="003C677C">
        <w:t>si</w:t>
      </w:r>
      <w:r w:rsidR="009660D0">
        <w:t>xth</w:t>
      </w:r>
      <w:r w:rsidR="007A70A4" w:rsidRPr="002E4CA3">
        <w:t xml:space="preserve"> </w:t>
      </w:r>
      <w:r w:rsidR="00F75D28">
        <w:t>session</w:t>
      </w:r>
      <w:r w:rsidR="007A70A4" w:rsidRPr="002E4CA3">
        <w:t xml:space="preserve"> + </w:t>
      </w:r>
      <w:r w:rsidR="006908E2">
        <w:t>ECE</w:t>
      </w:r>
      <w:r w:rsidR="001C01B5">
        <w:t>/TRANS/</w:t>
      </w:r>
      <w:r w:rsidR="007A70A4" w:rsidRPr="002E4CA3">
        <w:t>WP.15/AC.2/2021/18; II(h) (action All)</w:t>
      </w:r>
    </w:p>
    <w:p w14:paraId="1BC18FF4" w14:textId="129FD381" w:rsidR="007A70A4" w:rsidRPr="002E4CA3" w:rsidRDefault="007A70A4" w:rsidP="007A70A4">
      <w:pPr>
        <w:pStyle w:val="SingleTxtG"/>
      </w:pPr>
      <w:r>
        <w:t>8.</w:t>
      </w:r>
      <w:r>
        <w:tab/>
      </w:r>
      <w:r w:rsidRPr="002E4CA3">
        <w:t>As the question is a bit unclear no answer has been given yet. Mr</w:t>
      </w:r>
      <w:r w:rsidR="009F5363">
        <w:t>.</w:t>
      </w:r>
      <w:r w:rsidRPr="002E4CA3">
        <w:t xml:space="preserve"> Weiner explains that an amendment to Chapter 1.15.3.8 may be desirable to make it more in line with the common practice within the class societies. Mr</w:t>
      </w:r>
      <w:r w:rsidR="000B5F30">
        <w:t>.</w:t>
      </w:r>
      <w:r w:rsidRPr="002E4CA3">
        <w:t xml:space="preserve"> Langenberg explains that showing compliance is only necessary when applying for recognition the first time, and there’s no need to repeat this when a society is recognised. An amendment of 1.15.4 (Obligations of recommended classification societies) would be a better idea in which a regular update of compliance with the standards is shown. LR will make a draft proposal. (Action LR)</w:t>
      </w:r>
    </w:p>
    <w:p w14:paraId="6BBC3E75" w14:textId="33671D85" w:rsidR="007A70A4" w:rsidRPr="002E4CA3" w:rsidRDefault="000B5F30" w:rsidP="000B5F30">
      <w:pPr>
        <w:pStyle w:val="H1G"/>
      </w:pPr>
      <w:r>
        <w:tab/>
        <w:t>G.</w:t>
      </w:r>
      <w:r>
        <w:tab/>
      </w:r>
      <w:r w:rsidR="007A70A4">
        <w:tab/>
      </w:r>
      <w:r w:rsidR="007A70A4" w:rsidRPr="002E4CA3">
        <w:t xml:space="preserve">Deepwell pumps in cargo tanks of gas tankers, attestation for zone 0 (action RINA and LR) </w:t>
      </w:r>
      <w:r w:rsidR="009660D0">
        <w:t>—</w:t>
      </w:r>
      <w:r w:rsidR="007A70A4" w:rsidRPr="002E4CA3">
        <w:t xml:space="preserve"> actual no document</w:t>
      </w:r>
    </w:p>
    <w:p w14:paraId="2FB4FEE6" w14:textId="714A0B76" w:rsidR="007A70A4" w:rsidRPr="002E4CA3" w:rsidRDefault="007A70A4" w:rsidP="007A70A4">
      <w:pPr>
        <w:pStyle w:val="SingleTxtG"/>
      </w:pPr>
      <w:r>
        <w:t>9.</w:t>
      </w:r>
      <w:r>
        <w:tab/>
      </w:r>
      <w:r w:rsidRPr="002E4CA3">
        <w:t>Mr</w:t>
      </w:r>
      <w:r w:rsidR="00E1290C">
        <w:t>.</w:t>
      </w:r>
      <w:r w:rsidRPr="002E4CA3">
        <w:t xml:space="preserve"> Di Francesco (RINA) prepared a document in which alternative ways of accepting such pumps is described. This is the only way to solve this as certification of pumps for Zone</w:t>
      </w:r>
      <w:r w:rsidR="000B0110">
        <w:t> </w:t>
      </w:r>
      <w:r w:rsidRPr="002E4CA3">
        <w:t xml:space="preserve">0 isn’t possible. </w:t>
      </w:r>
      <w:bookmarkStart w:id="1" w:name="_Hlk86228509"/>
      <w:r w:rsidRPr="002E4CA3">
        <w:t>It was noted that the standard IEC 60079-10 refers to explosion zones only regarding atmospheric conditions having on mind that atmospheric conditions include variations above and below reference levels of 101</w:t>
      </w:r>
      <w:r w:rsidR="00E02030">
        <w:t>.</w:t>
      </w:r>
      <w:r w:rsidRPr="002E4CA3">
        <w:t>3 kPa (1013 mbar) and 20</w:t>
      </w:r>
      <w:r w:rsidRPr="001F789E">
        <w:rPr>
          <w:vertAlign w:val="superscript"/>
        </w:rPr>
        <w:t>o</w:t>
      </w:r>
      <w:r w:rsidR="008D0766">
        <w:t xml:space="preserve"> </w:t>
      </w:r>
      <w:r w:rsidRPr="002E4CA3">
        <w:t>C (293 K), provided that the variations have a negligible effect on the explosion properties of the flammable substances.</w:t>
      </w:r>
      <w:bookmarkEnd w:id="1"/>
      <w:r>
        <w:t xml:space="preserve"> </w:t>
      </w:r>
      <w:r w:rsidRPr="002E4CA3">
        <w:t xml:space="preserve">Topic is closed. </w:t>
      </w:r>
    </w:p>
    <w:p w14:paraId="4DA382B7" w14:textId="13D21B2A" w:rsidR="007A70A4" w:rsidRPr="00A05C2E" w:rsidRDefault="007A70A4" w:rsidP="007A70A4">
      <w:pPr>
        <w:pStyle w:val="HChG"/>
      </w:pPr>
      <w:r w:rsidRPr="00A05C2E">
        <w:tab/>
        <w:t>III.</w:t>
      </w:r>
      <w:r w:rsidRPr="00A05C2E">
        <w:tab/>
        <w:t xml:space="preserve">Items from last ADN Safety Committee </w:t>
      </w:r>
      <w:r>
        <w:t>session</w:t>
      </w:r>
      <w:r w:rsidRPr="00A05C2E">
        <w:t xml:space="preserve"> (</w:t>
      </w:r>
      <w:r w:rsidR="000C54C7">
        <w:t>document</w:t>
      </w:r>
      <w:r w:rsidRPr="00A05C2E">
        <w:t xml:space="preserve"> ECE/TRANS/WP.15/AC.2/</w:t>
      </w:r>
      <w:r>
        <w:t>2021/18</w:t>
      </w:r>
      <w:r w:rsidRPr="00A05C2E">
        <w:t>)</w:t>
      </w:r>
    </w:p>
    <w:p w14:paraId="14DA730F" w14:textId="5506325A" w:rsidR="007A70A4" w:rsidRPr="00A05C2E" w:rsidRDefault="007A70A4" w:rsidP="00E1290C">
      <w:pPr>
        <w:pStyle w:val="H1G"/>
      </w:pPr>
      <w:r w:rsidRPr="00A05C2E">
        <w:tab/>
      </w:r>
      <w:r w:rsidR="00E1290C">
        <w:t>A.</w:t>
      </w:r>
      <w:r w:rsidRPr="00A05C2E">
        <w:tab/>
      </w:r>
      <w:r w:rsidRPr="00E25591">
        <w:t xml:space="preserve">Classification of Zones according to 1.2.1 of ADN; Report of ADN Safety Committee </w:t>
      </w:r>
      <w:r w:rsidR="008A2EC2">
        <w:t>—</w:t>
      </w:r>
      <w:r w:rsidRPr="00E25591">
        <w:t xml:space="preserve"> </w:t>
      </w:r>
      <w:r w:rsidR="00902CE6">
        <w:t>informal document INF.16 of the thirty</w:t>
      </w:r>
      <w:r w:rsidR="0085556E">
        <w:t>-</w:t>
      </w:r>
      <w:r w:rsidR="00902CE6">
        <w:t>eighth session</w:t>
      </w:r>
      <w:r w:rsidRPr="00E25591">
        <w:t xml:space="preserve"> (Germany) and </w:t>
      </w:r>
      <w:r w:rsidR="000C54C7">
        <w:t>document</w:t>
      </w:r>
      <w:r w:rsidRPr="00E25591">
        <w:t xml:space="preserve"> </w:t>
      </w:r>
      <w:r w:rsidR="00874A73">
        <w:t>ECE/TRANS/WP.15/AC.2/78</w:t>
      </w:r>
      <w:r w:rsidRPr="00E25591">
        <w:t xml:space="preserve"> (III (a))</w:t>
      </w:r>
    </w:p>
    <w:p w14:paraId="1B7CD25B" w14:textId="3D964CDB" w:rsidR="007A70A4" w:rsidRPr="00E25591" w:rsidRDefault="007A70A4" w:rsidP="007A70A4">
      <w:pPr>
        <w:pStyle w:val="SingleTxtG"/>
        <w:rPr>
          <w:iCs/>
        </w:rPr>
      </w:pPr>
      <w:r w:rsidRPr="00A05C2E">
        <w:rPr>
          <w:iCs/>
        </w:rPr>
        <w:t>13.</w:t>
      </w:r>
      <w:r w:rsidRPr="00A05C2E">
        <w:rPr>
          <w:iCs/>
        </w:rPr>
        <w:tab/>
      </w:r>
      <w:r w:rsidRPr="00E25591">
        <w:rPr>
          <w:iCs/>
        </w:rPr>
        <w:t>Mr</w:t>
      </w:r>
      <w:r w:rsidR="000C31A8">
        <w:rPr>
          <w:iCs/>
        </w:rPr>
        <w:t>.</w:t>
      </w:r>
      <w:r w:rsidRPr="00E25591">
        <w:rPr>
          <w:iCs/>
        </w:rPr>
        <w:t xml:space="preserve"> Vinke (LR) explains the present way of working and surveying of equipment. Only equipment which is part of the ship is taken into account. </w:t>
      </w:r>
    </w:p>
    <w:p w14:paraId="1E9EA09D" w14:textId="4A0F3FD4" w:rsidR="007A70A4" w:rsidRPr="00E25591" w:rsidRDefault="007A70A4" w:rsidP="007A70A4">
      <w:pPr>
        <w:pStyle w:val="SingleTxtG"/>
        <w:rPr>
          <w:iCs/>
        </w:rPr>
      </w:pPr>
      <w:r>
        <w:rPr>
          <w:iCs/>
        </w:rPr>
        <w:t>14.</w:t>
      </w:r>
      <w:r>
        <w:rPr>
          <w:iCs/>
        </w:rPr>
        <w:tab/>
      </w:r>
      <w:r w:rsidRPr="00E25591">
        <w:rPr>
          <w:iCs/>
        </w:rPr>
        <w:t>Mr</w:t>
      </w:r>
      <w:r w:rsidR="000C31A8">
        <w:rPr>
          <w:iCs/>
        </w:rPr>
        <w:t>.</w:t>
      </w:r>
      <w:r w:rsidRPr="00E25591">
        <w:rPr>
          <w:iCs/>
        </w:rPr>
        <w:t xml:space="preserve"> Zevenbergen (EBU/ESO) expresses the idea of EBU that equipment which may cause a spark or ignition should be taken into account. </w:t>
      </w:r>
    </w:p>
    <w:p w14:paraId="46845950" w14:textId="461092CA" w:rsidR="007A70A4" w:rsidRPr="00E25591" w:rsidRDefault="007A70A4" w:rsidP="007A70A4">
      <w:pPr>
        <w:pStyle w:val="SingleTxtG"/>
        <w:rPr>
          <w:iCs/>
        </w:rPr>
      </w:pPr>
      <w:r>
        <w:rPr>
          <w:iCs/>
        </w:rPr>
        <w:t>15.</w:t>
      </w:r>
      <w:r>
        <w:rPr>
          <w:iCs/>
        </w:rPr>
        <w:tab/>
      </w:r>
      <w:r w:rsidRPr="00E25591">
        <w:rPr>
          <w:iCs/>
        </w:rPr>
        <w:t>Mr</w:t>
      </w:r>
      <w:r w:rsidR="000C31A8">
        <w:rPr>
          <w:iCs/>
        </w:rPr>
        <w:t>.</w:t>
      </w:r>
      <w:r w:rsidRPr="00E25591">
        <w:rPr>
          <w:iCs/>
        </w:rPr>
        <w:t xml:space="preserve"> Di Francesco (RINA) points at the definition on non-electrical equipment in the ISO 80079-36 standard. Loose equipment can’t be verified by the class society at their surveys. </w:t>
      </w:r>
    </w:p>
    <w:p w14:paraId="5E632754" w14:textId="04DC2302" w:rsidR="007A70A4" w:rsidRPr="00E25591" w:rsidRDefault="007A70A4" w:rsidP="007A70A4">
      <w:pPr>
        <w:pStyle w:val="SingleTxtG"/>
        <w:rPr>
          <w:iCs/>
        </w:rPr>
      </w:pPr>
      <w:r>
        <w:rPr>
          <w:iCs/>
        </w:rPr>
        <w:t>16.</w:t>
      </w:r>
      <w:r>
        <w:rPr>
          <w:iCs/>
        </w:rPr>
        <w:tab/>
      </w:r>
      <w:r w:rsidRPr="00E25591">
        <w:rPr>
          <w:iCs/>
        </w:rPr>
        <w:t>Mr</w:t>
      </w:r>
      <w:r w:rsidR="000C31A8">
        <w:rPr>
          <w:iCs/>
        </w:rPr>
        <w:t>.</w:t>
      </w:r>
      <w:r w:rsidRPr="00E25591">
        <w:rPr>
          <w:iCs/>
        </w:rPr>
        <w:t xml:space="preserve"> Weiner (DE) points at the definition in the ADN. Mobile devices which can cause ignition should be considered as well. </w:t>
      </w:r>
    </w:p>
    <w:p w14:paraId="1CE8B67B" w14:textId="0C37AC1E" w:rsidR="007A70A4" w:rsidRPr="00E25591" w:rsidRDefault="007A70A4" w:rsidP="007A70A4">
      <w:pPr>
        <w:pStyle w:val="SingleTxtG"/>
        <w:rPr>
          <w:iCs/>
        </w:rPr>
      </w:pPr>
      <w:r>
        <w:rPr>
          <w:iCs/>
        </w:rPr>
        <w:t>17.</w:t>
      </w:r>
      <w:r>
        <w:rPr>
          <w:iCs/>
        </w:rPr>
        <w:tab/>
      </w:r>
      <w:r w:rsidRPr="00E25591">
        <w:rPr>
          <w:iCs/>
        </w:rPr>
        <w:t>Mr</w:t>
      </w:r>
      <w:r w:rsidR="000C31A8">
        <w:rPr>
          <w:iCs/>
        </w:rPr>
        <w:t>.</w:t>
      </w:r>
      <w:r w:rsidRPr="00E25591">
        <w:rPr>
          <w:iCs/>
        </w:rPr>
        <w:t xml:space="preserve"> Remers (NL) points at the transitional provisions on 9.3.x.53.1, and stresses there are different provisions for the different parts of the requirement (type and location versus temperature class and explosion group). There is no transitional provision for type and location. Question is clear if non-electrical equipment needs a transitional provision too? </w:t>
      </w:r>
    </w:p>
    <w:p w14:paraId="26AD54EB" w14:textId="4ED2AAB4" w:rsidR="007A70A4" w:rsidRPr="00E25591" w:rsidRDefault="007A70A4" w:rsidP="007A70A4">
      <w:pPr>
        <w:pStyle w:val="SingleTxtG"/>
        <w:rPr>
          <w:iCs/>
        </w:rPr>
      </w:pPr>
      <w:r>
        <w:rPr>
          <w:iCs/>
        </w:rPr>
        <w:lastRenderedPageBreak/>
        <w:t>18.</w:t>
      </w:r>
      <w:r>
        <w:rPr>
          <w:iCs/>
        </w:rPr>
        <w:tab/>
      </w:r>
      <w:r w:rsidRPr="00E25591">
        <w:rPr>
          <w:iCs/>
        </w:rPr>
        <w:t>Mr</w:t>
      </w:r>
      <w:r w:rsidR="000C31A8">
        <w:rPr>
          <w:iCs/>
        </w:rPr>
        <w:t>.</w:t>
      </w:r>
      <w:r w:rsidRPr="00E25591">
        <w:rPr>
          <w:iCs/>
        </w:rPr>
        <w:t xml:space="preserve"> Dosdahl (DNV) points at the transitional provision on the zones (1.2.1) of the vessel and states there’s no need for a transitional provision on the equipment itself. </w:t>
      </w:r>
    </w:p>
    <w:p w14:paraId="629F72BE" w14:textId="2222119C" w:rsidR="007A70A4" w:rsidRPr="00E25591" w:rsidRDefault="007A70A4" w:rsidP="007A70A4">
      <w:pPr>
        <w:pStyle w:val="SingleTxtG"/>
        <w:rPr>
          <w:iCs/>
        </w:rPr>
      </w:pPr>
      <w:r>
        <w:rPr>
          <w:iCs/>
        </w:rPr>
        <w:t>19.</w:t>
      </w:r>
      <w:r>
        <w:rPr>
          <w:iCs/>
        </w:rPr>
        <w:tab/>
      </w:r>
      <w:r w:rsidRPr="00E25591">
        <w:rPr>
          <w:iCs/>
        </w:rPr>
        <w:t>Mr</w:t>
      </w:r>
      <w:r w:rsidR="000C31A8">
        <w:rPr>
          <w:iCs/>
        </w:rPr>
        <w:t>.</w:t>
      </w:r>
      <w:r w:rsidRPr="00E25591">
        <w:rPr>
          <w:iCs/>
        </w:rPr>
        <w:t xml:space="preserve"> Weiner (DE) and Mr</w:t>
      </w:r>
      <w:r w:rsidR="000C31A8">
        <w:rPr>
          <w:iCs/>
        </w:rPr>
        <w:t>.</w:t>
      </w:r>
      <w:r w:rsidRPr="00E25591">
        <w:rPr>
          <w:iCs/>
        </w:rPr>
        <w:t xml:space="preserve"> Remers (NL) were of the opinion, that the transitional provision for zone 1 does not mean that no zone 1 has to be classified, but that during the transitional period the borders of zone 1 may differ from the definition in 1.2.1 ADN. In their view provisions of ADN 2017 on this item remain applicable during the transition period.</w:t>
      </w:r>
    </w:p>
    <w:p w14:paraId="1A01C5C8" w14:textId="77777777" w:rsidR="007A70A4" w:rsidRPr="00E25591" w:rsidRDefault="007A70A4" w:rsidP="007A70A4">
      <w:pPr>
        <w:pStyle w:val="SingleTxtG"/>
        <w:rPr>
          <w:iCs/>
        </w:rPr>
      </w:pPr>
      <w:r>
        <w:rPr>
          <w:iCs/>
        </w:rPr>
        <w:t>20.</w:t>
      </w:r>
      <w:r>
        <w:rPr>
          <w:iCs/>
        </w:rPr>
        <w:tab/>
      </w:r>
      <w:r w:rsidRPr="00E25591">
        <w:rPr>
          <w:iCs/>
        </w:rPr>
        <w:t>It’s concluded that no transitional provisions for non-electrical equipment are needed as this indeed is covered by the transitional provisions of zones (1.2.1). No transitional provisions for Zone 0. There are transitional provisions for Zones 1 and 2 (after 31 December 2034).</w:t>
      </w:r>
    </w:p>
    <w:p w14:paraId="510D4C91" w14:textId="77777777" w:rsidR="007A70A4" w:rsidRDefault="007A70A4" w:rsidP="007A70A4">
      <w:pPr>
        <w:pStyle w:val="SingleTxtG"/>
        <w:rPr>
          <w:iCs/>
        </w:rPr>
      </w:pPr>
      <w:r>
        <w:rPr>
          <w:iCs/>
        </w:rPr>
        <w:t>21.</w:t>
      </w:r>
      <w:r>
        <w:rPr>
          <w:iCs/>
        </w:rPr>
        <w:tab/>
      </w:r>
      <w:r w:rsidRPr="00E25591">
        <w:rPr>
          <w:iCs/>
        </w:rPr>
        <w:t>The existing transitional provisions for electrical equipment are considered to be valuable and need to remain. The document from RINA (Rev 3) has been distributed (see also 2d).</w:t>
      </w:r>
      <w:r>
        <w:rPr>
          <w:iCs/>
        </w:rPr>
        <w:t xml:space="preserve"> </w:t>
      </w:r>
      <w:r w:rsidRPr="00E25591">
        <w:rPr>
          <w:iCs/>
        </w:rPr>
        <w:t>Topic is closed.</w:t>
      </w:r>
    </w:p>
    <w:p w14:paraId="063F3863" w14:textId="0A0C29AB" w:rsidR="007A70A4" w:rsidRPr="002E4CA3" w:rsidRDefault="007A70A4" w:rsidP="000C31A8">
      <w:pPr>
        <w:pStyle w:val="H1G"/>
      </w:pPr>
      <w:r w:rsidRPr="00A05C2E">
        <w:tab/>
      </w:r>
      <w:r w:rsidR="000C31A8">
        <w:t>B.</w:t>
      </w:r>
      <w:r w:rsidRPr="00A05C2E">
        <w:tab/>
      </w:r>
      <w:r w:rsidRPr="002E4CA3">
        <w:t xml:space="preserve">Interpretation of 9.3.3.12.2 </w:t>
      </w:r>
      <w:r w:rsidR="00810307">
        <w:t>—</w:t>
      </w:r>
      <w:r w:rsidRPr="002E4CA3">
        <w:t xml:space="preserve"> </w:t>
      </w:r>
      <w:r w:rsidR="00275A75">
        <w:t>document</w:t>
      </w:r>
      <w:r w:rsidRPr="002E4CA3">
        <w:t xml:space="preserve"> 20 IG 02m and point 3 a. of </w:t>
      </w:r>
      <w:r w:rsidR="00811F46">
        <w:t xml:space="preserve">the </w:t>
      </w:r>
      <w:r w:rsidR="00E61A8B">
        <w:t>eighteenth</w:t>
      </w:r>
      <w:r w:rsidR="00811F46">
        <w:t xml:space="preserve"> </w:t>
      </w:r>
      <w:r w:rsidR="000A5B48">
        <w:t>meeting</w:t>
      </w:r>
      <w:r w:rsidRPr="002E4CA3">
        <w:t xml:space="preserve"> of the Group of Recommended </w:t>
      </w:r>
      <w:r w:rsidR="0036414E" w:rsidRPr="002E4CA3">
        <w:t xml:space="preserve">ADN </w:t>
      </w:r>
      <w:r w:rsidRPr="002E4CA3">
        <w:t xml:space="preserve">Classification Societies + </w:t>
      </w:r>
      <w:r w:rsidR="00275A75">
        <w:t>document</w:t>
      </w:r>
      <w:r w:rsidRPr="002E4CA3">
        <w:t xml:space="preserve"> ECE/TRANS/WP.15/AC.2/2021/10 + </w:t>
      </w:r>
      <w:r w:rsidR="00275A75">
        <w:t>document</w:t>
      </w:r>
      <w:r w:rsidRPr="002E4CA3">
        <w:t xml:space="preserve"> 22 IG 03b </w:t>
      </w:r>
      <w:r w:rsidR="00DF475E">
        <w:t>—</w:t>
      </w:r>
      <w:r w:rsidRPr="002E4CA3">
        <w:t xml:space="preserve"> Interpretation of 9.3.3.12.2 (Ventilation systems of void spaces)</w:t>
      </w:r>
    </w:p>
    <w:p w14:paraId="4262DC0C" w14:textId="6E29661D" w:rsidR="007A70A4" w:rsidRDefault="007A70A4" w:rsidP="007A70A4">
      <w:pPr>
        <w:pStyle w:val="SingleTxtG"/>
        <w:rPr>
          <w:iCs/>
        </w:rPr>
      </w:pPr>
      <w:r>
        <w:rPr>
          <w:iCs/>
        </w:rPr>
        <w:t>22.</w:t>
      </w:r>
      <w:r>
        <w:rPr>
          <w:iCs/>
        </w:rPr>
        <w:tab/>
      </w:r>
      <w:r w:rsidRPr="00F027D9">
        <w:t>Mr</w:t>
      </w:r>
      <w:r w:rsidR="00F027D9">
        <w:t>.</w:t>
      </w:r>
      <w:r w:rsidRPr="002E4CA3">
        <w:rPr>
          <w:iCs/>
        </w:rPr>
        <w:t xml:space="preserve"> Bilic-Prcic (CRS) introduces the document doc 22 IG 03b </w:t>
      </w:r>
      <w:r w:rsidR="00DF475E">
        <w:rPr>
          <w:iCs/>
        </w:rPr>
        <w:t>—</w:t>
      </w:r>
      <w:r w:rsidRPr="002E4CA3">
        <w:rPr>
          <w:iCs/>
        </w:rPr>
        <w:t xml:space="preserve"> Interpretation of 9.3.3.12.2 (Ventilation systems of void spaces). It will be applicable on all tanker types. As this is in the rules of all class societies and is common good shipbuilding practice transitional provisions aren’t necessary. </w:t>
      </w:r>
    </w:p>
    <w:p w14:paraId="65A08708" w14:textId="77777777" w:rsidR="007A70A4" w:rsidRPr="002E4CA3" w:rsidRDefault="007A70A4" w:rsidP="007A70A4">
      <w:pPr>
        <w:pStyle w:val="SingleTxtG"/>
        <w:rPr>
          <w:iCs/>
        </w:rPr>
      </w:pPr>
      <w:r>
        <w:rPr>
          <w:iCs/>
        </w:rPr>
        <w:t>23.</w:t>
      </w:r>
      <w:r>
        <w:rPr>
          <w:iCs/>
        </w:rPr>
        <w:tab/>
      </w:r>
      <w:r w:rsidRPr="002E4CA3">
        <w:rPr>
          <w:iCs/>
        </w:rPr>
        <w:t>The document will be updated accordingly and submitted to the ADN Safety Committee until 29th October 2021.</w:t>
      </w:r>
      <w:r>
        <w:rPr>
          <w:iCs/>
        </w:rPr>
        <w:t xml:space="preserve"> </w:t>
      </w:r>
      <w:r w:rsidRPr="002E4CA3">
        <w:rPr>
          <w:iCs/>
        </w:rPr>
        <w:t>Topic is closed.</w:t>
      </w:r>
    </w:p>
    <w:p w14:paraId="5A693378" w14:textId="1B2A095B" w:rsidR="007A70A4" w:rsidRPr="005A5C1C" w:rsidRDefault="007A70A4" w:rsidP="00A57F9D">
      <w:pPr>
        <w:pStyle w:val="H1G"/>
      </w:pPr>
      <w:r w:rsidRPr="00A05C2E">
        <w:tab/>
      </w:r>
      <w:r w:rsidR="000C31A8">
        <w:t>C.</w:t>
      </w:r>
      <w:r w:rsidRPr="00A05C2E">
        <w:tab/>
      </w:r>
      <w:r w:rsidRPr="005A5C1C">
        <w:tab/>
        <w:t xml:space="preserve">Electric propulsion installations and energy storage: Proposal for an assessment of the need for additional ADN provisions for the safe transport of dangerous goods with vessels using electric propulsion installations </w:t>
      </w:r>
      <w:r w:rsidR="000C31A8">
        <w:t>—</w:t>
      </w:r>
      <w:r w:rsidRPr="005A5C1C">
        <w:t xml:space="preserve"> </w:t>
      </w:r>
      <w:r w:rsidR="00A57F9D">
        <w:t>document</w:t>
      </w:r>
      <w:r w:rsidRPr="005A5C1C">
        <w:t xml:space="preserve"> ECE/TRANS/WP.15/AC.2/2021/6 (CCNR) + </w:t>
      </w:r>
      <w:r w:rsidR="00A57F9D">
        <w:t>document</w:t>
      </w:r>
      <w:r w:rsidRPr="005A5C1C">
        <w:t xml:space="preserve"> 22 IG 03c </w:t>
      </w:r>
      <w:r w:rsidR="000C31A8">
        <w:t>—</w:t>
      </w:r>
      <w:r w:rsidRPr="005A5C1C">
        <w:t xml:space="preserve"> Electric propulsion systems and energy storage</w:t>
      </w:r>
    </w:p>
    <w:p w14:paraId="10E85C36" w14:textId="0FA7324E" w:rsidR="007A70A4" w:rsidRPr="002E4CA3" w:rsidRDefault="007A70A4" w:rsidP="007A70A4">
      <w:pPr>
        <w:pStyle w:val="SingleTxtG"/>
        <w:rPr>
          <w:iCs/>
        </w:rPr>
      </w:pPr>
      <w:r>
        <w:t>24.</w:t>
      </w:r>
      <w:r>
        <w:tab/>
      </w:r>
      <w:r w:rsidRPr="005A5C1C">
        <w:t xml:space="preserve">The </w:t>
      </w:r>
      <w:r w:rsidRPr="002E4CA3">
        <w:rPr>
          <w:iCs/>
        </w:rPr>
        <w:t xml:space="preserve">document 22 IG 03c </w:t>
      </w:r>
      <w:r w:rsidR="00CB4A0D">
        <w:rPr>
          <w:iCs/>
        </w:rPr>
        <w:t>—</w:t>
      </w:r>
      <w:r w:rsidRPr="002E4CA3">
        <w:rPr>
          <w:iCs/>
        </w:rPr>
        <w:t xml:space="preserve"> Electric propulsion systems and energy storage has been introduced. It’s considered not necessary to amend the ADN on the principle of electrical propulsion. An introduction on battery containers is given, and when installing these on ADN certified ships an amendment of the ADN needs to be discussed in the ADN Safety Committee. This could be of relevance for dry cargo only.</w:t>
      </w:r>
    </w:p>
    <w:p w14:paraId="3D264062" w14:textId="77777777" w:rsidR="007A70A4" w:rsidRPr="002E4CA3" w:rsidRDefault="007A70A4" w:rsidP="007A70A4">
      <w:pPr>
        <w:pStyle w:val="SingleTxtG"/>
        <w:rPr>
          <w:iCs/>
        </w:rPr>
      </w:pPr>
      <w:r>
        <w:rPr>
          <w:iCs/>
        </w:rPr>
        <w:t>25.</w:t>
      </w:r>
      <w:r>
        <w:rPr>
          <w:iCs/>
        </w:rPr>
        <w:tab/>
      </w:r>
      <w:r w:rsidRPr="002E4CA3">
        <w:rPr>
          <w:iCs/>
        </w:rPr>
        <w:t>As class societies aren’t the appropriate party to address this, it needs to be initiated by EBU with support of the class societies.</w:t>
      </w:r>
    </w:p>
    <w:p w14:paraId="7F80D55A" w14:textId="23DFE003" w:rsidR="007A70A4" w:rsidRPr="002E4CA3" w:rsidRDefault="007A70A4" w:rsidP="007A70A4">
      <w:pPr>
        <w:pStyle w:val="SingleTxtG"/>
        <w:rPr>
          <w:iCs/>
        </w:rPr>
      </w:pPr>
      <w:r>
        <w:rPr>
          <w:iCs/>
        </w:rPr>
        <w:t>26.</w:t>
      </w:r>
      <w:r>
        <w:rPr>
          <w:iCs/>
        </w:rPr>
        <w:tab/>
      </w:r>
      <w:r w:rsidRPr="002E4CA3">
        <w:rPr>
          <w:iCs/>
        </w:rPr>
        <w:t>Mr</w:t>
      </w:r>
      <w:r w:rsidR="00F027D9">
        <w:rPr>
          <w:iCs/>
        </w:rPr>
        <w:t>.</w:t>
      </w:r>
      <w:r w:rsidRPr="002E4CA3">
        <w:rPr>
          <w:iCs/>
        </w:rPr>
        <w:t xml:space="preserve"> Weiner (Germany) pointed out, that the exemption for containers containing batteries described in document doc 22 IG 03c </w:t>
      </w:r>
      <w:r w:rsidR="00CB4A0D">
        <w:rPr>
          <w:iCs/>
        </w:rPr>
        <w:t>—</w:t>
      </w:r>
      <w:r w:rsidRPr="002E4CA3">
        <w:rPr>
          <w:iCs/>
        </w:rPr>
        <w:t xml:space="preserve"> Electric propulsion systems and energy storage, as they are a dangerous good UN 3536, should be reconsidered and that possible interaction between such battery containers and cargo containers in the cargo hold has to be reflected.</w:t>
      </w:r>
    </w:p>
    <w:p w14:paraId="0C85D12A" w14:textId="77777777" w:rsidR="007A70A4" w:rsidRPr="002E4CA3" w:rsidRDefault="007A70A4" w:rsidP="007A70A4">
      <w:pPr>
        <w:pStyle w:val="SingleTxtG"/>
        <w:rPr>
          <w:iCs/>
        </w:rPr>
      </w:pPr>
      <w:r>
        <w:rPr>
          <w:iCs/>
        </w:rPr>
        <w:t>27.</w:t>
      </w:r>
      <w:r>
        <w:rPr>
          <w:iCs/>
        </w:rPr>
        <w:tab/>
      </w:r>
      <w:r w:rsidRPr="002E4CA3">
        <w:rPr>
          <w:iCs/>
        </w:rPr>
        <w:t>Topic will be discussed again if considered necessary.</w:t>
      </w:r>
    </w:p>
    <w:p w14:paraId="04B5E84A" w14:textId="77777777" w:rsidR="007A70A4" w:rsidRPr="00A05C2E" w:rsidRDefault="007A70A4" w:rsidP="007A70A4">
      <w:pPr>
        <w:pStyle w:val="HChG"/>
      </w:pPr>
      <w:r w:rsidRPr="00A05C2E">
        <w:tab/>
        <w:t>IV.</w:t>
      </w:r>
      <w:r w:rsidRPr="00A05C2E">
        <w:tab/>
        <w:t>Technical issues</w:t>
      </w:r>
    </w:p>
    <w:p w14:paraId="519D22EB" w14:textId="77777777" w:rsidR="007A70A4" w:rsidRPr="00A05C2E" w:rsidRDefault="007A70A4" w:rsidP="007A70A4">
      <w:pPr>
        <w:pStyle w:val="SingleTxtG"/>
      </w:pPr>
      <w:r w:rsidRPr="00A05C2E">
        <w:t>2</w:t>
      </w:r>
      <w:r>
        <w:t>8</w:t>
      </w:r>
      <w:r w:rsidRPr="00A05C2E">
        <w:t>.</w:t>
      </w:r>
      <w:r w:rsidRPr="00A05C2E">
        <w:tab/>
        <w:t>No new issues</w:t>
      </w:r>
    </w:p>
    <w:p w14:paraId="14516884" w14:textId="77777777" w:rsidR="007A70A4" w:rsidRPr="00A05C2E" w:rsidRDefault="007A70A4" w:rsidP="007A70A4">
      <w:pPr>
        <w:pStyle w:val="HChG"/>
      </w:pPr>
      <w:r w:rsidRPr="00A05C2E">
        <w:lastRenderedPageBreak/>
        <w:tab/>
        <w:t>V.</w:t>
      </w:r>
      <w:r w:rsidRPr="00A05C2E">
        <w:tab/>
        <w:t>Any other business</w:t>
      </w:r>
    </w:p>
    <w:p w14:paraId="12234CF3" w14:textId="742A59C0" w:rsidR="007A70A4" w:rsidRPr="00A05C2E" w:rsidRDefault="007A70A4" w:rsidP="00CB4A0D">
      <w:pPr>
        <w:pStyle w:val="H1G"/>
      </w:pPr>
      <w:r w:rsidRPr="00A05C2E">
        <w:tab/>
      </w:r>
      <w:r w:rsidR="00CB4A0D">
        <w:t>A.</w:t>
      </w:r>
      <w:r w:rsidRPr="00A05C2E">
        <w:tab/>
        <w:t xml:space="preserve">UN 3082 </w:t>
      </w:r>
      <w:r w:rsidR="00CB4A0D">
        <w:t>—</w:t>
      </w:r>
      <w:r w:rsidRPr="00A05C2E">
        <w:t xml:space="preserve"> … (</w:t>
      </w:r>
      <w:r w:rsidR="00422D44">
        <w:t>B</w:t>
      </w:r>
      <w:r w:rsidR="00422D44" w:rsidRPr="00A05C2E">
        <w:t>ilge water, contains sludge</w:t>
      </w:r>
      <w:r w:rsidRPr="00A05C2E">
        <w:t>)</w:t>
      </w:r>
    </w:p>
    <w:p w14:paraId="6F4BB435" w14:textId="7CD17E3B" w:rsidR="007A70A4" w:rsidRPr="00A05C2E" w:rsidRDefault="007A70A4" w:rsidP="007A70A4">
      <w:pPr>
        <w:pStyle w:val="SingleTxtG"/>
        <w:rPr>
          <w:iCs/>
        </w:rPr>
      </w:pPr>
      <w:r w:rsidRPr="00A05C2E">
        <w:t>2</w:t>
      </w:r>
      <w:r>
        <w:t>9</w:t>
      </w:r>
      <w:r w:rsidRPr="00A05C2E">
        <w:t>.</w:t>
      </w:r>
      <w:r w:rsidRPr="00A05C2E">
        <w:tab/>
      </w:r>
      <w:r>
        <w:t>Topic has already been solved and can be closed.</w:t>
      </w:r>
    </w:p>
    <w:p w14:paraId="464D3C5B" w14:textId="0406E01B" w:rsidR="007A70A4" w:rsidRPr="00A05C2E" w:rsidRDefault="007A70A4" w:rsidP="00CB4A0D">
      <w:pPr>
        <w:pStyle w:val="H1G"/>
      </w:pPr>
      <w:r w:rsidRPr="00A05C2E">
        <w:tab/>
      </w:r>
      <w:r w:rsidR="00CB4A0D">
        <w:t>B.</w:t>
      </w:r>
      <w:r w:rsidRPr="00A05C2E">
        <w:tab/>
        <w:t xml:space="preserve">LR raises a question on Multilateral Agreement 18 </w:t>
      </w:r>
    </w:p>
    <w:p w14:paraId="1C114681" w14:textId="0DC466A1" w:rsidR="007A70A4" w:rsidRPr="00051397" w:rsidRDefault="007A70A4" w:rsidP="007A70A4">
      <w:pPr>
        <w:pStyle w:val="SingleTxtG"/>
        <w:rPr>
          <w:iCs/>
        </w:rPr>
      </w:pPr>
      <w:r w:rsidRPr="00A05C2E">
        <w:rPr>
          <w:iCs/>
        </w:rPr>
        <w:t>30.</w:t>
      </w:r>
      <w:r w:rsidRPr="00A05C2E">
        <w:rPr>
          <w:iCs/>
        </w:rPr>
        <w:tab/>
      </w:r>
      <w:r w:rsidRPr="00051397">
        <w:rPr>
          <w:iCs/>
        </w:rPr>
        <w:t xml:space="preserve">The topic has been discussed already during the </w:t>
      </w:r>
      <w:r w:rsidR="00733937">
        <w:rPr>
          <w:iCs/>
        </w:rPr>
        <w:t>twenty</w:t>
      </w:r>
      <w:r w:rsidR="00160E71">
        <w:rPr>
          <w:iCs/>
        </w:rPr>
        <w:t>-</w:t>
      </w:r>
      <w:r w:rsidR="00733937">
        <w:rPr>
          <w:iCs/>
        </w:rPr>
        <w:t>first</w:t>
      </w:r>
      <w:r w:rsidRPr="00051397">
        <w:rPr>
          <w:iCs/>
        </w:rPr>
        <w:t xml:space="preserve"> meeting. By derogation from subsection 3.2.3.1, Column (16) and Chapter 9.3 of the Regulations annexed to ADN, tank vessels, whose substance list includes substances assigned to explosion group II B but which are equipped with flame arresters for explosion group II B3, may continue to be equipped with flame arresters for explosion group II B3 for the carriage of those dangerous goods of their substance list that are assigned to explosion group II B, until the renewal of the Certificate of Approval after 31 December 2018. </w:t>
      </w:r>
    </w:p>
    <w:p w14:paraId="5DCA755D" w14:textId="1C41A21F" w:rsidR="007A70A4" w:rsidRPr="00051397" w:rsidRDefault="007A70A4" w:rsidP="007A70A4">
      <w:pPr>
        <w:pStyle w:val="SingleTxtG"/>
        <w:rPr>
          <w:iCs/>
        </w:rPr>
      </w:pPr>
      <w:r>
        <w:rPr>
          <w:iCs/>
        </w:rPr>
        <w:t>31.</w:t>
      </w:r>
      <w:r>
        <w:rPr>
          <w:iCs/>
        </w:rPr>
        <w:tab/>
      </w:r>
      <w:r w:rsidRPr="00051397">
        <w:rPr>
          <w:iCs/>
        </w:rPr>
        <w:t xml:space="preserve">The discussion was triggered by an Owner who claimed that when a vessel had to renew ADN Certificate of Approval during class renewal survey (special survey) after 31 December 2018, during which the explosion protection was set on IIB3 under M 018, the same vessel could operate with IIB cargoes until next renewal of ADN Certificate of Approval (class renewal survey (special survey)) after 31 December 2021. </w:t>
      </w:r>
    </w:p>
    <w:p w14:paraId="3B055AF6" w14:textId="1CF53331" w:rsidR="007A70A4" w:rsidRDefault="007A70A4" w:rsidP="007A70A4">
      <w:pPr>
        <w:pStyle w:val="SingleTxtG"/>
        <w:rPr>
          <w:iCs/>
        </w:rPr>
      </w:pPr>
      <w:r>
        <w:rPr>
          <w:iCs/>
        </w:rPr>
        <w:t>32.</w:t>
      </w:r>
      <w:r>
        <w:rPr>
          <w:iCs/>
        </w:rPr>
        <w:tab/>
      </w:r>
      <w:r w:rsidRPr="00051397">
        <w:rPr>
          <w:iCs/>
        </w:rPr>
        <w:t>Multilateral Agreements have precedence over the text of the ADN. M 018 has precedence over the ADN in the period between 31 December 2018 till 31 December 2021. After 31 December 2021, ADN 2021 returns into force in this particular case. Topic can be closed.</w:t>
      </w:r>
    </w:p>
    <w:p w14:paraId="577F519A" w14:textId="5694BBD8" w:rsidR="007A70A4" w:rsidRPr="002E4CA3" w:rsidRDefault="007A70A4" w:rsidP="00FC492C">
      <w:pPr>
        <w:pStyle w:val="H1G"/>
      </w:pPr>
      <w:r>
        <w:tab/>
      </w:r>
      <w:r w:rsidR="00FC492C">
        <w:t>C.</w:t>
      </w:r>
      <w:r w:rsidRPr="002E4CA3">
        <w:tab/>
        <w:t xml:space="preserve">FuelsEurope question regarding vessel’s substance list and the transport documents </w:t>
      </w:r>
      <w:r w:rsidR="00FC492C">
        <w:t>—</w:t>
      </w:r>
      <w:r w:rsidRPr="002E4CA3">
        <w:t xml:space="preserve"> </w:t>
      </w:r>
      <w:r w:rsidR="00882741">
        <w:t>document</w:t>
      </w:r>
      <w:r w:rsidRPr="002E4CA3">
        <w:t xml:space="preserve"> 22 IG 05c </w:t>
      </w:r>
      <w:r w:rsidR="00FC492C">
        <w:t>—</w:t>
      </w:r>
      <w:r w:rsidRPr="002E4CA3">
        <w:t xml:space="preserve"> FuelsEurope Compliance of Substance List and Transport </w:t>
      </w:r>
      <w:r w:rsidR="00B47BBF">
        <w:t>Documents</w:t>
      </w:r>
    </w:p>
    <w:p w14:paraId="4A6A70AA" w14:textId="773E7521" w:rsidR="007A70A4" w:rsidRPr="0057246D" w:rsidRDefault="007A70A4" w:rsidP="007A70A4">
      <w:pPr>
        <w:pStyle w:val="SingleTxtG"/>
        <w:rPr>
          <w:iCs/>
        </w:rPr>
      </w:pPr>
      <w:r>
        <w:rPr>
          <w:iCs/>
        </w:rPr>
        <w:t>33.</w:t>
      </w:r>
      <w:r>
        <w:rPr>
          <w:iCs/>
        </w:rPr>
        <w:tab/>
      </w:r>
      <w:r w:rsidRPr="0057246D">
        <w:rPr>
          <w:iCs/>
        </w:rPr>
        <w:t xml:space="preserve">The document doc 22 IG 05c </w:t>
      </w:r>
      <w:r w:rsidR="00FC492C">
        <w:rPr>
          <w:iCs/>
        </w:rPr>
        <w:t>—</w:t>
      </w:r>
      <w:r w:rsidRPr="0057246D">
        <w:rPr>
          <w:iCs/>
        </w:rPr>
        <w:t xml:space="preserve"> FuelsEurope Compliance of Substance List and Transport Doc has been introduced. A discussion is held on the asterisk positions in the table</w:t>
      </w:r>
      <w:r w:rsidR="00FC492C">
        <w:rPr>
          <w:iCs/>
        </w:rPr>
        <w:t> </w:t>
      </w:r>
      <w:r w:rsidRPr="0057246D">
        <w:rPr>
          <w:iCs/>
        </w:rPr>
        <w:t xml:space="preserve">C. </w:t>
      </w:r>
    </w:p>
    <w:p w14:paraId="7070FCED" w14:textId="3220646E" w:rsidR="007A70A4" w:rsidRPr="0057246D" w:rsidRDefault="007A70A4" w:rsidP="007A70A4">
      <w:pPr>
        <w:pStyle w:val="SingleTxtG"/>
        <w:rPr>
          <w:iCs/>
        </w:rPr>
      </w:pPr>
      <w:r>
        <w:rPr>
          <w:iCs/>
        </w:rPr>
        <w:t>34.</w:t>
      </w:r>
      <w:r>
        <w:rPr>
          <w:iCs/>
        </w:rPr>
        <w:tab/>
      </w:r>
      <w:r w:rsidRPr="0057246D">
        <w:rPr>
          <w:iCs/>
        </w:rPr>
        <w:t>Mr</w:t>
      </w:r>
      <w:r w:rsidR="00FC492C">
        <w:rPr>
          <w:iCs/>
        </w:rPr>
        <w:t>.</w:t>
      </w:r>
      <w:r w:rsidRPr="0057246D">
        <w:rPr>
          <w:iCs/>
        </w:rPr>
        <w:t xml:space="preserve"> Dosdahl (DNV) mentions that it’s unclear why there seem to be a problem now as the flow chart is already been used for many years. The confusion at the operator’s side arises when other product names then mentioned in the cargo list are being used.</w:t>
      </w:r>
    </w:p>
    <w:p w14:paraId="39A401C4" w14:textId="1FB9AA1A" w:rsidR="007A70A4" w:rsidRPr="0057246D" w:rsidRDefault="007A70A4" w:rsidP="007A70A4">
      <w:pPr>
        <w:pStyle w:val="SingleTxtG"/>
        <w:rPr>
          <w:iCs/>
        </w:rPr>
      </w:pPr>
      <w:r>
        <w:rPr>
          <w:iCs/>
        </w:rPr>
        <w:t>35.</w:t>
      </w:r>
      <w:r>
        <w:rPr>
          <w:iCs/>
        </w:rPr>
        <w:tab/>
      </w:r>
      <w:r w:rsidRPr="0057246D">
        <w:rPr>
          <w:iCs/>
        </w:rPr>
        <w:t>A further discussion with Fuels Europe seems to be necessary. Mr</w:t>
      </w:r>
      <w:r w:rsidR="00FC492C">
        <w:rPr>
          <w:iCs/>
        </w:rPr>
        <w:t>.</w:t>
      </w:r>
      <w:r w:rsidRPr="0057246D">
        <w:rPr>
          <w:iCs/>
        </w:rPr>
        <w:t xml:space="preserve"> Vinke (LR) will take this action.</w:t>
      </w:r>
    </w:p>
    <w:p w14:paraId="63E484CF" w14:textId="275011EB" w:rsidR="007A70A4" w:rsidRPr="002E4CA3" w:rsidRDefault="00FC492C" w:rsidP="00FC492C">
      <w:pPr>
        <w:pStyle w:val="H1G"/>
      </w:pPr>
      <w:r>
        <w:tab/>
        <w:t>D.</w:t>
      </w:r>
      <w:r>
        <w:tab/>
      </w:r>
      <w:r w:rsidR="007A70A4">
        <w:tab/>
      </w:r>
      <w:r w:rsidR="007A70A4" w:rsidRPr="002E4CA3">
        <w:t>Other issues:</w:t>
      </w:r>
    </w:p>
    <w:p w14:paraId="50C7D36A" w14:textId="53C1DD23" w:rsidR="007A70A4" w:rsidRPr="0057246D" w:rsidRDefault="007A70A4" w:rsidP="007A70A4">
      <w:pPr>
        <w:pStyle w:val="SingleTxtG"/>
        <w:rPr>
          <w:iCs/>
        </w:rPr>
      </w:pPr>
      <w:r>
        <w:rPr>
          <w:iCs/>
        </w:rPr>
        <w:t>36.</w:t>
      </w:r>
      <w:r>
        <w:rPr>
          <w:iCs/>
        </w:rPr>
        <w:tab/>
      </w:r>
      <w:r w:rsidRPr="0057246D">
        <w:rPr>
          <w:iCs/>
        </w:rPr>
        <w:t>Mr</w:t>
      </w:r>
      <w:r w:rsidR="00C32223">
        <w:rPr>
          <w:iCs/>
        </w:rPr>
        <w:t>.</w:t>
      </w:r>
      <w:r w:rsidRPr="0057246D">
        <w:rPr>
          <w:iCs/>
        </w:rPr>
        <w:t xml:space="preserve"> Langenberg, as an observer, mentions that a topic on the agenda could be </w:t>
      </w:r>
      <w:r w:rsidR="00C32223">
        <w:rPr>
          <w:iCs/>
        </w:rPr>
        <w:t>"</w:t>
      </w:r>
      <w:r w:rsidRPr="0057246D">
        <w:rPr>
          <w:iCs/>
        </w:rPr>
        <w:t>exchange of experiences between class societies</w:t>
      </w:r>
      <w:r w:rsidR="00C32223">
        <w:rPr>
          <w:iCs/>
        </w:rPr>
        <w:t>"</w:t>
      </w:r>
      <w:r w:rsidRPr="0057246D">
        <w:rPr>
          <w:iCs/>
        </w:rPr>
        <w:t xml:space="preserve"> as this is mentioned in the ADN.</w:t>
      </w:r>
    </w:p>
    <w:p w14:paraId="1D0657A9" w14:textId="408678F8" w:rsidR="007A70A4" w:rsidRDefault="007A70A4" w:rsidP="007A70A4">
      <w:pPr>
        <w:pStyle w:val="SingleTxtG"/>
        <w:rPr>
          <w:iCs/>
        </w:rPr>
      </w:pPr>
      <w:r>
        <w:rPr>
          <w:iCs/>
        </w:rPr>
        <w:t>37.</w:t>
      </w:r>
      <w:r>
        <w:rPr>
          <w:iCs/>
        </w:rPr>
        <w:tab/>
      </w:r>
      <w:r w:rsidRPr="0057246D">
        <w:rPr>
          <w:iCs/>
        </w:rPr>
        <w:t>Mr</w:t>
      </w:r>
      <w:r w:rsidR="00C32223">
        <w:rPr>
          <w:iCs/>
        </w:rPr>
        <w:t>.</w:t>
      </w:r>
      <w:r w:rsidRPr="0057246D">
        <w:rPr>
          <w:iCs/>
        </w:rPr>
        <w:t xml:space="preserve"> Remers (NL) informs about the informal working group for loading on top. A</w:t>
      </w:r>
      <w:r w:rsidR="001B2D55">
        <w:rPr>
          <w:iCs/>
        </w:rPr>
        <w:t> </w:t>
      </w:r>
      <w:r w:rsidRPr="0057246D">
        <w:rPr>
          <w:iCs/>
        </w:rPr>
        <w:t>request to the class societies will be raised on including a note in the last column that the product can be loaded on top. Mr</w:t>
      </w:r>
      <w:r w:rsidR="00832CC2">
        <w:rPr>
          <w:iCs/>
        </w:rPr>
        <w:t>.</w:t>
      </w:r>
      <w:r w:rsidRPr="0057246D">
        <w:rPr>
          <w:iCs/>
        </w:rPr>
        <w:t xml:space="preserve"> Vinke (LR) confirms this is possible. It means that a note in column 20 of Table C needs to be introduced. This note can then be taken as a similar note or remark in the product lists.</w:t>
      </w:r>
    </w:p>
    <w:p w14:paraId="175DB32E" w14:textId="77777777" w:rsidR="007A70A4" w:rsidRPr="00A05C2E" w:rsidRDefault="007A70A4" w:rsidP="007A70A4">
      <w:pPr>
        <w:pStyle w:val="HChG"/>
      </w:pPr>
      <w:r w:rsidRPr="00A05C2E">
        <w:tab/>
        <w:t>VI.</w:t>
      </w:r>
      <w:r w:rsidRPr="00A05C2E">
        <w:tab/>
        <w:t>Date and location of the next meeting</w:t>
      </w:r>
    </w:p>
    <w:p w14:paraId="00AFBBD0" w14:textId="77777777" w:rsidR="007A70A4" w:rsidRPr="00A05C2E" w:rsidRDefault="007A70A4" w:rsidP="007A70A4">
      <w:pPr>
        <w:pStyle w:val="SingleTxtG"/>
      </w:pPr>
      <w:r w:rsidRPr="00A05C2E">
        <w:rPr>
          <w:iCs/>
        </w:rPr>
        <w:t>3</w:t>
      </w:r>
      <w:r>
        <w:rPr>
          <w:iCs/>
        </w:rPr>
        <w:t>8</w:t>
      </w:r>
      <w:r w:rsidRPr="00A05C2E">
        <w:rPr>
          <w:iCs/>
        </w:rPr>
        <w:t>.</w:t>
      </w:r>
      <w:r w:rsidRPr="00A05C2E">
        <w:rPr>
          <w:iCs/>
        </w:rPr>
        <w:tab/>
      </w:r>
      <w:r w:rsidRPr="0057246D">
        <w:rPr>
          <w:iCs/>
        </w:rPr>
        <w:t>Wednesday, 16 March 2022 in Zagreb.</w:t>
      </w:r>
    </w:p>
    <w:p w14:paraId="70C4D4B4" w14:textId="2E10B70C" w:rsidR="007A70A4" w:rsidRDefault="007A70A4" w:rsidP="007A70A4">
      <w:pPr>
        <w:pStyle w:val="HChG"/>
      </w:pPr>
      <w:r w:rsidRPr="00A05C2E">
        <w:lastRenderedPageBreak/>
        <w:tab/>
        <w:t>VII.</w:t>
      </w:r>
      <w:r w:rsidRPr="00A05C2E">
        <w:tab/>
        <w:t>Closing</w:t>
      </w:r>
    </w:p>
    <w:p w14:paraId="524B0985" w14:textId="23B91C11" w:rsidR="001B2D55" w:rsidRPr="001B2D55" w:rsidRDefault="001B2D55" w:rsidP="001B2D55">
      <w:pPr>
        <w:spacing w:before="240"/>
        <w:jc w:val="center"/>
        <w:rPr>
          <w:u w:val="single"/>
        </w:rPr>
      </w:pPr>
      <w:r>
        <w:rPr>
          <w:u w:val="single"/>
        </w:rPr>
        <w:tab/>
      </w:r>
      <w:r>
        <w:rPr>
          <w:u w:val="single"/>
        </w:rPr>
        <w:tab/>
      </w:r>
      <w:r>
        <w:rPr>
          <w:u w:val="single"/>
        </w:rPr>
        <w:tab/>
      </w:r>
    </w:p>
    <w:sectPr w:rsidR="001B2D55" w:rsidRPr="001B2D55" w:rsidSect="00710A5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A91B" w14:textId="77777777" w:rsidR="00A8120A" w:rsidRDefault="00A8120A"/>
  </w:endnote>
  <w:endnote w:type="continuationSeparator" w:id="0">
    <w:p w14:paraId="07DADC67" w14:textId="77777777" w:rsidR="00A8120A" w:rsidRDefault="00A8120A"/>
  </w:endnote>
  <w:endnote w:type="continuationNotice" w:id="1">
    <w:p w14:paraId="058AEF4C" w14:textId="77777777" w:rsidR="00A8120A" w:rsidRDefault="00A8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33E5" w14:textId="1211679D" w:rsidR="00710A56" w:rsidRPr="00710A56" w:rsidRDefault="00710A56" w:rsidP="00710A56">
    <w:pPr>
      <w:pStyle w:val="Footer"/>
      <w:tabs>
        <w:tab w:val="right" w:pos="9638"/>
      </w:tabs>
      <w:rPr>
        <w:sz w:val="18"/>
      </w:rPr>
    </w:pPr>
    <w:r w:rsidRPr="00710A56">
      <w:rPr>
        <w:b/>
        <w:sz w:val="18"/>
      </w:rPr>
      <w:fldChar w:fldCharType="begin"/>
    </w:r>
    <w:r w:rsidRPr="00710A56">
      <w:rPr>
        <w:b/>
        <w:sz w:val="18"/>
      </w:rPr>
      <w:instrText xml:space="preserve"> PAGE  \* MERGEFORMAT </w:instrText>
    </w:r>
    <w:r w:rsidRPr="00710A56">
      <w:rPr>
        <w:b/>
        <w:sz w:val="18"/>
      </w:rPr>
      <w:fldChar w:fldCharType="separate"/>
    </w:r>
    <w:r w:rsidRPr="00710A56">
      <w:rPr>
        <w:b/>
        <w:noProof/>
        <w:sz w:val="18"/>
      </w:rPr>
      <w:t>2</w:t>
    </w:r>
    <w:r w:rsidRPr="00710A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7BEC" w14:textId="7B784467" w:rsidR="00710A56" w:rsidRPr="00710A56" w:rsidRDefault="00710A56" w:rsidP="00710A56">
    <w:pPr>
      <w:pStyle w:val="Footer"/>
      <w:tabs>
        <w:tab w:val="right" w:pos="9638"/>
      </w:tabs>
      <w:rPr>
        <w:b/>
        <w:sz w:val="18"/>
      </w:rPr>
    </w:pPr>
    <w:r>
      <w:tab/>
    </w:r>
    <w:r w:rsidRPr="00710A56">
      <w:rPr>
        <w:b/>
        <w:sz w:val="18"/>
      </w:rPr>
      <w:fldChar w:fldCharType="begin"/>
    </w:r>
    <w:r w:rsidRPr="00710A56">
      <w:rPr>
        <w:b/>
        <w:sz w:val="18"/>
      </w:rPr>
      <w:instrText xml:space="preserve"> PAGE  \* MERGEFORMAT </w:instrText>
    </w:r>
    <w:r w:rsidRPr="00710A56">
      <w:rPr>
        <w:b/>
        <w:sz w:val="18"/>
      </w:rPr>
      <w:fldChar w:fldCharType="separate"/>
    </w:r>
    <w:r w:rsidRPr="00710A56">
      <w:rPr>
        <w:b/>
        <w:noProof/>
        <w:sz w:val="18"/>
      </w:rPr>
      <w:t>3</w:t>
    </w:r>
    <w:r w:rsidRPr="00710A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7CE3" w14:textId="103C36C7" w:rsidR="00F94268" w:rsidRDefault="00F94268" w:rsidP="00F94268">
    <w:pPr>
      <w:pStyle w:val="Footer"/>
    </w:pPr>
    <w:r w:rsidRPr="0027112F">
      <w:rPr>
        <w:noProof/>
        <w:lang w:val="en-US"/>
      </w:rPr>
      <w:drawing>
        <wp:anchor distT="0" distB="0" distL="114300" distR="114300" simplePos="0" relativeHeight="251659264" behindDoc="0" locked="1" layoutInCell="1" allowOverlap="1" wp14:anchorId="7CC3ED39" wp14:editId="03708F7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0E1767" w14:textId="6A569AED" w:rsidR="00F94268" w:rsidRPr="00F94268" w:rsidRDefault="00F94268" w:rsidP="00F94268">
    <w:pPr>
      <w:pStyle w:val="Footer"/>
      <w:ind w:right="1134"/>
      <w:rPr>
        <w:sz w:val="20"/>
      </w:rPr>
    </w:pPr>
    <w:r>
      <w:rPr>
        <w:sz w:val="20"/>
      </w:rPr>
      <w:t>GE.21-16508(E)</w:t>
    </w:r>
    <w:r>
      <w:rPr>
        <w:noProof/>
        <w:sz w:val="20"/>
      </w:rPr>
      <w:drawing>
        <wp:anchor distT="0" distB="0" distL="114300" distR="114300" simplePos="0" relativeHeight="251660288" behindDoc="0" locked="0" layoutInCell="1" allowOverlap="1" wp14:anchorId="2FDEA659" wp14:editId="661A441E">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FDE8" w14:textId="77777777" w:rsidR="00A8120A" w:rsidRPr="000B175B" w:rsidRDefault="00A8120A" w:rsidP="000B175B">
      <w:pPr>
        <w:tabs>
          <w:tab w:val="right" w:pos="2155"/>
        </w:tabs>
        <w:spacing w:after="80"/>
        <w:ind w:left="680"/>
        <w:rPr>
          <w:u w:val="single"/>
        </w:rPr>
      </w:pPr>
      <w:r>
        <w:rPr>
          <w:u w:val="single"/>
        </w:rPr>
        <w:tab/>
      </w:r>
    </w:p>
  </w:footnote>
  <w:footnote w:type="continuationSeparator" w:id="0">
    <w:p w14:paraId="064647F1" w14:textId="77777777" w:rsidR="00A8120A" w:rsidRPr="00FC68B7" w:rsidRDefault="00A8120A" w:rsidP="00FC68B7">
      <w:pPr>
        <w:tabs>
          <w:tab w:val="left" w:pos="2155"/>
        </w:tabs>
        <w:spacing w:after="80"/>
        <w:ind w:left="680"/>
        <w:rPr>
          <w:u w:val="single"/>
        </w:rPr>
      </w:pPr>
      <w:r>
        <w:rPr>
          <w:u w:val="single"/>
        </w:rPr>
        <w:tab/>
      </w:r>
    </w:p>
  </w:footnote>
  <w:footnote w:type="continuationNotice" w:id="1">
    <w:p w14:paraId="05B2EFD6" w14:textId="77777777" w:rsidR="00A8120A" w:rsidRDefault="00A8120A"/>
  </w:footnote>
  <w:footnote w:id="2">
    <w:p w14:paraId="4A20FBCC" w14:textId="0D2C066D" w:rsidR="007A70A4" w:rsidRPr="008F269E" w:rsidRDefault="007A70A4" w:rsidP="007A70A4">
      <w:pPr>
        <w:pStyle w:val="FootnoteText"/>
      </w:pPr>
      <w:r w:rsidRPr="004C53DD">
        <w:rPr>
          <w:rStyle w:val="FootnoteReference"/>
        </w:rPr>
        <w:tab/>
      </w:r>
      <w:r w:rsidRPr="00DC32CB">
        <w:rPr>
          <w:rStyle w:val="FootnoteReference"/>
          <w:sz w:val="20"/>
          <w:vertAlign w:val="baseline"/>
        </w:rPr>
        <w:t>*</w:t>
      </w:r>
      <w:r w:rsidRPr="008F269E">
        <w:rPr>
          <w:rStyle w:val="FootnoteReference"/>
          <w:sz w:val="20"/>
        </w:rPr>
        <w:tab/>
      </w:r>
      <w:r w:rsidRPr="008F269E">
        <w:rPr>
          <w:szCs w:val="18"/>
        </w:rPr>
        <w:t>Distributed in German by the Central Commission for the Navigation of the Rhine under the symbol CCNR</w:t>
      </w:r>
      <w:r>
        <w:rPr>
          <w:szCs w:val="18"/>
        </w:rPr>
        <w:t>-</w:t>
      </w:r>
      <w:r w:rsidRPr="008F269E">
        <w:rPr>
          <w:szCs w:val="18"/>
        </w:rPr>
        <w:t>ZKR/ADN/</w:t>
      </w:r>
      <w:r w:rsidRPr="008F269E">
        <w:t>WP</w:t>
      </w:r>
      <w:r w:rsidRPr="008F269E">
        <w:rPr>
          <w:szCs w:val="18"/>
        </w:rPr>
        <w:t>.15</w:t>
      </w:r>
      <w:r w:rsidRPr="006A2F5F">
        <w:rPr>
          <w:szCs w:val="18"/>
        </w:rPr>
        <w:t>/AC.2/202</w:t>
      </w:r>
      <w:r w:rsidR="00A26417" w:rsidRPr="006A2F5F">
        <w:rPr>
          <w:szCs w:val="18"/>
          <w:lang w:val="ru-RU"/>
        </w:rPr>
        <w:t>2</w:t>
      </w:r>
      <w:r w:rsidRPr="006A2F5F">
        <w:rPr>
          <w:szCs w:val="18"/>
        </w:rPr>
        <w:t>/1</w:t>
      </w:r>
      <w:r w:rsidR="006A2F5F" w:rsidRPr="006A2F5F">
        <w:rPr>
          <w:szCs w:val="18"/>
          <w:lang w:val="ru-RU"/>
        </w:rPr>
        <w:t>1</w:t>
      </w:r>
      <w:r w:rsidRPr="006A2F5F">
        <w:rPr>
          <w:szCs w:val="18"/>
        </w:rPr>
        <w:t>.</w:t>
      </w:r>
    </w:p>
  </w:footnote>
  <w:footnote w:id="3">
    <w:p w14:paraId="6E68909B" w14:textId="77777777" w:rsidR="007A70A4" w:rsidRPr="002F2114" w:rsidRDefault="007A70A4" w:rsidP="007A70A4">
      <w:pPr>
        <w:pStyle w:val="FootnoteText"/>
        <w:widowControl w:val="0"/>
      </w:pPr>
      <w:r w:rsidRPr="008F269E">
        <w:rPr>
          <w:rStyle w:val="FootnoteReference"/>
        </w:rPr>
        <w:tab/>
      </w:r>
      <w:r w:rsidRPr="00DC32CB">
        <w:rPr>
          <w:rStyle w:val="FootnoteReference"/>
          <w:sz w:val="20"/>
          <w:vertAlign w:val="baseline"/>
        </w:rPr>
        <w:t>**</w:t>
      </w:r>
      <w:r w:rsidRPr="008F269E">
        <w:rPr>
          <w:rStyle w:val="FootnoteReference"/>
          <w:sz w:val="20"/>
        </w:rPr>
        <w:tab/>
      </w:r>
      <w:r w:rsidRPr="008F269E">
        <w:rPr>
          <w:szCs w:val="18"/>
        </w:rPr>
        <w:t>In accordance with the programme of work of the Inland Transport Committee for 202</w:t>
      </w:r>
      <w:r>
        <w:rPr>
          <w:szCs w:val="18"/>
        </w:rPr>
        <w:t>1</w:t>
      </w:r>
      <w:r w:rsidRPr="008F269E">
        <w:rPr>
          <w:szCs w:val="18"/>
        </w:rPr>
        <w:t xml:space="preserve"> as outlined in proposed programme budget for 202</w:t>
      </w:r>
      <w:r>
        <w:rPr>
          <w:szCs w:val="18"/>
        </w:rPr>
        <w:t>1</w:t>
      </w:r>
      <w:r w:rsidRPr="008F269E">
        <w:rPr>
          <w:szCs w:val="18"/>
        </w:rPr>
        <w:t xml:space="preserve"> (</w:t>
      </w:r>
      <w:r w:rsidRPr="00A95BEB">
        <w:rPr>
          <w:szCs w:val="18"/>
        </w:rPr>
        <w:t>A/75/6 (Sect.20)</w:t>
      </w:r>
      <w:r w:rsidRPr="002F2114">
        <w:rPr>
          <w:szCs w:val="18"/>
        </w:rPr>
        <w:t xml:space="preserve">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86F3" w14:textId="559118D9" w:rsidR="00710A56" w:rsidRPr="00710A56" w:rsidRDefault="0016722F">
    <w:pPr>
      <w:pStyle w:val="Header"/>
    </w:pPr>
    <w:fldSimple w:instr=" TITLE  \* MERGEFORMAT ">
      <w:r w:rsidR="00710A56">
        <w:t>ECE/TRANS/WP.15/AC.2/2022/11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4D9D" w14:textId="7FD3BDB2" w:rsidR="00710A56" w:rsidRPr="00710A56" w:rsidRDefault="0016722F" w:rsidP="00710A56">
    <w:pPr>
      <w:pStyle w:val="Header"/>
      <w:jc w:val="right"/>
    </w:pPr>
    <w:fldSimple w:instr=" TITLE  \* MERGEFORMAT ">
      <w:r w:rsidR="00710A56">
        <w:t>ECE/TRANS/WP.15/AC.2/2022/11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3F2CCC0E"/>
    <w:lvl w:ilvl="0" w:tplc="78607ACC">
      <w:start w:val="1"/>
      <w:numFmt w:val="bullet"/>
      <w:lvlText w:val="•"/>
      <w:lvlJc w:val="left"/>
      <w:pPr>
        <w:tabs>
          <w:tab w:val="num" w:pos="5132"/>
        </w:tabs>
        <w:ind w:left="5132"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56"/>
    <w:rsid w:val="00002A7D"/>
    <w:rsid w:val="000038A8"/>
    <w:rsid w:val="00006790"/>
    <w:rsid w:val="000211BF"/>
    <w:rsid w:val="00027624"/>
    <w:rsid w:val="00050F6B"/>
    <w:rsid w:val="000623EE"/>
    <w:rsid w:val="000678CD"/>
    <w:rsid w:val="00071957"/>
    <w:rsid w:val="00072C8C"/>
    <w:rsid w:val="00081CE0"/>
    <w:rsid w:val="00083DE3"/>
    <w:rsid w:val="00084D30"/>
    <w:rsid w:val="00090320"/>
    <w:rsid w:val="000931C0"/>
    <w:rsid w:val="000A2E09"/>
    <w:rsid w:val="000A5B48"/>
    <w:rsid w:val="000B0110"/>
    <w:rsid w:val="000B175B"/>
    <w:rsid w:val="000B3A0F"/>
    <w:rsid w:val="000B5F30"/>
    <w:rsid w:val="000C31A8"/>
    <w:rsid w:val="000C54C7"/>
    <w:rsid w:val="000E0415"/>
    <w:rsid w:val="000E499D"/>
    <w:rsid w:val="000E5C11"/>
    <w:rsid w:val="000E7B7A"/>
    <w:rsid w:val="000F7715"/>
    <w:rsid w:val="001074F6"/>
    <w:rsid w:val="001206A8"/>
    <w:rsid w:val="00125C22"/>
    <w:rsid w:val="00127694"/>
    <w:rsid w:val="001505C4"/>
    <w:rsid w:val="00152B7C"/>
    <w:rsid w:val="00156B99"/>
    <w:rsid w:val="00160E71"/>
    <w:rsid w:val="00166124"/>
    <w:rsid w:val="0016722F"/>
    <w:rsid w:val="00172688"/>
    <w:rsid w:val="00182F87"/>
    <w:rsid w:val="00184DDA"/>
    <w:rsid w:val="001900CD"/>
    <w:rsid w:val="001936B1"/>
    <w:rsid w:val="001A0452"/>
    <w:rsid w:val="001A7095"/>
    <w:rsid w:val="001B2D55"/>
    <w:rsid w:val="001B4B04"/>
    <w:rsid w:val="001B5875"/>
    <w:rsid w:val="001C01B5"/>
    <w:rsid w:val="001C4B9C"/>
    <w:rsid w:val="001C6663"/>
    <w:rsid w:val="001C7895"/>
    <w:rsid w:val="001D26DF"/>
    <w:rsid w:val="001E6399"/>
    <w:rsid w:val="001F1599"/>
    <w:rsid w:val="001F19C4"/>
    <w:rsid w:val="001F789E"/>
    <w:rsid w:val="002043F0"/>
    <w:rsid w:val="00211E0B"/>
    <w:rsid w:val="00226151"/>
    <w:rsid w:val="002267FF"/>
    <w:rsid w:val="00232575"/>
    <w:rsid w:val="00247258"/>
    <w:rsid w:val="00257CAC"/>
    <w:rsid w:val="00264DE5"/>
    <w:rsid w:val="0027237A"/>
    <w:rsid w:val="00275A75"/>
    <w:rsid w:val="002763AA"/>
    <w:rsid w:val="00296E14"/>
    <w:rsid w:val="002974E9"/>
    <w:rsid w:val="002A7F94"/>
    <w:rsid w:val="002B109A"/>
    <w:rsid w:val="002C6D45"/>
    <w:rsid w:val="002D6E53"/>
    <w:rsid w:val="002F046D"/>
    <w:rsid w:val="002F3023"/>
    <w:rsid w:val="00301764"/>
    <w:rsid w:val="003229D8"/>
    <w:rsid w:val="00331076"/>
    <w:rsid w:val="0033284C"/>
    <w:rsid w:val="00332C84"/>
    <w:rsid w:val="00336C97"/>
    <w:rsid w:val="00337F88"/>
    <w:rsid w:val="00342432"/>
    <w:rsid w:val="0035223F"/>
    <w:rsid w:val="00352D4B"/>
    <w:rsid w:val="00353BE4"/>
    <w:rsid w:val="0035638C"/>
    <w:rsid w:val="0036414E"/>
    <w:rsid w:val="0036549C"/>
    <w:rsid w:val="003A0AE4"/>
    <w:rsid w:val="003A46BB"/>
    <w:rsid w:val="003A4EC7"/>
    <w:rsid w:val="003A7295"/>
    <w:rsid w:val="003B1F60"/>
    <w:rsid w:val="003C2A3E"/>
    <w:rsid w:val="003C2CC4"/>
    <w:rsid w:val="003C677C"/>
    <w:rsid w:val="003D2E42"/>
    <w:rsid w:val="003D4B23"/>
    <w:rsid w:val="003E278A"/>
    <w:rsid w:val="003E6A51"/>
    <w:rsid w:val="00413520"/>
    <w:rsid w:val="00422D44"/>
    <w:rsid w:val="004273B6"/>
    <w:rsid w:val="004325CB"/>
    <w:rsid w:val="00440136"/>
    <w:rsid w:val="00440A07"/>
    <w:rsid w:val="00460504"/>
    <w:rsid w:val="00462880"/>
    <w:rsid w:val="004631BA"/>
    <w:rsid w:val="00470231"/>
    <w:rsid w:val="00476F24"/>
    <w:rsid w:val="00480A2B"/>
    <w:rsid w:val="00490975"/>
    <w:rsid w:val="004B32C9"/>
    <w:rsid w:val="004C55B0"/>
    <w:rsid w:val="004C64AE"/>
    <w:rsid w:val="004E3BDF"/>
    <w:rsid w:val="004F032B"/>
    <w:rsid w:val="004F6BA0"/>
    <w:rsid w:val="00500EFC"/>
    <w:rsid w:val="00503BEA"/>
    <w:rsid w:val="00507498"/>
    <w:rsid w:val="00524AC4"/>
    <w:rsid w:val="00533616"/>
    <w:rsid w:val="00535ABA"/>
    <w:rsid w:val="0053768B"/>
    <w:rsid w:val="00541430"/>
    <w:rsid w:val="005420F2"/>
    <w:rsid w:val="0054285C"/>
    <w:rsid w:val="00581DD9"/>
    <w:rsid w:val="005840CE"/>
    <w:rsid w:val="00584173"/>
    <w:rsid w:val="005915E5"/>
    <w:rsid w:val="00595520"/>
    <w:rsid w:val="005A44B9"/>
    <w:rsid w:val="005B1BA0"/>
    <w:rsid w:val="005B3DB3"/>
    <w:rsid w:val="005D15CA"/>
    <w:rsid w:val="005E3161"/>
    <w:rsid w:val="005F08DF"/>
    <w:rsid w:val="005F1A0D"/>
    <w:rsid w:val="005F3066"/>
    <w:rsid w:val="005F3E61"/>
    <w:rsid w:val="005F4220"/>
    <w:rsid w:val="00604DDD"/>
    <w:rsid w:val="006115CC"/>
    <w:rsid w:val="00611FC4"/>
    <w:rsid w:val="006176FB"/>
    <w:rsid w:val="0061783A"/>
    <w:rsid w:val="00630FCB"/>
    <w:rsid w:val="00640B26"/>
    <w:rsid w:val="00652104"/>
    <w:rsid w:val="0065766B"/>
    <w:rsid w:val="006770B2"/>
    <w:rsid w:val="00686A48"/>
    <w:rsid w:val="006908E2"/>
    <w:rsid w:val="006940E1"/>
    <w:rsid w:val="006A2F5F"/>
    <w:rsid w:val="006A3C72"/>
    <w:rsid w:val="006A5551"/>
    <w:rsid w:val="006A7392"/>
    <w:rsid w:val="006A7C7C"/>
    <w:rsid w:val="006B03A1"/>
    <w:rsid w:val="006B67D9"/>
    <w:rsid w:val="006C5535"/>
    <w:rsid w:val="006D0589"/>
    <w:rsid w:val="006E564B"/>
    <w:rsid w:val="006E7154"/>
    <w:rsid w:val="007003CD"/>
    <w:rsid w:val="0070701E"/>
    <w:rsid w:val="00710A56"/>
    <w:rsid w:val="00716566"/>
    <w:rsid w:val="00723A28"/>
    <w:rsid w:val="0072632A"/>
    <w:rsid w:val="00733937"/>
    <w:rsid w:val="007358E8"/>
    <w:rsid w:val="00736ECE"/>
    <w:rsid w:val="007418DF"/>
    <w:rsid w:val="0074533B"/>
    <w:rsid w:val="0076434E"/>
    <w:rsid w:val="007643BC"/>
    <w:rsid w:val="00774DE3"/>
    <w:rsid w:val="00780C68"/>
    <w:rsid w:val="007959FE"/>
    <w:rsid w:val="007A0CF1"/>
    <w:rsid w:val="007A3A5F"/>
    <w:rsid w:val="007A70A4"/>
    <w:rsid w:val="007A7D5D"/>
    <w:rsid w:val="007A7FA0"/>
    <w:rsid w:val="007B369D"/>
    <w:rsid w:val="007B6BA5"/>
    <w:rsid w:val="007C3390"/>
    <w:rsid w:val="007C42D8"/>
    <w:rsid w:val="007C4F4B"/>
    <w:rsid w:val="007D7362"/>
    <w:rsid w:val="007F5CE2"/>
    <w:rsid w:val="007F6611"/>
    <w:rsid w:val="00810307"/>
    <w:rsid w:val="00810BAC"/>
    <w:rsid w:val="00811F46"/>
    <w:rsid w:val="008175E9"/>
    <w:rsid w:val="008242D7"/>
    <w:rsid w:val="0082577B"/>
    <w:rsid w:val="00832CC2"/>
    <w:rsid w:val="00844D14"/>
    <w:rsid w:val="0085556E"/>
    <w:rsid w:val="00866893"/>
    <w:rsid w:val="00866F02"/>
    <w:rsid w:val="00867D18"/>
    <w:rsid w:val="008719F5"/>
    <w:rsid w:val="00871F9A"/>
    <w:rsid w:val="00871FD5"/>
    <w:rsid w:val="00874A73"/>
    <w:rsid w:val="0088172E"/>
    <w:rsid w:val="00881EFA"/>
    <w:rsid w:val="00882741"/>
    <w:rsid w:val="00885434"/>
    <w:rsid w:val="0088717B"/>
    <w:rsid w:val="008879CB"/>
    <w:rsid w:val="00891A4B"/>
    <w:rsid w:val="00891FAA"/>
    <w:rsid w:val="008979B1"/>
    <w:rsid w:val="008A2EC2"/>
    <w:rsid w:val="008A6B25"/>
    <w:rsid w:val="008A6C4F"/>
    <w:rsid w:val="008A76C4"/>
    <w:rsid w:val="008B389E"/>
    <w:rsid w:val="008C2A72"/>
    <w:rsid w:val="008C4835"/>
    <w:rsid w:val="008D045E"/>
    <w:rsid w:val="008D0766"/>
    <w:rsid w:val="008D3F25"/>
    <w:rsid w:val="008D4D82"/>
    <w:rsid w:val="008D5257"/>
    <w:rsid w:val="008E0E46"/>
    <w:rsid w:val="008E7116"/>
    <w:rsid w:val="008F143B"/>
    <w:rsid w:val="008F3882"/>
    <w:rsid w:val="008F4B7C"/>
    <w:rsid w:val="00902CE6"/>
    <w:rsid w:val="00926E47"/>
    <w:rsid w:val="00945F6C"/>
    <w:rsid w:val="00947162"/>
    <w:rsid w:val="009610D0"/>
    <w:rsid w:val="0096375C"/>
    <w:rsid w:val="009660D0"/>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2EAC"/>
    <w:rsid w:val="009F5363"/>
    <w:rsid w:val="009F57E3"/>
    <w:rsid w:val="00A00911"/>
    <w:rsid w:val="00A10F4F"/>
    <w:rsid w:val="00A11067"/>
    <w:rsid w:val="00A1704A"/>
    <w:rsid w:val="00A225CF"/>
    <w:rsid w:val="00A26417"/>
    <w:rsid w:val="00A35851"/>
    <w:rsid w:val="00A425EB"/>
    <w:rsid w:val="00A57F9D"/>
    <w:rsid w:val="00A72F22"/>
    <w:rsid w:val="00A733BC"/>
    <w:rsid w:val="00A748A6"/>
    <w:rsid w:val="00A76A69"/>
    <w:rsid w:val="00A8120A"/>
    <w:rsid w:val="00A879A4"/>
    <w:rsid w:val="00AA0FF8"/>
    <w:rsid w:val="00AB134D"/>
    <w:rsid w:val="00AC0F2C"/>
    <w:rsid w:val="00AC502A"/>
    <w:rsid w:val="00AF58C1"/>
    <w:rsid w:val="00B04A3F"/>
    <w:rsid w:val="00B06643"/>
    <w:rsid w:val="00B15055"/>
    <w:rsid w:val="00B20551"/>
    <w:rsid w:val="00B257C1"/>
    <w:rsid w:val="00B30179"/>
    <w:rsid w:val="00B316C9"/>
    <w:rsid w:val="00B33FC7"/>
    <w:rsid w:val="00B34C19"/>
    <w:rsid w:val="00B37B15"/>
    <w:rsid w:val="00B45C02"/>
    <w:rsid w:val="00B47BBF"/>
    <w:rsid w:val="00B573FF"/>
    <w:rsid w:val="00B70B63"/>
    <w:rsid w:val="00B72A1E"/>
    <w:rsid w:val="00B776DB"/>
    <w:rsid w:val="00B81E12"/>
    <w:rsid w:val="00B82B43"/>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11C15"/>
    <w:rsid w:val="00C31337"/>
    <w:rsid w:val="00C32223"/>
    <w:rsid w:val="00C33ED1"/>
    <w:rsid w:val="00C463DD"/>
    <w:rsid w:val="00C6124E"/>
    <w:rsid w:val="00C745C3"/>
    <w:rsid w:val="00C978F5"/>
    <w:rsid w:val="00CA24A4"/>
    <w:rsid w:val="00CB348D"/>
    <w:rsid w:val="00CB4A0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57D85"/>
    <w:rsid w:val="00D61C99"/>
    <w:rsid w:val="00D704E5"/>
    <w:rsid w:val="00D72727"/>
    <w:rsid w:val="00D7500A"/>
    <w:rsid w:val="00D978C6"/>
    <w:rsid w:val="00DA0956"/>
    <w:rsid w:val="00DA0B9D"/>
    <w:rsid w:val="00DA357F"/>
    <w:rsid w:val="00DA3E12"/>
    <w:rsid w:val="00DA5458"/>
    <w:rsid w:val="00DC0A1D"/>
    <w:rsid w:val="00DC18AD"/>
    <w:rsid w:val="00DC32CB"/>
    <w:rsid w:val="00DD67F2"/>
    <w:rsid w:val="00DF475E"/>
    <w:rsid w:val="00DF61DE"/>
    <w:rsid w:val="00DF7CAE"/>
    <w:rsid w:val="00E02030"/>
    <w:rsid w:val="00E1290C"/>
    <w:rsid w:val="00E22D5B"/>
    <w:rsid w:val="00E423C0"/>
    <w:rsid w:val="00E61A8B"/>
    <w:rsid w:val="00E6414C"/>
    <w:rsid w:val="00E7260F"/>
    <w:rsid w:val="00E8702D"/>
    <w:rsid w:val="00E905F4"/>
    <w:rsid w:val="00E916A9"/>
    <w:rsid w:val="00E916DE"/>
    <w:rsid w:val="00E925AD"/>
    <w:rsid w:val="00E96630"/>
    <w:rsid w:val="00ED18DC"/>
    <w:rsid w:val="00ED1A13"/>
    <w:rsid w:val="00ED6201"/>
    <w:rsid w:val="00ED7A2A"/>
    <w:rsid w:val="00EF1D7F"/>
    <w:rsid w:val="00F0137E"/>
    <w:rsid w:val="00F01685"/>
    <w:rsid w:val="00F027D9"/>
    <w:rsid w:val="00F21786"/>
    <w:rsid w:val="00F3742B"/>
    <w:rsid w:val="00F40F50"/>
    <w:rsid w:val="00F41FDB"/>
    <w:rsid w:val="00F56D63"/>
    <w:rsid w:val="00F609A9"/>
    <w:rsid w:val="00F75D28"/>
    <w:rsid w:val="00F80C99"/>
    <w:rsid w:val="00F867EC"/>
    <w:rsid w:val="00F91B2B"/>
    <w:rsid w:val="00F94268"/>
    <w:rsid w:val="00FC03CD"/>
    <w:rsid w:val="00FC0646"/>
    <w:rsid w:val="00FC492C"/>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20FCEB"/>
  <w15:docId w15:val="{862A6B34-8A76-4C51-A280-3335E0A8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7A70A4"/>
    <w:rPr>
      <w:b/>
      <w:sz w:val="24"/>
      <w:lang w:val="en-GB"/>
    </w:rPr>
  </w:style>
  <w:style w:type="character" w:customStyle="1" w:styleId="SingleTxtGChar">
    <w:name w:val="_ Single Txt_G Char"/>
    <w:link w:val="SingleTxtG"/>
    <w:uiPriority w:val="99"/>
    <w:qFormat/>
    <w:locked/>
    <w:rsid w:val="007A70A4"/>
    <w:rPr>
      <w:lang w:val="en-GB"/>
    </w:rPr>
  </w:style>
  <w:style w:type="character" w:customStyle="1" w:styleId="H23GChar">
    <w:name w:val="_ H_2/3_G Char"/>
    <w:link w:val="H23G"/>
    <w:rsid w:val="007A70A4"/>
    <w:rPr>
      <w:b/>
      <w:lang w:val="en-GB"/>
    </w:rPr>
  </w:style>
  <w:style w:type="character" w:customStyle="1" w:styleId="HChGChar">
    <w:name w:val="_ H _Ch_G Char"/>
    <w:link w:val="HChG"/>
    <w:rsid w:val="007A70A4"/>
    <w:rPr>
      <w:b/>
      <w:sz w:val="28"/>
      <w:lang w:val="en-GB"/>
    </w:rPr>
  </w:style>
  <w:style w:type="character" w:customStyle="1" w:styleId="FootnoteTextChar">
    <w:name w:val="Footnote Text Char"/>
    <w:aliases w:val="5_G Char"/>
    <w:link w:val="FootnoteText"/>
    <w:rsid w:val="007A70A4"/>
    <w:rPr>
      <w:sz w:val="18"/>
      <w:lang w:val="en-GB"/>
    </w:rPr>
  </w:style>
  <w:style w:type="character" w:styleId="CommentReference">
    <w:name w:val="annotation reference"/>
    <w:basedOn w:val="DefaultParagraphFont"/>
    <w:semiHidden/>
    <w:unhideWhenUsed/>
    <w:rsid w:val="00B316C9"/>
    <w:rPr>
      <w:sz w:val="16"/>
      <w:szCs w:val="16"/>
    </w:rPr>
  </w:style>
  <w:style w:type="paragraph" w:styleId="CommentText">
    <w:name w:val="annotation text"/>
    <w:basedOn w:val="Normal"/>
    <w:link w:val="CommentTextChar"/>
    <w:semiHidden/>
    <w:unhideWhenUsed/>
    <w:rsid w:val="00B316C9"/>
    <w:pPr>
      <w:spacing w:line="240" w:lineRule="auto"/>
    </w:pPr>
  </w:style>
  <w:style w:type="character" w:customStyle="1" w:styleId="CommentTextChar">
    <w:name w:val="Comment Text Char"/>
    <w:basedOn w:val="DefaultParagraphFont"/>
    <w:link w:val="CommentText"/>
    <w:semiHidden/>
    <w:rsid w:val="00B316C9"/>
    <w:rPr>
      <w:lang w:val="en-GB"/>
    </w:rPr>
  </w:style>
  <w:style w:type="paragraph" w:styleId="CommentSubject">
    <w:name w:val="annotation subject"/>
    <w:basedOn w:val="CommentText"/>
    <w:next w:val="CommentText"/>
    <w:link w:val="CommentSubjectChar"/>
    <w:semiHidden/>
    <w:unhideWhenUsed/>
    <w:rsid w:val="00B316C9"/>
    <w:rPr>
      <w:b/>
      <w:bCs/>
    </w:rPr>
  </w:style>
  <w:style w:type="character" w:customStyle="1" w:styleId="CommentSubjectChar">
    <w:name w:val="Comment Subject Char"/>
    <w:basedOn w:val="CommentTextChar"/>
    <w:link w:val="CommentSubject"/>
    <w:semiHidden/>
    <w:rsid w:val="00B316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o.nl/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5D330-E3AF-4CE6-B3E1-B43B58FD3E66}">
  <ds:schemaRefs>
    <ds:schemaRef ds:uri="http://schemas.microsoft.com/sharepoint/v3/contenttype/forms"/>
  </ds:schemaRefs>
</ds:datastoreItem>
</file>

<file path=customXml/itemProps2.xml><?xml version="1.0" encoding="utf-8"?>
<ds:datastoreItem xmlns:ds="http://schemas.openxmlformats.org/officeDocument/2006/customXml" ds:itemID="{41A11F75-6536-460D-8071-0E2697065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5FC46-EDC0-49BA-BB1F-5EA38040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10653</Characters>
  <Application>Microsoft Office Word</Application>
  <DocSecurity>0</DocSecurity>
  <Lines>209</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ECE/TRANS/WP.15/AC.2/2022/11</vt:lpstr>
      <vt:lpstr>United Nations</vt:lpstr>
    </vt:vector>
  </TitlesOfParts>
  <Company>CSD</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ECE/TRANS/WP.15/AC.2/2022/11</dc:title>
  <dc:subject>2116508</dc:subject>
  <dc:creator>Secretariat</dc:creator>
  <cp:keywords/>
  <dc:description/>
  <cp:lastModifiedBy>Pauline Anne Princesa ESCALANTE</cp:lastModifiedBy>
  <cp:revision>2</cp:revision>
  <cp:lastPrinted>2009-02-18T09:36:00Z</cp:lastPrinted>
  <dcterms:created xsi:type="dcterms:W3CDTF">2021-11-17T06:35:00Z</dcterms:created>
  <dcterms:modified xsi:type="dcterms:W3CDTF">2021-11-17T06:35:00Z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