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1E2C0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D33D87" w14:textId="77777777" w:rsidR="002D5AAC" w:rsidRDefault="002D5AAC" w:rsidP="00BF64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EC396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626088" w14:textId="0A33C92E" w:rsidR="002D5AAC" w:rsidRDefault="00BF6431" w:rsidP="00BF6431">
            <w:pPr>
              <w:jc w:val="right"/>
            </w:pPr>
            <w:r w:rsidRPr="00BF6431">
              <w:rPr>
                <w:sz w:val="40"/>
              </w:rPr>
              <w:t>ECE</w:t>
            </w:r>
            <w:r>
              <w:t>/TRANS/WP.29/GRVA/2022/12</w:t>
            </w:r>
          </w:p>
        </w:tc>
      </w:tr>
      <w:tr w:rsidR="002D5AAC" w14:paraId="1AFB58C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BF4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08295A" wp14:editId="2C2721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331BD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12C45C" w14:textId="77777777" w:rsidR="002D5AAC" w:rsidRDefault="00BF64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4B09E0" w14:textId="77777777" w:rsidR="00BF6431" w:rsidRDefault="00BF6431" w:rsidP="00BF64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2021</w:t>
            </w:r>
          </w:p>
          <w:p w14:paraId="027CCA0C" w14:textId="77777777" w:rsidR="00BF6431" w:rsidRDefault="00BF6431" w:rsidP="00BF64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C02940" w14:textId="5F28BA48" w:rsidR="00BF6431" w:rsidRPr="008D53B6" w:rsidRDefault="00BF6431" w:rsidP="00BF64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89FD5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F8D08F" w14:textId="77777777" w:rsidR="00BF6431" w:rsidRPr="005C7E7F" w:rsidRDefault="00BF6431" w:rsidP="00BF6431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5C7E7F">
        <w:rPr>
          <w:sz w:val="28"/>
          <w:szCs w:val="28"/>
        </w:rPr>
        <w:t xml:space="preserve">Комитет по внутреннему транспорту </w:t>
      </w:r>
    </w:p>
    <w:p w14:paraId="2E65D132" w14:textId="77777777" w:rsidR="00BF6431" w:rsidRPr="005C7E7F" w:rsidRDefault="00BF6431" w:rsidP="00BF6431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5C7E7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C7E7F">
        <w:rPr>
          <w:b/>
          <w:bCs/>
          <w:sz w:val="24"/>
          <w:szCs w:val="24"/>
        </w:rPr>
        <w:br/>
        <w:t>в области транспортных средств</w:t>
      </w:r>
    </w:p>
    <w:p w14:paraId="13173D70" w14:textId="77777777" w:rsidR="00BF6431" w:rsidRPr="005C7E7F" w:rsidRDefault="00BF6431" w:rsidP="00BF6431">
      <w:pPr>
        <w:tabs>
          <w:tab w:val="left" w:pos="1134"/>
          <w:tab w:val="left" w:pos="2268"/>
        </w:tabs>
        <w:spacing w:before="120"/>
        <w:rPr>
          <w:b/>
        </w:rPr>
      </w:pPr>
      <w:r w:rsidRPr="005C7E7F">
        <w:rPr>
          <w:b/>
          <w:bCs/>
        </w:rPr>
        <w:t xml:space="preserve">Рабочая группа по автоматизированным/автономным </w:t>
      </w:r>
      <w:r w:rsidRPr="005C7E7F">
        <w:rPr>
          <w:b/>
          <w:bCs/>
        </w:rPr>
        <w:br/>
        <w:t xml:space="preserve">и подключенным транспортным средствам </w:t>
      </w:r>
    </w:p>
    <w:p w14:paraId="7D9CB618" w14:textId="77777777" w:rsidR="00BF6431" w:rsidRPr="005C7E7F" w:rsidRDefault="00BF6431" w:rsidP="00BF6431">
      <w:pPr>
        <w:tabs>
          <w:tab w:val="left" w:pos="1134"/>
          <w:tab w:val="left" w:pos="2268"/>
        </w:tabs>
        <w:spacing w:before="120"/>
        <w:rPr>
          <w:b/>
        </w:rPr>
      </w:pPr>
      <w:bookmarkStart w:id="0" w:name="OLE_LINK2"/>
      <w:r w:rsidRPr="005C7E7F">
        <w:rPr>
          <w:b/>
        </w:rPr>
        <w:t>Двенадцатая сессия</w:t>
      </w:r>
    </w:p>
    <w:p w14:paraId="0002B0B5" w14:textId="01126D09" w:rsidR="00BF6431" w:rsidRPr="005C7E7F" w:rsidRDefault="00BF6431" w:rsidP="00BF6431">
      <w:r w:rsidRPr="005C7E7F">
        <w:t>Женева, 24–28 января 2022</w:t>
      </w:r>
      <w:r>
        <w:t xml:space="preserve"> года</w:t>
      </w:r>
    </w:p>
    <w:p w14:paraId="0241B825" w14:textId="77777777" w:rsidR="00BF6431" w:rsidRPr="005C7E7F" w:rsidRDefault="00BF6431" w:rsidP="00BF6431">
      <w:r w:rsidRPr="005C7E7F">
        <w:t>Пункт 8 a) предварительной повестки дня</w:t>
      </w:r>
    </w:p>
    <w:p w14:paraId="2E421340" w14:textId="77777777" w:rsidR="00BF6431" w:rsidRPr="005C7E7F" w:rsidRDefault="00BF6431" w:rsidP="00BF6431">
      <w:pPr>
        <w:rPr>
          <w:b/>
          <w:bCs/>
        </w:rPr>
      </w:pPr>
      <w:r w:rsidRPr="005C7E7F">
        <w:rPr>
          <w:b/>
          <w:bCs/>
          <w:shd w:val="clear" w:color="auto" w:fill="FFFFFF"/>
        </w:rPr>
        <w:t>Правила № 13, 13-H, 139, 140 ООН и ГТП № 8 ООН</w:t>
      </w:r>
      <w:r w:rsidRPr="005C7E7F">
        <w:rPr>
          <w:b/>
          <w:bCs/>
        </w:rPr>
        <w:t>:</w:t>
      </w:r>
    </w:p>
    <w:bookmarkEnd w:id="0"/>
    <w:p w14:paraId="1246D868" w14:textId="37E93B37" w:rsidR="00E12C5F" w:rsidRDefault="00BF6431" w:rsidP="00BF6431">
      <w:r w:rsidRPr="005C7E7F">
        <w:rPr>
          <w:b/>
          <w:bCs/>
        </w:rPr>
        <w:t>электронный контроль устойчивости</w:t>
      </w:r>
    </w:p>
    <w:p w14:paraId="33D5E66E" w14:textId="77777777" w:rsidR="00BF6431" w:rsidRPr="005C7E7F" w:rsidRDefault="00BF6431" w:rsidP="00BF6431">
      <w:pPr>
        <w:pStyle w:val="HChG"/>
      </w:pPr>
      <w:r w:rsidRPr="005C7E7F">
        <w:tab/>
      </w:r>
      <w:r w:rsidRPr="005C7E7F">
        <w:tab/>
        <w:t>Предложение по поправкам к документу ECE/TRANS/WP.29/GRVA/2020/34</w:t>
      </w:r>
    </w:p>
    <w:p w14:paraId="2FF5DBC9" w14:textId="77777777" w:rsidR="00BF6431" w:rsidRPr="005C7E7F" w:rsidRDefault="00BF6431" w:rsidP="00BF6431">
      <w:pPr>
        <w:pStyle w:val="H1G"/>
        <w:rPr>
          <w:szCs w:val="24"/>
        </w:rPr>
      </w:pPr>
      <w:r w:rsidRPr="005C7E7F">
        <w:tab/>
      </w:r>
      <w:r w:rsidRPr="005C7E7F">
        <w:tab/>
      </w:r>
      <w:r w:rsidRPr="005C7E7F">
        <w:rPr>
          <w:bCs/>
        </w:rPr>
        <w:t>Представлено экспертом от Канады</w:t>
      </w:r>
      <w:r w:rsidRPr="00BF643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5FD6EFC" w14:textId="5841AA38" w:rsidR="00BF6431" w:rsidRPr="005C7E7F" w:rsidRDefault="00BF6431" w:rsidP="00BF6431">
      <w:pPr>
        <w:pStyle w:val="SingleTxtG"/>
      </w:pPr>
      <w:r w:rsidRPr="005C7E7F">
        <w:tab/>
        <w:t>В п</w:t>
      </w:r>
      <w:r w:rsidRPr="005C7E7F">
        <w:rPr>
          <w:shd w:val="clear" w:color="auto" w:fill="FFFFFF"/>
        </w:rPr>
        <w:t>риведенном ниже тексте находит отражение предложение эксперта от Канады о внесении поправок в документ ECE/TRANS/WP.29/GRVA/2020/34 и неофициальный документ GRVA-09-36, сделанное в ходе одиннадцатой сессии Рабочей группы по автоматизированным/автономным и подключенным транспортным средствам (GRVA). Неофициальный документ GRVA-09-36</w:t>
      </w:r>
      <w:r w:rsidRPr="005C7E7F">
        <w:t xml:space="preserve"> </w:t>
      </w:r>
      <w:r w:rsidRPr="005C7E7F">
        <w:rPr>
          <w:shd w:val="clear" w:color="auto" w:fill="FFFFFF"/>
        </w:rPr>
        <w:t>был подготовлен экспертом от Республики Корея, который предложил поправки к ГТП</w:t>
      </w:r>
      <w:r>
        <w:rPr>
          <w:shd w:val="clear" w:color="auto" w:fill="FFFFFF"/>
        </w:rPr>
        <w:t> </w:t>
      </w:r>
      <w:r w:rsidRPr="005C7E7F">
        <w:rPr>
          <w:shd w:val="clear" w:color="auto" w:fill="FFFFFF"/>
        </w:rPr>
        <w:t xml:space="preserve">№ 8 ООН (электронный контроль устойчивости (ЭКУ)). В основу настоящего предложения положены официальный документ ECE/TRANS/WP.29/GRVA/2020/34 и неофициальный документ GRVA-07-64. Изменения, первоначально изложенные в документе GRVA-09-36, </w:t>
      </w:r>
      <w:r w:rsidRPr="005C7E7F">
        <w:t xml:space="preserve">к существующему тексту Глобальных технических правил ООН выделены жирным шрифтом в случае новых положений и зачеркиванием в случае исключенных элементов. </w:t>
      </w:r>
      <w:r w:rsidRPr="005C7E7F">
        <w:rPr>
          <w:sz w:val="21"/>
          <w:szCs w:val="21"/>
          <w:shd w:val="clear" w:color="auto" w:fill="FFFFFF"/>
        </w:rPr>
        <w:t xml:space="preserve">Поправки, предложенные экспертом от Канады, </w:t>
      </w:r>
      <w:r w:rsidRPr="005C7E7F">
        <w:t xml:space="preserve">выделены </w:t>
      </w:r>
      <w:r w:rsidRPr="005C7E7F">
        <w:rPr>
          <w:sz w:val="21"/>
          <w:szCs w:val="21"/>
          <w:shd w:val="clear" w:color="auto" w:fill="FFFFFF"/>
        </w:rPr>
        <w:t>подчеркиванием.</w:t>
      </w:r>
    </w:p>
    <w:p w14:paraId="66977F87" w14:textId="77777777" w:rsidR="00BF6431" w:rsidRPr="005C7E7F" w:rsidRDefault="00BF6431" w:rsidP="00BF6431">
      <w:pPr>
        <w:pStyle w:val="HChG"/>
        <w:pageBreakBefore/>
      </w:pPr>
      <w:r w:rsidRPr="005C7E7F">
        <w:lastRenderedPageBreak/>
        <w:tab/>
        <w:t>I.</w:t>
      </w:r>
      <w:r w:rsidRPr="005C7E7F">
        <w:tab/>
        <w:t>Предложение</w:t>
      </w:r>
    </w:p>
    <w:p w14:paraId="5D0450E8" w14:textId="77777777" w:rsidR="00BF6431" w:rsidRPr="005C7E7F" w:rsidRDefault="00BF6431" w:rsidP="00BF6431">
      <w:pPr>
        <w:pStyle w:val="SingleTxtG"/>
        <w:ind w:left="2268" w:hanging="1134"/>
        <w:rPr>
          <w:rFonts w:eastAsia="Malgun Gothic"/>
          <w:lang w:eastAsia="ko-KR"/>
        </w:rPr>
      </w:pPr>
      <w:r w:rsidRPr="005C7E7F">
        <w:rPr>
          <w:rFonts w:eastAsia="Malgun Gothic"/>
          <w:i/>
          <w:iCs/>
          <w:lang w:eastAsia="ko-KR"/>
        </w:rPr>
        <w:t>Пункт 5</w:t>
      </w:r>
      <w:r w:rsidRPr="005C7E7F">
        <w:rPr>
          <w:rFonts w:eastAsia="Malgun Gothic"/>
          <w:lang w:eastAsia="ko-KR"/>
        </w:rPr>
        <w:t xml:space="preserve"> </w:t>
      </w:r>
      <w:r w:rsidRPr="005C7E7F">
        <w:t>изменить следующим образом</w:t>
      </w:r>
      <w:r w:rsidRPr="005C7E7F">
        <w:rPr>
          <w:rFonts w:eastAsia="Malgun Gothic"/>
          <w:lang w:eastAsia="ko-KR"/>
        </w:rPr>
        <w:t>:</w:t>
      </w:r>
    </w:p>
    <w:p w14:paraId="09A0BF95" w14:textId="420C8DB0" w:rsidR="00BF6431" w:rsidRPr="005C7E7F" w:rsidRDefault="00BF6431" w:rsidP="00BF6431">
      <w:pPr>
        <w:pStyle w:val="SingleTxtG"/>
        <w:ind w:left="2268" w:hanging="1134"/>
        <w:rPr>
          <w:rFonts w:eastAsia="Malgun Gothic"/>
          <w:lang w:eastAsia="ko-KR"/>
        </w:rPr>
      </w:pPr>
      <w:r w:rsidRPr="005C7E7F">
        <w:t>«5.</w:t>
      </w:r>
      <w:r w:rsidRPr="005C7E7F">
        <w:tab/>
      </w:r>
      <w:r w:rsidR="00EB77C1">
        <w:tab/>
      </w:r>
      <w:r w:rsidRPr="005C7E7F">
        <w:t>Эксплуатационные требования</w:t>
      </w:r>
    </w:p>
    <w:p w14:paraId="76E26ECC" w14:textId="77777777" w:rsidR="00BF6431" w:rsidRPr="005C7E7F" w:rsidRDefault="00BF6431" w:rsidP="00BF6431">
      <w:pPr>
        <w:pStyle w:val="SingleTxtG"/>
        <w:ind w:left="2268"/>
      </w:pPr>
      <w:r w:rsidRPr="005C7E7F">
        <w:t>В ходе каждого испытания в условиях, указанных в пункте 6, и с соблюдением процедуры, указанной в пункте 7.9, транспортное средство с включенной системой ЭКУ должно удовлетворять критерию курсовой устойчивости, указанному в пунктах 5.1 и 5.2, и критерию реакции, указанному в пункте 5.3, в процессе каждого из этих испытаний, проводимых при заданном угле поворота рулевого колеса, равном 5A или более (но с учетом ограничения, указанного в пункте 7.9.4), где A — угол поворота рулевого колеса, рассчитанный с помощью метода, указанного в пункте 7.6.1.</w:t>
      </w:r>
    </w:p>
    <w:p w14:paraId="67C186BC" w14:textId="77777777" w:rsidR="00BF6431" w:rsidRPr="005C7E7F" w:rsidRDefault="00BF6431" w:rsidP="00BF6431">
      <w:pPr>
        <w:pStyle w:val="SingleTxtG"/>
        <w:ind w:left="2268"/>
        <w:rPr>
          <w:bCs/>
        </w:rPr>
      </w:pPr>
      <w:r w:rsidRPr="005C7E7F">
        <w:rPr>
          <w:b/>
          <w:bCs/>
        </w:rPr>
        <w:t>Несмотря на вышесказанное, критерий реакции считается выполненным также в случае систем, в которых максимальный эксплуатационный угол поворота рулевого колеса, определенный в пункте 7.9.4, и боковое смещение, предусмотренное в пункте 5.3, достигаются при заданном угле поворота рулевого колеса менее 5А</w:t>
      </w:r>
      <w:r w:rsidRPr="005C7E7F">
        <w:rPr>
          <w:bCs/>
        </w:rPr>
        <w:t>».</w:t>
      </w:r>
    </w:p>
    <w:p w14:paraId="065AD99B" w14:textId="77777777" w:rsidR="00BF6431" w:rsidRPr="005C7E7F" w:rsidRDefault="00BF6431" w:rsidP="00BF6431">
      <w:pPr>
        <w:pStyle w:val="SingleTxtG"/>
        <w:ind w:left="2268" w:hanging="1134"/>
      </w:pPr>
      <w:r w:rsidRPr="005C7E7F">
        <w:rPr>
          <w:i/>
          <w:iCs/>
        </w:rPr>
        <w:t xml:space="preserve">Пункт </w:t>
      </w:r>
      <w:r w:rsidRPr="005C7E7F">
        <w:rPr>
          <w:rFonts w:eastAsia="Malgun Gothic" w:hint="eastAsia"/>
          <w:i/>
          <w:iCs/>
          <w:lang w:eastAsia="ko-KR"/>
        </w:rPr>
        <w:t>7</w:t>
      </w:r>
      <w:r w:rsidRPr="005C7E7F">
        <w:rPr>
          <w:i/>
          <w:iCs/>
        </w:rPr>
        <w:t>.9.4</w:t>
      </w:r>
      <w:r w:rsidRPr="005C7E7F">
        <w:t xml:space="preserve"> изменить следующим образом:</w:t>
      </w:r>
    </w:p>
    <w:p w14:paraId="665AB3B9" w14:textId="692583C3" w:rsidR="00BF6431" w:rsidRPr="005C7E7F" w:rsidRDefault="00BF6431" w:rsidP="00BF6431">
      <w:pPr>
        <w:pStyle w:val="SingleTxtG"/>
        <w:ind w:left="2268" w:hanging="1134"/>
      </w:pPr>
      <w:r w:rsidRPr="005C7E7F">
        <w:rPr>
          <w:rFonts w:eastAsia="Malgun Gothic"/>
          <w:lang w:eastAsia="ko-KR"/>
        </w:rPr>
        <w:t>«</w:t>
      </w:r>
      <w:r w:rsidRPr="005C7E7F">
        <w:rPr>
          <w:rFonts w:eastAsia="Malgun Gothic" w:hint="eastAsia"/>
          <w:lang w:eastAsia="ko-KR"/>
        </w:rPr>
        <w:t>7</w:t>
      </w:r>
      <w:r w:rsidRPr="005C7E7F">
        <w:t xml:space="preserve">.9.4 </w:t>
      </w:r>
      <w:r w:rsidRPr="005C7E7F">
        <w:tab/>
      </w:r>
      <w:r>
        <w:tab/>
      </w:r>
      <w:r w:rsidRPr="005C7E7F">
        <w:t>Амплитуда поворота рулевого колеса на конечном прогоне каждой серии должна составлять более 6,5 А или 270 градусов при условии, что расчетная амплитуда на уровне 6,5 А меньше или равна 300 градусам. Если любое увеличение на 0,5 А до достижения 6,5 А превышает 300 градусов, то амплитуда поворота рулевого колеса на конечном прогоне должна составлять 300 градусов.</w:t>
      </w:r>
    </w:p>
    <w:p w14:paraId="7B180890" w14:textId="386565EE" w:rsidR="00BF6431" w:rsidRDefault="00BF6431" w:rsidP="00BF6431">
      <w:pPr>
        <w:pStyle w:val="SingleTxtG"/>
        <w:ind w:left="2268"/>
      </w:pPr>
      <w:r w:rsidRPr="005C7E7F">
        <w:rPr>
          <w:b/>
          <w:bCs/>
        </w:rPr>
        <w:t xml:space="preserve">Если вышеуказанная расчетная амплитуда поворота рулевого колеса на конечном прогоне превышает максимальный эксплуатационный угол поворота рулевого колеса, задаваемый конструкцией системы рулевого управления, то применительно к серии испытаний </w:t>
      </w:r>
      <w:r w:rsidRPr="005C7E7F">
        <w:rPr>
          <w:b/>
          <w:bCs/>
          <w:u w:val="single"/>
        </w:rPr>
        <w:t>за номинальную амплитуду</w:t>
      </w:r>
      <w:r w:rsidRPr="005C7E7F">
        <w:rPr>
          <w:b/>
          <w:bCs/>
        </w:rPr>
        <w:t xml:space="preserve"> </w:t>
      </w:r>
      <w:r w:rsidRPr="005C7E7F">
        <w:rPr>
          <w:b/>
          <w:bCs/>
          <w:strike/>
          <w:u w:val="single"/>
        </w:rPr>
        <w:t>амплитуда</w:t>
      </w:r>
      <w:r w:rsidRPr="005C7E7F">
        <w:rPr>
          <w:b/>
          <w:bCs/>
        </w:rPr>
        <w:t xml:space="preserve"> угла поворота на конечном прогоне </w:t>
      </w:r>
      <w:r w:rsidRPr="005C7E7F">
        <w:rPr>
          <w:b/>
          <w:bCs/>
          <w:u w:val="single"/>
        </w:rPr>
        <w:t>принимают максимальный эксплуатационный угол</w:t>
      </w:r>
      <w:r w:rsidRPr="005C7E7F">
        <w:rPr>
          <w:b/>
          <w:bCs/>
        </w:rPr>
        <w:t xml:space="preserve"> </w:t>
      </w:r>
      <w:r w:rsidRPr="005C7E7F">
        <w:rPr>
          <w:b/>
          <w:bCs/>
          <w:strike/>
          <w:u w:val="single"/>
        </w:rPr>
        <w:t>должна</w:t>
      </w:r>
      <w:r w:rsidRPr="005C7E7F">
        <w:rPr>
          <w:b/>
          <w:bCs/>
          <w:u w:val="single"/>
        </w:rPr>
        <w:t xml:space="preserve"> </w:t>
      </w:r>
      <w:r w:rsidRPr="005C7E7F">
        <w:rPr>
          <w:b/>
          <w:bCs/>
          <w:strike/>
          <w:u w:val="single"/>
        </w:rPr>
        <w:t>превышать 98</w:t>
      </w:r>
      <w:r>
        <w:rPr>
          <w:b/>
          <w:bCs/>
          <w:strike/>
          <w:u w:val="single"/>
        </w:rPr>
        <w:t xml:space="preserve"> </w:t>
      </w:r>
      <w:r w:rsidRPr="005C7E7F">
        <w:rPr>
          <w:b/>
          <w:bCs/>
          <w:strike/>
          <w:u w:val="single"/>
        </w:rPr>
        <w:t>% максимального эксплуатационного угла</w:t>
      </w:r>
      <w:r w:rsidRPr="005C7E7F">
        <w:rPr>
          <w:b/>
          <w:bCs/>
        </w:rPr>
        <w:t xml:space="preserve"> поворота рулевого колеса. </w:t>
      </w:r>
      <w:r w:rsidRPr="005C7E7F">
        <w:rPr>
          <w:b/>
          <w:bCs/>
          <w:strike/>
          <w:u w:val="single"/>
        </w:rPr>
        <w:t xml:space="preserve">Если же </w:t>
      </w:r>
      <w:r w:rsidRPr="005C7E7F">
        <w:rPr>
          <w:b/>
          <w:bCs/>
          <w:strike/>
          <w:u w:val="single"/>
          <w:shd w:val="clear" w:color="auto" w:fill="FFFFFF"/>
        </w:rPr>
        <w:t xml:space="preserve">автоматический механизм управления не обеспечивает прохождение испытания на маневр по усеченной синусоиде ввиду механических ограничений оборудования рулевого управления, то </w:t>
      </w:r>
      <w:r w:rsidRPr="005C7E7F">
        <w:rPr>
          <w:b/>
          <w:bCs/>
          <w:strike/>
          <w:u w:val="single"/>
        </w:rPr>
        <w:t>применительно к серии испытаний амплитуда угла поворота на конечном прогоне может превышать 98</w:t>
      </w:r>
      <w:r>
        <w:rPr>
          <w:b/>
          <w:bCs/>
          <w:strike/>
          <w:u w:val="single"/>
        </w:rPr>
        <w:t xml:space="preserve"> </w:t>
      </w:r>
      <w:r w:rsidRPr="005C7E7F">
        <w:rPr>
          <w:b/>
          <w:bCs/>
          <w:strike/>
          <w:u w:val="single"/>
        </w:rPr>
        <w:t>% максимального эксплуатационного угла поворота рулевого колеса</w:t>
      </w:r>
      <w:r w:rsidRPr="005C7E7F">
        <w:rPr>
          <w:bCs/>
        </w:rPr>
        <w:t>».</w:t>
      </w:r>
    </w:p>
    <w:p w14:paraId="4576291B" w14:textId="37D25A93" w:rsidR="00BF6431" w:rsidRPr="00BF6431" w:rsidRDefault="00BF6431" w:rsidP="00BF64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6431" w:rsidRPr="00BF6431" w:rsidSect="00BF64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30E9" w14:textId="77777777" w:rsidR="00D42CA5" w:rsidRPr="00A312BC" w:rsidRDefault="00D42CA5" w:rsidP="00A312BC"/>
  </w:endnote>
  <w:endnote w:type="continuationSeparator" w:id="0">
    <w:p w14:paraId="7397D09D" w14:textId="77777777" w:rsidR="00D42CA5" w:rsidRPr="00A312BC" w:rsidRDefault="00D42C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2E8E" w14:textId="2793FA28" w:rsidR="00BF6431" w:rsidRPr="00BF6431" w:rsidRDefault="00BF6431">
    <w:pPr>
      <w:pStyle w:val="a8"/>
    </w:pPr>
    <w:r w:rsidRPr="00BF6431">
      <w:rPr>
        <w:b/>
        <w:sz w:val="18"/>
      </w:rPr>
      <w:fldChar w:fldCharType="begin"/>
    </w:r>
    <w:r w:rsidRPr="00BF6431">
      <w:rPr>
        <w:b/>
        <w:sz w:val="18"/>
      </w:rPr>
      <w:instrText xml:space="preserve"> PAGE  \* MERGEFORMAT </w:instrText>
    </w:r>
    <w:r w:rsidRPr="00BF6431">
      <w:rPr>
        <w:b/>
        <w:sz w:val="18"/>
      </w:rPr>
      <w:fldChar w:fldCharType="separate"/>
    </w:r>
    <w:r w:rsidRPr="00BF6431">
      <w:rPr>
        <w:b/>
        <w:noProof/>
        <w:sz w:val="18"/>
      </w:rPr>
      <w:t>2</w:t>
    </w:r>
    <w:r w:rsidRPr="00BF6431">
      <w:rPr>
        <w:b/>
        <w:sz w:val="18"/>
      </w:rPr>
      <w:fldChar w:fldCharType="end"/>
    </w:r>
    <w:r>
      <w:rPr>
        <w:b/>
        <w:sz w:val="18"/>
      </w:rPr>
      <w:tab/>
    </w:r>
    <w:r>
      <w:t>GE.21-16405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8748" w14:textId="735F1D2F" w:rsidR="00BF6431" w:rsidRPr="00BF6431" w:rsidRDefault="00BF6431" w:rsidP="00BF6431">
    <w:pPr>
      <w:pStyle w:val="a8"/>
      <w:tabs>
        <w:tab w:val="clear" w:pos="9639"/>
        <w:tab w:val="right" w:pos="9638"/>
      </w:tabs>
      <w:rPr>
        <w:b/>
        <w:sz w:val="18"/>
      </w:rPr>
    </w:pPr>
    <w:r>
      <w:t>GE.21-16405</w:t>
    </w:r>
    <w:r>
      <w:tab/>
    </w:r>
    <w:r w:rsidRPr="00BF6431">
      <w:rPr>
        <w:b/>
        <w:sz w:val="18"/>
      </w:rPr>
      <w:fldChar w:fldCharType="begin"/>
    </w:r>
    <w:r w:rsidRPr="00BF6431">
      <w:rPr>
        <w:b/>
        <w:sz w:val="18"/>
      </w:rPr>
      <w:instrText xml:space="preserve"> PAGE  \* MERGEFORMAT </w:instrText>
    </w:r>
    <w:r w:rsidRPr="00BF6431">
      <w:rPr>
        <w:b/>
        <w:sz w:val="18"/>
      </w:rPr>
      <w:fldChar w:fldCharType="separate"/>
    </w:r>
    <w:r w:rsidRPr="00BF6431">
      <w:rPr>
        <w:b/>
        <w:noProof/>
        <w:sz w:val="18"/>
      </w:rPr>
      <w:t>3</w:t>
    </w:r>
    <w:r w:rsidRPr="00BF64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8F1D" w14:textId="640AD8B9" w:rsidR="00042B72" w:rsidRPr="008B1A4C" w:rsidRDefault="00BF6431" w:rsidP="00BF643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306DEE" wp14:editId="38E6181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16405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5077EE" wp14:editId="48039A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A4C">
      <w:rPr>
        <w:lang w:val="en-US"/>
      </w:rPr>
      <w:t xml:space="preserve">  241121  241121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6F4ED" w14:textId="77777777" w:rsidR="00D42CA5" w:rsidRPr="001075E9" w:rsidRDefault="00D42C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D3A799" w14:textId="77777777" w:rsidR="00D42CA5" w:rsidRDefault="00D42C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93BDAA" w14:textId="77777777" w:rsidR="00BF6431" w:rsidRPr="00EA475E" w:rsidRDefault="00BF6431" w:rsidP="00BF6431">
      <w:pPr>
        <w:pStyle w:val="ad"/>
      </w:pPr>
      <w:r w:rsidRPr="00BF6431">
        <w:rPr>
          <w:rStyle w:val="aa"/>
          <w:vertAlign w:val="baseline"/>
        </w:rPr>
        <w:tab/>
      </w:r>
      <w:r w:rsidRPr="00BF6431">
        <w:rPr>
          <w:rStyle w:val="aa"/>
          <w:sz w:val="20"/>
          <w:vertAlign w:val="baseline"/>
        </w:rPr>
        <w:t>*</w:t>
      </w:r>
      <w:r w:rsidRPr="00AF50E3">
        <w:tab/>
      </w:r>
      <w:r w:rsidRPr="001770D6">
        <w:rPr>
          <w:szCs w:val="18"/>
        </w:rPr>
        <w:t>В соответствии с программой работы Комитета по внутреннему транспорту на 202</w:t>
      </w:r>
      <w:r>
        <w:rPr>
          <w:szCs w:val="18"/>
        </w:rPr>
        <w:t>2</w:t>
      </w:r>
      <w:r w:rsidRPr="001770D6">
        <w:rPr>
          <w:szCs w:val="18"/>
        </w:rPr>
        <w:t xml:space="preserve"> год, изложенной в предлагаемом бюджете по программам на 202</w:t>
      </w:r>
      <w:r>
        <w:rPr>
          <w:szCs w:val="18"/>
        </w:rPr>
        <w:t>2</w:t>
      </w:r>
      <w:r w:rsidRPr="001770D6">
        <w:rPr>
          <w:szCs w:val="18"/>
        </w:rPr>
        <w:t xml:space="preserve"> год (A/7</w:t>
      </w:r>
      <w:r>
        <w:rPr>
          <w:szCs w:val="18"/>
        </w:rPr>
        <w:t>6</w:t>
      </w:r>
      <w:r w:rsidRPr="001770D6">
        <w:rPr>
          <w:szCs w:val="18"/>
        </w:rPr>
        <w:t>/6 (разд. 20), п. 20.</w:t>
      </w:r>
      <w:r>
        <w:rPr>
          <w:szCs w:val="18"/>
        </w:rPr>
        <w:t>76</w:t>
      </w:r>
      <w:r w:rsidRPr="001770D6">
        <w:rPr>
          <w:szCs w:val="18"/>
        </w:rPr>
        <w:t>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5936E3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8ED0" w14:textId="7F2A52D7" w:rsidR="00BF6431" w:rsidRPr="00BF6431" w:rsidRDefault="00BF6431">
    <w:pPr>
      <w:pStyle w:val="a5"/>
    </w:pPr>
    <w:fldSimple w:instr=" TITLE  \* MERGEFORMAT ">
      <w:r w:rsidR="007D140F">
        <w:t>ECE/TRANS/WP.29/GRVA/2022/12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3843" w14:textId="77778CFA" w:rsidR="00BF6431" w:rsidRPr="00BF6431" w:rsidRDefault="00BF6431" w:rsidP="00BF6431">
    <w:pPr>
      <w:pStyle w:val="a5"/>
      <w:jc w:val="right"/>
    </w:pPr>
    <w:fldSimple w:instr=" TITLE  \* MERGEFORMAT ">
      <w:r w:rsidR="007D140F">
        <w:t>ECE/TRANS/WP.29/GRVA/2022/12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A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140F"/>
    <w:rsid w:val="00806737"/>
    <w:rsid w:val="00825F8D"/>
    <w:rsid w:val="00834B71"/>
    <w:rsid w:val="0086445C"/>
    <w:rsid w:val="00893671"/>
    <w:rsid w:val="00894693"/>
    <w:rsid w:val="008A08D7"/>
    <w:rsid w:val="008A37C8"/>
    <w:rsid w:val="008B1A4C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6431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2CA5"/>
    <w:rsid w:val="00D5253A"/>
    <w:rsid w:val="00D853E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77C1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0A05A2"/>
  <w15:docId w15:val="{7C9728C7-6857-40D9-97D1-FCF1935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BF6431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BF6431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BF643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F643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462</Words>
  <Characters>3226</Characters>
  <Application>Microsoft Office Word</Application>
  <DocSecurity>0</DocSecurity>
  <Lines>293</Lines>
  <Paragraphs>122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ECE/TRANS/WP.29/GRVA/2022/12</dc:title>
  <dc:subject/>
  <dc:creator>Marina KOROTKOVA</dc:creator>
  <cp:keywords/>
  <cp:lastModifiedBy>Marina KOROTKOVA</cp:lastModifiedBy>
  <cp:revision>3</cp:revision>
  <cp:lastPrinted>2021-11-24T08:21:00Z</cp:lastPrinted>
  <dcterms:created xsi:type="dcterms:W3CDTF">2021-11-24T08:21:00Z</dcterms:created>
  <dcterms:modified xsi:type="dcterms:W3CDTF">2021-11-24T08:22:00Z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