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599881B" w14:textId="77777777" w:rsidTr="00C97039">
        <w:trPr>
          <w:trHeight w:hRule="exact" w:val="851"/>
        </w:trPr>
        <w:tc>
          <w:tcPr>
            <w:tcW w:w="1276" w:type="dxa"/>
            <w:tcBorders>
              <w:bottom w:val="single" w:sz="4" w:space="0" w:color="auto"/>
            </w:tcBorders>
          </w:tcPr>
          <w:p w14:paraId="6A06A281" w14:textId="77777777" w:rsidR="00F35BAF" w:rsidRPr="00DB58B5" w:rsidRDefault="00F35BAF" w:rsidP="00360DB2"/>
        </w:tc>
        <w:tc>
          <w:tcPr>
            <w:tcW w:w="2268" w:type="dxa"/>
            <w:tcBorders>
              <w:bottom w:val="single" w:sz="4" w:space="0" w:color="auto"/>
            </w:tcBorders>
            <w:vAlign w:val="bottom"/>
          </w:tcPr>
          <w:p w14:paraId="1B951C9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276E0C4" w14:textId="1104FA3B" w:rsidR="00F35BAF" w:rsidRPr="00DB58B5" w:rsidRDefault="00360DB2" w:rsidP="00360DB2">
            <w:pPr>
              <w:jc w:val="right"/>
            </w:pPr>
            <w:r w:rsidRPr="00360DB2">
              <w:rPr>
                <w:sz w:val="40"/>
              </w:rPr>
              <w:t>ECE</w:t>
            </w:r>
            <w:r>
              <w:t>/TRANS/WP.29/GRVA/2022/6</w:t>
            </w:r>
          </w:p>
        </w:tc>
      </w:tr>
      <w:tr w:rsidR="00F35BAF" w:rsidRPr="00DB58B5" w14:paraId="342F8C49" w14:textId="77777777" w:rsidTr="00C97039">
        <w:trPr>
          <w:trHeight w:hRule="exact" w:val="2835"/>
        </w:trPr>
        <w:tc>
          <w:tcPr>
            <w:tcW w:w="1276" w:type="dxa"/>
            <w:tcBorders>
              <w:top w:val="single" w:sz="4" w:space="0" w:color="auto"/>
              <w:bottom w:val="single" w:sz="12" w:space="0" w:color="auto"/>
            </w:tcBorders>
          </w:tcPr>
          <w:p w14:paraId="4E0769E5" w14:textId="77777777" w:rsidR="00F35BAF" w:rsidRPr="00DB58B5" w:rsidRDefault="00F35BAF" w:rsidP="00C97039">
            <w:pPr>
              <w:spacing w:before="120"/>
              <w:jc w:val="center"/>
            </w:pPr>
            <w:r>
              <w:rPr>
                <w:noProof/>
                <w:lang w:eastAsia="fr-CH"/>
              </w:rPr>
              <w:drawing>
                <wp:inline distT="0" distB="0" distL="0" distR="0" wp14:anchorId="74956E08" wp14:editId="23AB2A9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765A3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BA7FA33" w14:textId="77777777" w:rsidR="00F35BAF" w:rsidRDefault="00360DB2" w:rsidP="00C97039">
            <w:pPr>
              <w:spacing w:before="240"/>
            </w:pPr>
            <w:r>
              <w:t>Distr. générale</w:t>
            </w:r>
          </w:p>
          <w:p w14:paraId="0D06573B" w14:textId="2870317B" w:rsidR="00360DB2" w:rsidRDefault="00360DB2" w:rsidP="00360DB2">
            <w:pPr>
              <w:spacing w:line="240" w:lineRule="exact"/>
            </w:pPr>
            <w:r>
              <w:t>10 novembre 2021</w:t>
            </w:r>
          </w:p>
          <w:p w14:paraId="7052CD97" w14:textId="77777777" w:rsidR="00360DB2" w:rsidRDefault="00360DB2" w:rsidP="00360DB2">
            <w:pPr>
              <w:spacing w:line="240" w:lineRule="exact"/>
            </w:pPr>
            <w:r>
              <w:t>Français</w:t>
            </w:r>
          </w:p>
          <w:p w14:paraId="107002FE" w14:textId="04DE133D" w:rsidR="00360DB2" w:rsidRPr="00DB58B5" w:rsidRDefault="00360DB2" w:rsidP="00360DB2">
            <w:pPr>
              <w:spacing w:line="240" w:lineRule="exact"/>
            </w:pPr>
            <w:r>
              <w:t>Original : anglais</w:t>
            </w:r>
          </w:p>
        </w:tc>
      </w:tr>
    </w:tbl>
    <w:p w14:paraId="1F25A756" w14:textId="77777777" w:rsidR="007F20FA" w:rsidRPr="000312C0" w:rsidRDefault="007F20FA" w:rsidP="007F20FA">
      <w:pPr>
        <w:spacing w:before="120"/>
        <w:rPr>
          <w:b/>
          <w:sz w:val="28"/>
          <w:szCs w:val="28"/>
        </w:rPr>
      </w:pPr>
      <w:r w:rsidRPr="000312C0">
        <w:rPr>
          <w:b/>
          <w:sz w:val="28"/>
          <w:szCs w:val="28"/>
        </w:rPr>
        <w:t>Commission économique pour l’Europe</w:t>
      </w:r>
    </w:p>
    <w:p w14:paraId="0291476B" w14:textId="77777777" w:rsidR="007F20FA" w:rsidRDefault="007F20FA" w:rsidP="007F20FA">
      <w:pPr>
        <w:spacing w:before="120"/>
        <w:rPr>
          <w:sz w:val="28"/>
          <w:szCs w:val="28"/>
        </w:rPr>
      </w:pPr>
      <w:r w:rsidRPr="00685843">
        <w:rPr>
          <w:sz w:val="28"/>
          <w:szCs w:val="28"/>
        </w:rPr>
        <w:t>Comité des transports intérieurs</w:t>
      </w:r>
    </w:p>
    <w:p w14:paraId="0D45E841" w14:textId="5BAF4F6A" w:rsidR="00360DB2" w:rsidRPr="00A802CF" w:rsidRDefault="00360DB2" w:rsidP="00A802CF">
      <w:pPr>
        <w:spacing w:before="120" w:after="120"/>
        <w:rPr>
          <w:b/>
          <w:bCs/>
          <w:sz w:val="24"/>
          <w:szCs w:val="24"/>
          <w:lang w:val="fr-FR"/>
        </w:rPr>
      </w:pPr>
      <w:r w:rsidRPr="00A802CF">
        <w:rPr>
          <w:b/>
          <w:bCs/>
          <w:sz w:val="24"/>
          <w:szCs w:val="24"/>
          <w:lang w:val="fr-FR"/>
        </w:rPr>
        <w:t xml:space="preserve">Forum mondial de l’harmonisation des Règlements </w:t>
      </w:r>
      <w:r w:rsidR="00A802CF">
        <w:rPr>
          <w:b/>
          <w:bCs/>
          <w:sz w:val="24"/>
          <w:szCs w:val="24"/>
          <w:lang w:val="fr-FR"/>
        </w:rPr>
        <w:br/>
      </w:r>
      <w:r w:rsidRPr="00A802CF">
        <w:rPr>
          <w:b/>
          <w:bCs/>
          <w:sz w:val="24"/>
          <w:szCs w:val="24"/>
          <w:lang w:val="fr-FR"/>
        </w:rPr>
        <w:t>concernant les véhicules</w:t>
      </w:r>
    </w:p>
    <w:p w14:paraId="4DEBACCD" w14:textId="77777777" w:rsidR="00360DB2" w:rsidRPr="00A802CF" w:rsidRDefault="00360DB2" w:rsidP="00360DB2">
      <w:pPr>
        <w:rPr>
          <w:b/>
          <w:bCs/>
          <w:lang w:val="fr-FR"/>
        </w:rPr>
      </w:pPr>
      <w:bookmarkStart w:id="0" w:name="_Hlk518466992"/>
      <w:bookmarkStart w:id="1" w:name="_Hlk56769561"/>
      <w:r w:rsidRPr="00A802CF">
        <w:rPr>
          <w:b/>
          <w:bCs/>
          <w:lang w:val="fr-FR"/>
        </w:rPr>
        <w:t>Groupe de travail des véhicules automatisés/autonomes et connectés</w:t>
      </w:r>
      <w:bookmarkEnd w:id="0"/>
      <w:bookmarkEnd w:id="1"/>
    </w:p>
    <w:p w14:paraId="65510E3C" w14:textId="77777777" w:rsidR="00360DB2" w:rsidRPr="00A802CF" w:rsidRDefault="00360DB2" w:rsidP="00A802CF">
      <w:pPr>
        <w:spacing w:before="120"/>
        <w:rPr>
          <w:b/>
          <w:bCs/>
          <w:lang w:val="fr-FR"/>
        </w:rPr>
      </w:pPr>
      <w:r w:rsidRPr="00A802CF">
        <w:rPr>
          <w:b/>
          <w:bCs/>
          <w:lang w:val="fr-FR"/>
        </w:rPr>
        <w:t>Douzième session</w:t>
      </w:r>
    </w:p>
    <w:p w14:paraId="719C04DC" w14:textId="77777777" w:rsidR="00360DB2" w:rsidRPr="004B6298" w:rsidRDefault="00360DB2" w:rsidP="00360DB2">
      <w:pPr>
        <w:rPr>
          <w:lang w:val="fr-FR"/>
        </w:rPr>
      </w:pPr>
      <w:bookmarkStart w:id="2" w:name="OLE_LINK2"/>
      <w:r>
        <w:rPr>
          <w:lang w:val="fr-FR"/>
        </w:rPr>
        <w:t>Genève, 24-28 janvier 2022</w:t>
      </w:r>
    </w:p>
    <w:p w14:paraId="09736FCD" w14:textId="77777777" w:rsidR="00360DB2" w:rsidRPr="004B6298" w:rsidRDefault="00360DB2" w:rsidP="00360DB2">
      <w:pPr>
        <w:rPr>
          <w:lang w:val="fr-FR"/>
        </w:rPr>
      </w:pPr>
      <w:r>
        <w:rPr>
          <w:lang w:val="fr-FR"/>
        </w:rPr>
        <w:t>Point 6 b) de l’ordre du jour provisoire</w:t>
      </w:r>
    </w:p>
    <w:p w14:paraId="2C94B2F6" w14:textId="59E825F2" w:rsidR="00360DB2" w:rsidRPr="00A802CF" w:rsidRDefault="00360DB2" w:rsidP="00360DB2">
      <w:pPr>
        <w:rPr>
          <w:b/>
          <w:bCs/>
          <w:lang w:val="fr-FR"/>
        </w:rPr>
      </w:pPr>
      <w:r w:rsidRPr="00A802CF">
        <w:rPr>
          <w:b/>
          <w:bCs/>
          <w:lang w:val="fr-FR"/>
        </w:rPr>
        <w:t xml:space="preserve">Systèmes actifs d’aide à la conduite et Règlement ONU </w:t>
      </w:r>
      <w:r w:rsidR="00D75CA8" w:rsidRPr="00D75CA8">
        <w:rPr>
          <w:rFonts w:eastAsia="MS Mincho"/>
          <w:b/>
          <w:bCs/>
          <w:szCs w:val="22"/>
          <w:lang w:val="fr-FR"/>
        </w:rPr>
        <w:t>n</w:t>
      </w:r>
      <w:r w:rsidR="00D75CA8" w:rsidRPr="00D75CA8">
        <w:rPr>
          <w:rFonts w:eastAsia="MS Mincho"/>
          <w:b/>
          <w:bCs/>
          <w:szCs w:val="22"/>
          <w:vertAlign w:val="superscript"/>
          <w:lang w:val="fr-FR"/>
        </w:rPr>
        <w:t>o</w:t>
      </w:r>
      <w:r w:rsidR="00D75CA8">
        <w:rPr>
          <w:b/>
          <w:bCs/>
          <w:lang w:val="fr-FR"/>
        </w:rPr>
        <w:t> </w:t>
      </w:r>
      <w:r w:rsidRPr="00A802CF">
        <w:rPr>
          <w:b/>
          <w:bCs/>
          <w:lang w:val="fr-FR"/>
        </w:rPr>
        <w:t>79</w:t>
      </w:r>
      <w:r w:rsidR="00D75CA8">
        <w:rPr>
          <w:b/>
          <w:bCs/>
          <w:lang w:val="fr-FR"/>
        </w:rPr>
        <w:t> </w:t>
      </w:r>
      <w:r w:rsidRPr="00A802CF">
        <w:rPr>
          <w:b/>
          <w:bCs/>
          <w:lang w:val="fr-FR"/>
        </w:rPr>
        <w:t>:</w:t>
      </w:r>
      <w:r w:rsidRPr="00A802CF">
        <w:rPr>
          <w:b/>
          <w:bCs/>
          <w:lang w:val="fr-FR"/>
        </w:rPr>
        <w:br/>
        <w:t>Règlement ONU n</w:t>
      </w:r>
      <w:r w:rsidRPr="00A802CF">
        <w:rPr>
          <w:b/>
          <w:bCs/>
          <w:vertAlign w:val="superscript"/>
          <w:lang w:val="fr-FR"/>
        </w:rPr>
        <w:t>o</w:t>
      </w:r>
      <w:r w:rsidRPr="00A802CF">
        <w:rPr>
          <w:b/>
          <w:bCs/>
          <w:lang w:val="fr-FR"/>
        </w:rPr>
        <w:t> 79 (Équipement de direction)</w:t>
      </w:r>
    </w:p>
    <w:p w14:paraId="5FA256A4" w14:textId="000389C0" w:rsidR="00360DB2" w:rsidRPr="004B6298" w:rsidRDefault="00360DB2" w:rsidP="00A802CF">
      <w:pPr>
        <w:pStyle w:val="HChG"/>
        <w:rPr>
          <w:szCs w:val="28"/>
          <w:lang w:val="fr-FR"/>
        </w:rPr>
      </w:pPr>
      <w:r>
        <w:rPr>
          <w:lang w:val="fr-FR"/>
        </w:rPr>
        <w:tab/>
      </w:r>
      <w:r>
        <w:rPr>
          <w:lang w:val="fr-FR"/>
        </w:rPr>
        <w:tab/>
        <w:t>Proposition d’amendements aux séries 03 et 04 d’amendements au Règlement ONU n</w:t>
      </w:r>
      <w:r>
        <w:rPr>
          <w:vertAlign w:val="superscript"/>
          <w:lang w:val="fr-FR"/>
        </w:rPr>
        <w:t>o</w:t>
      </w:r>
      <w:r>
        <w:rPr>
          <w:lang w:val="fr-FR"/>
        </w:rPr>
        <w:t xml:space="preserve"> 79 </w:t>
      </w:r>
      <w:r w:rsidR="00A802CF">
        <w:rPr>
          <w:lang w:val="fr-FR"/>
        </w:rPr>
        <w:br/>
      </w:r>
      <w:r>
        <w:rPr>
          <w:lang w:val="fr-FR"/>
        </w:rPr>
        <w:t>(Équipement de direction)</w:t>
      </w:r>
      <w:bookmarkEnd w:id="2"/>
    </w:p>
    <w:p w14:paraId="71E2B228" w14:textId="194C2A84" w:rsidR="00360DB2" w:rsidRPr="004B6298" w:rsidRDefault="00360DB2" w:rsidP="00A802CF">
      <w:pPr>
        <w:pStyle w:val="H1G"/>
        <w:rPr>
          <w:szCs w:val="24"/>
          <w:lang w:val="fr-FR"/>
        </w:rPr>
      </w:pPr>
      <w:r>
        <w:rPr>
          <w:lang w:val="fr-FR"/>
        </w:rPr>
        <w:tab/>
      </w:r>
      <w:r>
        <w:rPr>
          <w:lang w:val="fr-FR"/>
        </w:rPr>
        <w:tab/>
        <w:t xml:space="preserve">Communication de l’expert de l’Organisation internationale </w:t>
      </w:r>
      <w:r w:rsidR="00A802CF">
        <w:rPr>
          <w:lang w:val="fr-FR"/>
        </w:rPr>
        <w:br/>
      </w:r>
      <w:r>
        <w:rPr>
          <w:lang w:val="fr-FR"/>
        </w:rPr>
        <w:t>des constructeurs d’automobiles</w:t>
      </w:r>
      <w:r w:rsidR="00A802CF" w:rsidRPr="00A802CF">
        <w:rPr>
          <w:rStyle w:val="Appelnotedebasdep"/>
          <w:b w:val="0"/>
          <w:bCs/>
          <w:sz w:val="20"/>
          <w:vertAlign w:val="baseline"/>
        </w:rPr>
        <w:footnoteReference w:customMarkFollows="1" w:id="2"/>
        <w:t>*</w:t>
      </w:r>
    </w:p>
    <w:p w14:paraId="20D9ADE8" w14:textId="77777777" w:rsidR="00360DB2" w:rsidRPr="004B6298" w:rsidRDefault="00360DB2" w:rsidP="00A802CF">
      <w:pPr>
        <w:pStyle w:val="SingleTxtG"/>
        <w:ind w:firstLine="567"/>
        <w:rPr>
          <w:lang w:val="fr-FR"/>
        </w:rPr>
      </w:pPr>
      <w:r>
        <w:rPr>
          <w:lang w:val="fr-FR"/>
        </w:rPr>
        <w:t>Le texte ci-dessous, établi par l’expert de l’Organisation internationale des constructeurs d’automobiles (OICA), est fondé sur le document informel GRVA-11-43, qui a été présenté à la onzième session du Groupe de travail des véhicules automatisés/autonomes et connectés (GRVA), en septembre 2021. Il vise à corriger plusieurs erreurs relevées dans le texte du Règlement</w:t>
      </w:r>
      <w:r w:rsidRPr="00916801">
        <w:rPr>
          <w:lang w:val="fr-FR"/>
        </w:rPr>
        <w:t xml:space="preserve"> </w:t>
      </w:r>
      <w:r>
        <w:rPr>
          <w:lang w:val="fr-FR"/>
        </w:rPr>
        <w:t>ONU n</w:t>
      </w:r>
      <w:r>
        <w:rPr>
          <w:vertAlign w:val="superscript"/>
          <w:lang w:val="fr-FR"/>
        </w:rPr>
        <w:t>o</w:t>
      </w:r>
      <w:r>
        <w:rPr>
          <w:lang w:val="fr-FR"/>
        </w:rPr>
        <w:t> 79. Les modifications qu’il est proposé d’apporter au texte actuel de ce Règlement figurent en caractères gras pour les ajouts et biffés pour les suppressions.</w:t>
      </w:r>
    </w:p>
    <w:p w14:paraId="59F15D0B" w14:textId="77777777" w:rsidR="00360DB2" w:rsidRPr="004B6298" w:rsidRDefault="00360DB2" w:rsidP="00360DB2">
      <w:pPr>
        <w:rPr>
          <w:lang w:val="fr-FR"/>
        </w:rPr>
      </w:pPr>
      <w:r w:rsidRPr="004B6298">
        <w:rPr>
          <w:lang w:val="fr-FR"/>
        </w:rPr>
        <w:br w:type="page"/>
      </w:r>
    </w:p>
    <w:p w14:paraId="1B8B5EF1" w14:textId="6C30A8A1" w:rsidR="00360DB2" w:rsidRPr="004B6298" w:rsidRDefault="00A802CF" w:rsidP="00A802CF">
      <w:pPr>
        <w:pStyle w:val="HChG"/>
        <w:rPr>
          <w:lang w:val="fr-FR"/>
        </w:rPr>
      </w:pPr>
      <w:r>
        <w:rPr>
          <w:lang w:val="fr-FR"/>
        </w:rPr>
        <w:lastRenderedPageBreak/>
        <w:tab/>
      </w:r>
      <w:r w:rsidR="00360DB2">
        <w:rPr>
          <w:lang w:val="fr-FR"/>
        </w:rPr>
        <w:t>I.</w:t>
      </w:r>
      <w:r w:rsidR="00360DB2">
        <w:rPr>
          <w:lang w:val="fr-FR"/>
        </w:rPr>
        <w:tab/>
        <w:t>Proposition</w:t>
      </w:r>
    </w:p>
    <w:p w14:paraId="4CC60543" w14:textId="77777777" w:rsidR="00360DB2" w:rsidRPr="004B6298" w:rsidRDefault="00360DB2" w:rsidP="00A802CF">
      <w:pPr>
        <w:pStyle w:val="SingleTxtG"/>
        <w:rPr>
          <w:rFonts w:asciiTheme="majorBidi" w:hAnsiTheme="majorBidi"/>
          <w:i/>
          <w:lang w:val="fr-FR"/>
        </w:rPr>
      </w:pPr>
      <w:r w:rsidRPr="00E479E6">
        <w:rPr>
          <w:i/>
          <w:iCs/>
          <w:lang w:val="fr-FR"/>
        </w:rPr>
        <w:t>Le paragraphe 2.3.4.18</w:t>
      </w:r>
      <w:r>
        <w:rPr>
          <w:lang w:val="fr-FR"/>
        </w:rPr>
        <w:t xml:space="preserve"> devient le paragraphe 2.4.18, comme suit (libellé inchangé) :</w:t>
      </w:r>
    </w:p>
    <w:p w14:paraId="63C4C0A4" w14:textId="77777777" w:rsidR="00360DB2" w:rsidRPr="004B6298" w:rsidRDefault="00360DB2" w:rsidP="00A802CF">
      <w:pPr>
        <w:pStyle w:val="SingleTxtG"/>
        <w:ind w:left="2268" w:hanging="1134"/>
        <w:rPr>
          <w:rFonts w:asciiTheme="majorBidi" w:eastAsiaTheme="minorEastAsia" w:hAnsiTheme="majorBidi" w:cstheme="minorBidi"/>
          <w:szCs w:val="22"/>
          <w:lang w:val="fr-FR"/>
        </w:rPr>
      </w:pPr>
      <w:r>
        <w:rPr>
          <w:lang w:val="fr-FR"/>
        </w:rPr>
        <w:t>«2</w:t>
      </w:r>
      <w:r>
        <w:rPr>
          <w:strike/>
          <w:lang w:val="fr-FR"/>
        </w:rPr>
        <w:t>.3</w:t>
      </w:r>
      <w:r>
        <w:rPr>
          <w:lang w:val="fr-FR"/>
        </w:rPr>
        <w:t>.4.18</w:t>
      </w:r>
      <w:r>
        <w:rPr>
          <w:lang w:val="fr-FR"/>
        </w:rPr>
        <w:tab/>
        <w:t>Par “</w:t>
      </w:r>
      <w:r>
        <w:rPr>
          <w:i/>
          <w:iCs/>
          <w:lang w:val="fr-FR"/>
        </w:rPr>
        <w:t>portée maximale théorique du système MTC (S</w:t>
      </w:r>
      <w:r>
        <w:rPr>
          <w:i/>
          <w:iCs/>
          <w:vertAlign w:val="subscript"/>
          <w:lang w:val="fr-FR"/>
        </w:rPr>
        <w:t>RCMmax</w:t>
      </w:r>
      <w:r>
        <w:rPr>
          <w:i/>
          <w:iCs/>
          <w:lang w:val="fr-FR"/>
        </w:rPr>
        <w:t>)</w:t>
      </w:r>
      <w:r>
        <w:rPr>
          <w:lang w:val="fr-FR"/>
        </w:rPr>
        <w:t>”, la distance maximale entre le point le plus proche du véhicule à moteur et la télécommande pour laquelle le système MTC est conçu.</w:t>
      </w:r>
    </w:p>
    <w:p w14:paraId="0E1F4399" w14:textId="77777777" w:rsidR="00360DB2" w:rsidRPr="004B6298" w:rsidRDefault="00360DB2" w:rsidP="00A802CF">
      <w:pPr>
        <w:pStyle w:val="SingleTxtG"/>
        <w:rPr>
          <w:rFonts w:asciiTheme="majorBidi" w:eastAsiaTheme="minorEastAsia" w:hAnsiTheme="majorBidi" w:cstheme="minorBidi"/>
          <w:szCs w:val="22"/>
          <w:lang w:val="fr-FR"/>
        </w:rPr>
      </w:pPr>
      <w:r>
        <w:rPr>
          <w:i/>
          <w:iCs/>
          <w:lang w:val="fr-FR"/>
        </w:rPr>
        <w:t>Le paragraphe 2.4.18</w:t>
      </w:r>
      <w:r>
        <w:rPr>
          <w:lang w:val="fr-FR"/>
        </w:rPr>
        <w:t xml:space="preserve"> devient le paragraphe 2.4.19.</w:t>
      </w:r>
    </w:p>
    <w:p w14:paraId="60710D43" w14:textId="3F3F9DA8" w:rsidR="00360DB2" w:rsidRPr="004B6298" w:rsidRDefault="00360DB2" w:rsidP="00A802CF">
      <w:pPr>
        <w:pStyle w:val="SingleTxtG"/>
        <w:rPr>
          <w:rFonts w:asciiTheme="majorBidi" w:hAnsiTheme="majorBidi"/>
          <w:i/>
          <w:lang w:val="fr-FR"/>
        </w:rPr>
      </w:pPr>
      <w:r>
        <w:rPr>
          <w:i/>
          <w:iCs/>
          <w:lang w:val="fr-FR"/>
        </w:rPr>
        <w:t>Paragraphe 5.1.6.1.1</w:t>
      </w:r>
      <w:r>
        <w:rPr>
          <w:lang w:val="fr-FR"/>
        </w:rPr>
        <w:t>, lire</w:t>
      </w:r>
      <w:r w:rsidR="00B620A3">
        <w:rPr>
          <w:lang w:val="fr-FR"/>
        </w:rPr>
        <w:t> </w:t>
      </w:r>
      <w:r>
        <w:rPr>
          <w:lang w:val="fr-FR"/>
        </w:rPr>
        <w:t>:</w:t>
      </w:r>
    </w:p>
    <w:p w14:paraId="6C16A485" w14:textId="77777777" w:rsidR="00360DB2" w:rsidRPr="004B6298" w:rsidRDefault="00360DB2" w:rsidP="00A802CF">
      <w:pPr>
        <w:pStyle w:val="SingleTxtG"/>
        <w:ind w:left="2268" w:hanging="1134"/>
        <w:rPr>
          <w:rFonts w:asciiTheme="majorBidi" w:eastAsiaTheme="minorEastAsia" w:hAnsiTheme="majorBidi" w:cstheme="minorBidi"/>
          <w:szCs w:val="22"/>
          <w:lang w:val="fr-FR"/>
        </w:rPr>
      </w:pPr>
      <w:r>
        <w:rPr>
          <w:lang w:val="fr-FR"/>
        </w:rPr>
        <w:t>« 5.1.6.1.1</w:t>
      </w:r>
      <w:r>
        <w:rPr>
          <w:lang w:val="fr-FR"/>
        </w:rPr>
        <w:tab/>
        <w:t>Chaque intervention de la CSF doit être immédiatement indiquée au conducteur par un signal visuel qui s’affiche pendant au moins 1 s ou tant que dure l’intervention, la plus longue de ces deux périodes étant retenue.</w:t>
      </w:r>
    </w:p>
    <w:p w14:paraId="3BB272B6" w14:textId="77777777" w:rsidR="00360DB2" w:rsidRPr="00A802CF" w:rsidRDefault="00360DB2" w:rsidP="00A802CF">
      <w:pPr>
        <w:pStyle w:val="SingleTxtG"/>
        <w:ind w:left="2268"/>
        <w:rPr>
          <w:rFonts w:asciiTheme="majorBidi" w:eastAsiaTheme="minorEastAsia" w:hAnsiTheme="majorBidi" w:cstheme="minorBidi"/>
          <w:b/>
          <w:bCs/>
          <w:szCs w:val="22"/>
          <w:lang w:val="fr-FR"/>
        </w:rPr>
      </w:pPr>
      <w:r w:rsidRPr="00A802CF">
        <w:rPr>
          <w:b/>
          <w:bCs/>
          <w:lang w:val="fr-FR"/>
        </w:rPr>
        <w:tab/>
        <w:t>En mode clignotant, la phase d’éclairage doit être visible à la fin de l’intervention ou après.</w:t>
      </w:r>
    </w:p>
    <w:p w14:paraId="47E77547" w14:textId="77777777" w:rsidR="00360DB2" w:rsidRPr="00A802CF" w:rsidRDefault="00360DB2" w:rsidP="00A802CF">
      <w:pPr>
        <w:pStyle w:val="SingleTxtG"/>
        <w:ind w:left="2268"/>
        <w:rPr>
          <w:rFonts w:asciiTheme="majorBidi" w:eastAsiaTheme="minorEastAsia" w:hAnsiTheme="majorBidi" w:cstheme="minorBidi"/>
          <w:b/>
          <w:bCs/>
          <w:szCs w:val="22"/>
          <w:lang w:val="fr-FR"/>
        </w:rPr>
      </w:pPr>
      <w:r w:rsidRPr="00A802CF">
        <w:rPr>
          <w:b/>
          <w:bCs/>
          <w:lang w:val="fr-FR"/>
        </w:rPr>
        <w:t>En cas d’intervention de la CSF commandée par un système de contrôle électronique de la stabilité (ESC) ou par une autre fonction de contrôle de la stabilité du véhicule, telle que mentionnée dans le Règlement ONU pertinent (n</w:t>
      </w:r>
      <w:r w:rsidRPr="00A802CF">
        <w:rPr>
          <w:b/>
          <w:bCs/>
          <w:vertAlign w:val="superscript"/>
          <w:lang w:val="fr-FR"/>
        </w:rPr>
        <w:t>o</w:t>
      </w:r>
      <w:r w:rsidRPr="00A802CF">
        <w:rPr>
          <w:b/>
          <w:bCs/>
          <w:lang w:val="fr-FR"/>
        </w:rPr>
        <w:t xml:space="preserve"> 13, n</w:t>
      </w:r>
      <w:r w:rsidRPr="00A802CF">
        <w:rPr>
          <w:b/>
          <w:bCs/>
          <w:vertAlign w:val="superscript"/>
          <w:lang w:val="fr-FR"/>
        </w:rPr>
        <w:t>o</w:t>
      </w:r>
      <w:r w:rsidRPr="00A802CF">
        <w:rPr>
          <w:b/>
          <w:bCs/>
          <w:lang w:val="fr-FR"/>
        </w:rPr>
        <w:t xml:space="preserve"> 13-H ou n</w:t>
      </w:r>
      <w:r w:rsidRPr="00A802CF">
        <w:rPr>
          <w:b/>
          <w:bCs/>
          <w:vertAlign w:val="superscript"/>
          <w:lang w:val="fr-FR"/>
        </w:rPr>
        <w:t>o</w:t>
      </w:r>
      <w:r w:rsidRPr="00A802CF">
        <w:rPr>
          <w:b/>
          <w:bCs/>
          <w:lang w:val="fr-FR"/>
        </w:rPr>
        <w:t xml:space="preserve"> 140), le témoin clignotant signalant l’intervention de l’ESC peut être utilisé à cet effet, tant que dure l’intervention, à la place du signal visuel susmentionné. ».</w:t>
      </w:r>
    </w:p>
    <w:p w14:paraId="158AF15F" w14:textId="77777777" w:rsidR="00360DB2" w:rsidRPr="004B6298" w:rsidRDefault="00360DB2" w:rsidP="00A802CF">
      <w:pPr>
        <w:pStyle w:val="SingleTxtG"/>
        <w:rPr>
          <w:rFonts w:asciiTheme="majorBidi" w:hAnsiTheme="majorBidi"/>
          <w:iCs/>
          <w:lang w:val="fr-FR"/>
        </w:rPr>
      </w:pPr>
      <w:r>
        <w:rPr>
          <w:i/>
          <w:iCs/>
          <w:lang w:val="fr-FR"/>
        </w:rPr>
        <w:t>Paragraphe 5.3.3.1</w:t>
      </w:r>
      <w:r>
        <w:rPr>
          <w:lang w:val="fr-FR"/>
        </w:rPr>
        <w:t>, modification sans objet en français.</w:t>
      </w:r>
    </w:p>
    <w:p w14:paraId="0E5A956B" w14:textId="3A04AB14" w:rsidR="00360DB2" w:rsidRPr="004B6298" w:rsidRDefault="00360DB2" w:rsidP="00A802CF">
      <w:pPr>
        <w:pStyle w:val="SingleTxtG"/>
        <w:rPr>
          <w:rFonts w:asciiTheme="majorBidi" w:hAnsiTheme="majorBidi"/>
          <w:iCs/>
          <w:lang w:val="fr-FR"/>
        </w:rPr>
      </w:pPr>
      <w:r>
        <w:rPr>
          <w:i/>
          <w:iCs/>
          <w:lang w:val="fr-FR"/>
        </w:rPr>
        <w:t>Annexe 8, paragraphe 3.5.4.1</w:t>
      </w:r>
      <w:r>
        <w:rPr>
          <w:lang w:val="fr-FR"/>
        </w:rPr>
        <w:t>, lire</w:t>
      </w:r>
      <w:r w:rsidR="00D75CA8">
        <w:rPr>
          <w:lang w:val="fr-FR"/>
        </w:rPr>
        <w:t> </w:t>
      </w:r>
      <w:r>
        <w:rPr>
          <w:lang w:val="fr-FR"/>
        </w:rPr>
        <w:t>:</w:t>
      </w:r>
    </w:p>
    <w:p w14:paraId="4422DD6C" w14:textId="77777777" w:rsidR="00360DB2" w:rsidRPr="004B6298" w:rsidRDefault="00360DB2" w:rsidP="00A802CF">
      <w:pPr>
        <w:pStyle w:val="SingleTxtG"/>
        <w:ind w:left="2268" w:hanging="1134"/>
        <w:rPr>
          <w:lang w:val="fr-FR"/>
        </w:rPr>
      </w:pPr>
      <w:r>
        <w:rPr>
          <w:lang w:val="fr-FR"/>
        </w:rPr>
        <w:t>« 3.5.4.1</w:t>
      </w:r>
      <w:r>
        <w:rPr>
          <w:lang w:val="fr-FR"/>
        </w:rPr>
        <w:tab/>
        <w:t>Le véhicule d’essai doit être conduit sur une voie d’une piste d’essai rectiligne comportant au moins deux voies de circulation dans le même sens de déplacement bordées de marques routières sur chacun de leurs côtés.</w:t>
      </w:r>
    </w:p>
    <w:p w14:paraId="089550E1" w14:textId="77777777" w:rsidR="00360DB2" w:rsidRPr="004B6298" w:rsidRDefault="00360DB2" w:rsidP="00A802CF">
      <w:pPr>
        <w:pStyle w:val="SingleTxtG"/>
        <w:ind w:left="2268"/>
        <w:rPr>
          <w:lang w:val="fr-FR"/>
        </w:rPr>
      </w:pPr>
      <w:r>
        <w:rPr>
          <w:lang w:val="fr-FR"/>
        </w:rPr>
        <w:tab/>
        <w:t>La vitesse du véhicule doit être égale à V</w:t>
      </w:r>
      <w:r>
        <w:rPr>
          <w:vertAlign w:val="subscript"/>
          <w:lang w:val="fr-FR"/>
        </w:rPr>
        <w:t>smin</w:t>
      </w:r>
      <w:r>
        <w:rPr>
          <w:lang w:val="fr-FR"/>
        </w:rPr>
        <w:t> + 10 km/h.</w:t>
      </w:r>
    </w:p>
    <w:p w14:paraId="634C76A4" w14:textId="77777777" w:rsidR="00360DB2" w:rsidRPr="004B6298" w:rsidRDefault="00360DB2" w:rsidP="00A802CF">
      <w:pPr>
        <w:pStyle w:val="SingleTxtG"/>
        <w:ind w:left="2268"/>
        <w:rPr>
          <w:lang w:val="fr-FR"/>
        </w:rPr>
      </w:pPr>
      <w:r>
        <w:rPr>
          <w:lang w:val="fr-FR"/>
        </w:rPr>
        <w:tab/>
        <w:t>L’ACSF de catégorie C doit être activé (mode veille) et, à moins que le système ait déjà été mis en fonction conformément au paragraphe 5.6.4.8.3, un autre véhicule doit s’approcher par l’arrière afin de permettre au système de fonctionner, ainsi qu’il est spécifié au paragraphe 5.6.4.8.3 ci-dessus.</w:t>
      </w:r>
    </w:p>
    <w:p w14:paraId="0770668C" w14:textId="16B13890" w:rsidR="00360DB2" w:rsidRPr="004B6298" w:rsidRDefault="00360DB2" w:rsidP="00A802CF">
      <w:pPr>
        <w:pStyle w:val="SingleTxtG"/>
        <w:ind w:left="2268"/>
        <w:rPr>
          <w:lang w:val="fr-FR"/>
        </w:rPr>
      </w:pPr>
      <w:r>
        <w:rPr>
          <w:lang w:val="fr-FR"/>
        </w:rPr>
        <w:tab/>
        <w:t>Le véhicule en approche doit alors dépasser compl</w:t>
      </w:r>
      <w:r w:rsidR="00B620A3">
        <w:rPr>
          <w:lang w:val="fr-FR"/>
        </w:rPr>
        <w:t>é</w:t>
      </w:r>
      <w:r>
        <w:rPr>
          <w:lang w:val="fr-FR"/>
        </w:rPr>
        <w:t>tement le véhicule à l’essai.</w:t>
      </w:r>
    </w:p>
    <w:p w14:paraId="7E1AAAB9" w14:textId="77777777" w:rsidR="00360DB2" w:rsidRPr="004B6298" w:rsidRDefault="00360DB2" w:rsidP="00A802CF">
      <w:pPr>
        <w:pStyle w:val="SingleTxtG"/>
        <w:ind w:left="2268"/>
        <w:rPr>
          <w:lang w:val="fr-FR"/>
        </w:rPr>
      </w:pPr>
      <w:r>
        <w:rPr>
          <w:lang w:val="fr-FR"/>
        </w:rPr>
        <w:tab/>
        <w:t>Le conducteur doit alors engager une manœuvre de changement de voie.</w:t>
      </w:r>
    </w:p>
    <w:p w14:paraId="60147F4E" w14:textId="06901651" w:rsidR="00360DB2" w:rsidRPr="004B6298" w:rsidRDefault="00360DB2" w:rsidP="00A802CF">
      <w:pPr>
        <w:pStyle w:val="SingleTxtG"/>
        <w:ind w:left="2268"/>
        <w:rPr>
          <w:lang w:val="fr-FR"/>
        </w:rPr>
      </w:pPr>
      <w:r>
        <w:rPr>
          <w:lang w:val="fr-FR"/>
        </w:rPr>
        <w:tab/>
        <w:t>L’essai doit être répété pour chacune des situations suivantes, lesquelles surviennent avant le début de la manœuvre de changement de voie</w:t>
      </w:r>
      <w:r w:rsidR="00B620A3">
        <w:rPr>
          <w:lang w:val="fr-FR"/>
        </w:rPr>
        <w:t> </w:t>
      </w:r>
      <w:r>
        <w:rPr>
          <w:lang w:val="fr-FR"/>
        </w:rPr>
        <w:t>:</w:t>
      </w:r>
    </w:p>
    <w:p w14:paraId="0D64B62B" w14:textId="27D3B465" w:rsidR="00360DB2" w:rsidRPr="004B6298" w:rsidRDefault="00360DB2" w:rsidP="00A802CF">
      <w:pPr>
        <w:pStyle w:val="SingleTxtG"/>
        <w:ind w:left="2835" w:hanging="567"/>
        <w:rPr>
          <w:lang w:val="fr-FR"/>
        </w:rPr>
      </w:pPr>
      <w:r>
        <w:rPr>
          <w:lang w:val="fr-FR"/>
        </w:rPr>
        <w:t>a)</w:t>
      </w:r>
      <w:r>
        <w:rPr>
          <w:lang w:val="fr-FR"/>
        </w:rPr>
        <w:tab/>
        <w:t>Le conducteur neutralise le système</w:t>
      </w:r>
      <w:r w:rsidR="00B620A3">
        <w:rPr>
          <w:lang w:val="fr-FR"/>
        </w:rPr>
        <w:t> </w:t>
      </w:r>
      <w:r>
        <w:rPr>
          <w:lang w:val="fr-FR"/>
        </w:rPr>
        <w:t>;</w:t>
      </w:r>
    </w:p>
    <w:p w14:paraId="6BAD5980" w14:textId="7FBC567D" w:rsidR="00360DB2" w:rsidRPr="004B6298" w:rsidRDefault="00360DB2" w:rsidP="00A802CF">
      <w:pPr>
        <w:pStyle w:val="SingleTxtG"/>
        <w:ind w:left="2835" w:hanging="567"/>
        <w:rPr>
          <w:lang w:val="fr-FR"/>
        </w:rPr>
      </w:pPr>
      <w:r>
        <w:rPr>
          <w:lang w:val="fr-FR"/>
        </w:rPr>
        <w:t>b)</w:t>
      </w:r>
      <w:r>
        <w:rPr>
          <w:lang w:val="fr-FR"/>
        </w:rPr>
        <w:tab/>
        <w:t>Le conducteur désactive le système</w:t>
      </w:r>
      <w:r w:rsidR="00B620A3">
        <w:rPr>
          <w:lang w:val="fr-FR"/>
        </w:rPr>
        <w:t> </w:t>
      </w:r>
      <w:r>
        <w:rPr>
          <w:lang w:val="fr-FR"/>
        </w:rPr>
        <w:t>;</w:t>
      </w:r>
    </w:p>
    <w:p w14:paraId="744F6115" w14:textId="774EE468" w:rsidR="00360DB2" w:rsidRPr="004B6298" w:rsidRDefault="00360DB2" w:rsidP="00A802CF">
      <w:pPr>
        <w:pStyle w:val="SingleTxtG"/>
        <w:ind w:left="2835" w:hanging="567"/>
        <w:rPr>
          <w:lang w:val="fr-FR"/>
        </w:rPr>
      </w:pPr>
      <w:r>
        <w:rPr>
          <w:lang w:val="fr-FR"/>
        </w:rPr>
        <w:t>c)</w:t>
      </w:r>
      <w:r>
        <w:rPr>
          <w:lang w:val="fr-FR"/>
        </w:rPr>
        <w:tab/>
        <w:t>La vitesse du véhicule est ramenée à V</w:t>
      </w:r>
      <w:r>
        <w:rPr>
          <w:vertAlign w:val="subscript"/>
          <w:lang w:val="fr-FR"/>
        </w:rPr>
        <w:t>smin</w:t>
      </w:r>
      <w:r>
        <w:rPr>
          <w:lang w:val="fr-FR"/>
        </w:rPr>
        <w:t> - 10 km/h</w:t>
      </w:r>
      <w:r w:rsidR="00B620A3">
        <w:rPr>
          <w:lang w:val="fr-FR"/>
        </w:rPr>
        <w:t> </w:t>
      </w:r>
      <w:r>
        <w:rPr>
          <w:lang w:val="fr-FR"/>
        </w:rPr>
        <w:t>;</w:t>
      </w:r>
    </w:p>
    <w:p w14:paraId="244C5DE3" w14:textId="289D524F" w:rsidR="00360DB2" w:rsidRPr="004B6298" w:rsidRDefault="00360DB2" w:rsidP="00A802CF">
      <w:pPr>
        <w:pStyle w:val="SingleTxtG"/>
        <w:ind w:left="2835" w:hanging="567"/>
        <w:rPr>
          <w:lang w:val="fr-FR"/>
        </w:rPr>
      </w:pPr>
      <w:r>
        <w:rPr>
          <w:lang w:val="fr-FR"/>
        </w:rPr>
        <w:t>d)</w:t>
      </w:r>
      <w:r>
        <w:rPr>
          <w:lang w:val="fr-FR"/>
        </w:rPr>
        <w:tab/>
        <w:t>Le conducteur ne tient plus la commande de direction et le signal avertisseur correspondant est actionné</w:t>
      </w:r>
      <w:r w:rsidR="00B620A3">
        <w:rPr>
          <w:lang w:val="fr-FR"/>
        </w:rPr>
        <w:t> </w:t>
      </w:r>
      <w:r>
        <w:rPr>
          <w:lang w:val="fr-FR"/>
        </w:rPr>
        <w:t>;</w:t>
      </w:r>
    </w:p>
    <w:p w14:paraId="20BA9FAA" w14:textId="366B6329" w:rsidR="00360DB2" w:rsidRPr="004B6298" w:rsidRDefault="00360DB2" w:rsidP="00A802CF">
      <w:pPr>
        <w:pStyle w:val="SingleTxtG"/>
        <w:ind w:left="2835" w:hanging="567"/>
        <w:rPr>
          <w:lang w:val="fr-FR"/>
        </w:rPr>
      </w:pPr>
      <w:r>
        <w:rPr>
          <w:lang w:val="fr-FR"/>
        </w:rPr>
        <w:t>e)</w:t>
      </w:r>
      <w:r>
        <w:rPr>
          <w:lang w:val="fr-FR"/>
        </w:rPr>
        <w:tab/>
        <w:t>Le conducteur a désactivé manuellement les feux indicateurs de direction</w:t>
      </w:r>
      <w:r w:rsidR="00B620A3">
        <w:rPr>
          <w:lang w:val="fr-FR"/>
        </w:rPr>
        <w:t> </w:t>
      </w:r>
      <w:r>
        <w:rPr>
          <w:lang w:val="fr-FR"/>
        </w:rPr>
        <w:t>;</w:t>
      </w:r>
    </w:p>
    <w:p w14:paraId="328BFA33" w14:textId="5F7710B7" w:rsidR="00360DB2" w:rsidRPr="004B6298" w:rsidRDefault="00360DB2" w:rsidP="00A802CF">
      <w:pPr>
        <w:pStyle w:val="SingleTxtG"/>
        <w:ind w:left="2835" w:hanging="567"/>
        <w:rPr>
          <w:lang w:val="fr-FR"/>
        </w:rPr>
      </w:pPr>
      <w:r>
        <w:rPr>
          <w:lang w:val="fr-FR"/>
        </w:rPr>
        <w:t>f)</w:t>
      </w:r>
      <w:r>
        <w:rPr>
          <w:lang w:val="fr-FR"/>
        </w:rPr>
        <w:tab/>
        <w:t>La manœuvre de changement de voie n’a pas débuté dans les 5</w:t>
      </w:r>
      <w:r w:rsidR="00B620A3">
        <w:rPr>
          <w:lang w:val="fr-FR"/>
        </w:rPr>
        <w:t> </w:t>
      </w:r>
      <w:r>
        <w:rPr>
          <w:lang w:val="fr-FR"/>
        </w:rPr>
        <w:t xml:space="preserve">s suivant le lancement de la procédure de changement de voie (par exemple, un autre véhicule circule sur la voie adjacente dans une situation critique au sens du paragraphe 5.6.4.7) </w:t>
      </w:r>
      <w:r w:rsidRPr="00A802CF">
        <w:rPr>
          <w:b/>
          <w:bCs/>
          <w:lang w:val="fr-FR"/>
        </w:rPr>
        <w:t>ou dans les 7 s si la manœuvre a été engagée par une deuxième action délibérée</w:t>
      </w:r>
      <w:r w:rsidR="00B620A3">
        <w:rPr>
          <w:lang w:val="fr-FR"/>
        </w:rPr>
        <w:t> ;</w:t>
      </w:r>
    </w:p>
    <w:p w14:paraId="3F0A4E45" w14:textId="42E7E5BB" w:rsidR="00360DB2" w:rsidRPr="004B6298" w:rsidRDefault="00360DB2" w:rsidP="00A802CF">
      <w:pPr>
        <w:pStyle w:val="SingleTxtG"/>
        <w:ind w:left="2835" w:hanging="567"/>
        <w:rPr>
          <w:strike/>
          <w:color w:val="000000" w:themeColor="text1"/>
          <w:lang w:val="fr-FR"/>
        </w:rPr>
      </w:pPr>
      <w:bookmarkStart w:id="3" w:name="_Hlk86065622"/>
      <w:r>
        <w:rPr>
          <w:lang w:val="fr-FR"/>
        </w:rPr>
        <w:t>g)</w:t>
      </w:r>
      <w:r>
        <w:rPr>
          <w:lang w:val="fr-FR"/>
        </w:rPr>
        <w:tab/>
      </w:r>
      <w:r w:rsidRPr="00A802CF">
        <w:rPr>
          <w:b/>
          <w:bCs/>
          <w:lang w:val="fr-FR"/>
        </w:rPr>
        <w:t>La deuxième action délibérée, pour un système approprié, est effectuée plus de 5</w:t>
      </w:r>
      <w:r w:rsidR="00B620A3">
        <w:rPr>
          <w:b/>
          <w:bCs/>
          <w:lang w:val="fr-FR"/>
        </w:rPr>
        <w:t> </w:t>
      </w:r>
      <w:r w:rsidRPr="00A802CF">
        <w:rPr>
          <w:b/>
          <w:bCs/>
          <w:lang w:val="fr-FR"/>
        </w:rPr>
        <w:t>s après le début de la procédure de changement de voie</w:t>
      </w:r>
      <w:r>
        <w:rPr>
          <w:lang w:val="fr-FR"/>
        </w:rPr>
        <w:t>.</w:t>
      </w:r>
      <w:bookmarkEnd w:id="3"/>
    </w:p>
    <w:p w14:paraId="09697B72" w14:textId="6E98196A" w:rsidR="00360DB2" w:rsidRPr="004B6298" w:rsidRDefault="00A802CF" w:rsidP="00A802CF">
      <w:pPr>
        <w:pStyle w:val="HChG"/>
        <w:rPr>
          <w:lang w:val="fr-FR"/>
        </w:rPr>
      </w:pPr>
      <w:r>
        <w:rPr>
          <w:lang w:val="fr-FR"/>
        </w:rPr>
        <w:tab/>
      </w:r>
      <w:r w:rsidR="00360DB2">
        <w:rPr>
          <w:lang w:val="fr-FR"/>
        </w:rPr>
        <w:t>II.</w:t>
      </w:r>
      <w:r w:rsidR="00360DB2">
        <w:rPr>
          <w:lang w:val="fr-FR"/>
        </w:rPr>
        <w:tab/>
        <w:t>Justification</w:t>
      </w:r>
    </w:p>
    <w:p w14:paraId="2EB177BE" w14:textId="1DB45C1E" w:rsidR="00360DB2" w:rsidRPr="004B6298" w:rsidRDefault="00A802CF" w:rsidP="00A802CF">
      <w:pPr>
        <w:pStyle w:val="H1G"/>
        <w:rPr>
          <w:lang w:val="fr-FR"/>
        </w:rPr>
      </w:pPr>
      <w:r>
        <w:rPr>
          <w:lang w:val="fr-FR"/>
        </w:rPr>
        <w:tab/>
      </w:r>
      <w:r w:rsidR="00360DB2">
        <w:rPr>
          <w:lang w:val="fr-FR"/>
        </w:rPr>
        <w:t>A.</w:t>
      </w:r>
      <w:r w:rsidR="00360DB2">
        <w:rPr>
          <w:lang w:val="fr-FR"/>
        </w:rPr>
        <w:tab/>
        <w:t>Renumérotation du paragraphe 2.4.18</w:t>
      </w:r>
    </w:p>
    <w:p w14:paraId="694B77C2" w14:textId="359D0730" w:rsidR="00360DB2" w:rsidRPr="004B6298" w:rsidRDefault="00360DB2" w:rsidP="00A802CF">
      <w:pPr>
        <w:pStyle w:val="SingleTxtG"/>
        <w:rPr>
          <w:lang w:val="fr-FR"/>
        </w:rPr>
      </w:pPr>
      <w:r>
        <w:rPr>
          <w:lang w:val="fr-FR"/>
        </w:rPr>
        <w:t>1.</w:t>
      </w:r>
      <w:r>
        <w:rPr>
          <w:lang w:val="fr-FR"/>
        </w:rPr>
        <w:tab/>
        <w:t>Le numéro de paragraphe de la définition de la « portée maximale théorique du système MTC » ajoutée par l’amendement 2 à la quatrième version révisée du Règlement ONU n</w:t>
      </w:r>
      <w:r>
        <w:rPr>
          <w:vertAlign w:val="superscript"/>
          <w:lang w:val="fr-FR"/>
        </w:rPr>
        <w:t>o</w:t>
      </w:r>
      <w:r>
        <w:rPr>
          <w:lang w:val="fr-FR"/>
        </w:rPr>
        <w:t> 79, fondé sur le document ECE/TRANS/WP.29/2020/11 (complément 2 à la série</w:t>
      </w:r>
      <w:r w:rsidR="00B620A3">
        <w:rPr>
          <w:lang w:val="fr-FR"/>
        </w:rPr>
        <w:t> </w:t>
      </w:r>
      <w:r>
        <w:rPr>
          <w:lang w:val="fr-FR"/>
        </w:rPr>
        <w:t>03 d’amendements), est erroné. Cette erreur se répète dans le complément 3 à la série</w:t>
      </w:r>
      <w:r w:rsidR="00B620A3">
        <w:rPr>
          <w:lang w:val="fr-FR"/>
        </w:rPr>
        <w:t> </w:t>
      </w:r>
      <w:r>
        <w:rPr>
          <w:lang w:val="fr-FR"/>
        </w:rPr>
        <w:t>03, et à la série</w:t>
      </w:r>
      <w:r w:rsidR="00B620A3">
        <w:rPr>
          <w:lang w:val="fr-FR"/>
        </w:rPr>
        <w:t> </w:t>
      </w:r>
      <w:r>
        <w:rPr>
          <w:lang w:val="fr-FR"/>
        </w:rPr>
        <w:t>04 d’amendements.</w:t>
      </w:r>
    </w:p>
    <w:p w14:paraId="0F3E2F1D" w14:textId="2B3EA44C" w:rsidR="00360DB2" w:rsidRPr="004B6298" w:rsidRDefault="00A802CF" w:rsidP="00A802CF">
      <w:pPr>
        <w:pStyle w:val="H1G"/>
        <w:rPr>
          <w:lang w:val="fr-FR"/>
        </w:rPr>
      </w:pPr>
      <w:r>
        <w:rPr>
          <w:lang w:val="fr-FR"/>
        </w:rPr>
        <w:tab/>
      </w:r>
      <w:r w:rsidR="00360DB2">
        <w:rPr>
          <w:lang w:val="fr-FR"/>
        </w:rPr>
        <w:t>B.</w:t>
      </w:r>
      <w:r w:rsidR="00360DB2">
        <w:rPr>
          <w:lang w:val="fr-FR"/>
        </w:rPr>
        <w:tab/>
        <w:t>Phrases manquantes au paragraphe 5.1.6.1.1</w:t>
      </w:r>
    </w:p>
    <w:p w14:paraId="5FA212A5" w14:textId="75DFDEB8" w:rsidR="00360DB2" w:rsidRPr="004B6298" w:rsidRDefault="00360DB2" w:rsidP="00A802CF">
      <w:pPr>
        <w:pStyle w:val="SingleTxtG"/>
        <w:rPr>
          <w:lang w:val="fr-FR"/>
        </w:rPr>
      </w:pPr>
      <w:r>
        <w:rPr>
          <w:lang w:val="fr-FR"/>
        </w:rPr>
        <w:t>2.</w:t>
      </w:r>
      <w:r>
        <w:rPr>
          <w:lang w:val="fr-FR"/>
        </w:rPr>
        <w:tab/>
        <w:t>Le document ECE/TRANS/WP.29/2020/67 a été adopté par le Comité d’administration de l’Accord de 1958 (AC.1) sur la base, entre autres, du document ECE/TRANS/WP.29/GRVA/2020/11, adopté à la cinquième session du GRVA (février 2020). Il y était proposé d’ajouter un nouveau paragraphe 5.1.6.1.2.3 (amélioration des dispositions relatives à la fonction de direction corrective pour les véhicules des catégories M</w:t>
      </w:r>
      <w:r>
        <w:rPr>
          <w:vertAlign w:val="subscript"/>
          <w:lang w:val="fr-FR"/>
        </w:rPr>
        <w:t>2</w:t>
      </w:r>
      <w:r>
        <w:rPr>
          <w:lang w:val="fr-FR"/>
        </w:rPr>
        <w:t xml:space="preserve"> et M</w:t>
      </w:r>
      <w:r>
        <w:rPr>
          <w:vertAlign w:val="subscript"/>
          <w:lang w:val="fr-FR"/>
        </w:rPr>
        <w:t>3</w:t>
      </w:r>
      <w:r>
        <w:rPr>
          <w:lang w:val="fr-FR"/>
        </w:rPr>
        <w:t xml:space="preserve"> équipés d’un système d’avertissement de franchissement de ligne). Le paragraphe 5.1.6.1.1 était également partiellement répété à titre d’information. Le document ne visait ni à revenir à une version antérieure de ce dernier paragraphe, ni à le modifier, mais il était ambigu puisque le paragraphe était incomplet. C’est pourquoi, dans le complément</w:t>
      </w:r>
      <w:r w:rsidR="00D75CA8">
        <w:rPr>
          <w:lang w:val="fr-FR"/>
        </w:rPr>
        <w:t> </w:t>
      </w:r>
      <w:r>
        <w:rPr>
          <w:lang w:val="fr-FR"/>
        </w:rPr>
        <w:t>3 à la série</w:t>
      </w:r>
      <w:r w:rsidR="00D75CA8">
        <w:rPr>
          <w:lang w:val="fr-FR"/>
        </w:rPr>
        <w:t> </w:t>
      </w:r>
      <w:r>
        <w:rPr>
          <w:lang w:val="fr-FR"/>
        </w:rPr>
        <w:t>03 d’amendements au Règlement ONU n</w:t>
      </w:r>
      <w:r>
        <w:rPr>
          <w:vertAlign w:val="superscript"/>
          <w:lang w:val="fr-FR"/>
        </w:rPr>
        <w:t>o</w:t>
      </w:r>
      <w:r>
        <w:rPr>
          <w:lang w:val="fr-FR"/>
        </w:rPr>
        <w:t> 79 (ECE/TRANS/WP.29/2020/67) le texte du paragraphe ne tient pas compte des versions précédentes du Règlement. Le présent document vise à corriger cette erreur.</w:t>
      </w:r>
    </w:p>
    <w:p w14:paraId="67B23D19" w14:textId="5B48AF48" w:rsidR="00360DB2" w:rsidRPr="004B6298" w:rsidRDefault="00A802CF" w:rsidP="00A802CF">
      <w:pPr>
        <w:pStyle w:val="H1G"/>
        <w:rPr>
          <w:lang w:val="fr-FR"/>
        </w:rPr>
      </w:pPr>
      <w:r>
        <w:rPr>
          <w:lang w:val="fr-FR"/>
        </w:rPr>
        <w:tab/>
      </w:r>
      <w:r w:rsidR="00360DB2">
        <w:rPr>
          <w:lang w:val="fr-FR"/>
        </w:rPr>
        <w:t>C.</w:t>
      </w:r>
      <w:r w:rsidR="00360DB2">
        <w:rPr>
          <w:lang w:val="fr-FR"/>
        </w:rPr>
        <w:tab/>
        <w:t>Paragraphe 5.3.3.1</w:t>
      </w:r>
    </w:p>
    <w:p w14:paraId="3BDEDD45" w14:textId="77777777" w:rsidR="00360DB2" w:rsidRPr="004B6298" w:rsidRDefault="00360DB2" w:rsidP="00A802CF">
      <w:pPr>
        <w:pStyle w:val="SingleTxtG"/>
        <w:rPr>
          <w:lang w:val="fr-FR"/>
        </w:rPr>
      </w:pPr>
      <w:r>
        <w:rPr>
          <w:lang w:val="fr-FR"/>
        </w:rPr>
        <w:t>3.</w:t>
      </w:r>
      <w:r>
        <w:rPr>
          <w:lang w:val="fr-FR"/>
        </w:rPr>
        <w:tab/>
        <w:t>En anglais, le mot « indefinitively » doit être remplacé par « indefinitely ». Cette erreur a date de la troisième version révisée du Règlement.</w:t>
      </w:r>
    </w:p>
    <w:p w14:paraId="6FDB7D33" w14:textId="0E794FCD" w:rsidR="00360DB2" w:rsidRPr="004B6298" w:rsidRDefault="00A802CF" w:rsidP="00A802CF">
      <w:pPr>
        <w:pStyle w:val="H1G"/>
        <w:rPr>
          <w:lang w:val="fr-FR"/>
        </w:rPr>
      </w:pPr>
      <w:r>
        <w:rPr>
          <w:lang w:val="fr-FR"/>
        </w:rPr>
        <w:tab/>
      </w:r>
      <w:r w:rsidR="00360DB2">
        <w:rPr>
          <w:lang w:val="fr-FR"/>
        </w:rPr>
        <w:t>D.</w:t>
      </w:r>
      <w:r w:rsidR="00360DB2">
        <w:rPr>
          <w:lang w:val="fr-FR"/>
        </w:rPr>
        <w:tab/>
        <w:t>Annexe 8, paragraphe 3.5.4.1</w:t>
      </w:r>
    </w:p>
    <w:p w14:paraId="3A4F239E" w14:textId="51C47592" w:rsidR="00F9573C" w:rsidRDefault="00360DB2" w:rsidP="00A802CF">
      <w:pPr>
        <w:pStyle w:val="SingleTxtG"/>
        <w:rPr>
          <w:lang w:val="fr-FR"/>
        </w:rPr>
      </w:pPr>
      <w:r>
        <w:rPr>
          <w:lang w:val="fr-FR"/>
        </w:rPr>
        <w:t>4.</w:t>
      </w:r>
      <w:r>
        <w:rPr>
          <w:lang w:val="fr-FR"/>
        </w:rPr>
        <w:tab/>
        <w:t>Le document ECE/TRANS/WP.29/2021/14 a été adopté par le WP.29 sur la base du document ECE/TRANS/WP.29/GRVA/2020/23, adopté à la quatrième session du GRVA (septembre 2019). Le présent document vise à préciser que l’activation de la fonction de direction à commande automatique de catégorie C dans le cadre de la procédure d’essai n’est nécessaire que lorsque le système n’est pas déjà en train de fonctionner. La fin de l’alinéa f) et la totalité de l’alinéa g) du paragraphe 3.5.4.1 de l’annexe 8 ont cependant été omises par erreur dans le complément 4 à la série 03 d’amendements au Règlement ONU n</w:t>
      </w:r>
      <w:r>
        <w:rPr>
          <w:vertAlign w:val="superscript"/>
          <w:lang w:val="fr-FR"/>
        </w:rPr>
        <w:t>o</w:t>
      </w:r>
      <w:r>
        <w:rPr>
          <w:lang w:val="fr-FR"/>
        </w:rPr>
        <w:t> 79 (ECE/TRANS/WP.29/2021/14). Le présent document vise à corriger cette erreur.</w:t>
      </w:r>
    </w:p>
    <w:p w14:paraId="78DF3A74" w14:textId="6EF4D1AF" w:rsidR="00360DB2" w:rsidRPr="00360DB2" w:rsidRDefault="00360DB2" w:rsidP="00360DB2">
      <w:pPr>
        <w:pStyle w:val="SingleTxtG"/>
        <w:spacing w:before="240" w:after="0"/>
        <w:jc w:val="center"/>
        <w:rPr>
          <w:u w:val="single"/>
        </w:rPr>
      </w:pPr>
      <w:r>
        <w:rPr>
          <w:u w:val="single"/>
        </w:rPr>
        <w:tab/>
      </w:r>
      <w:r>
        <w:rPr>
          <w:u w:val="single"/>
        </w:rPr>
        <w:tab/>
      </w:r>
      <w:r>
        <w:rPr>
          <w:u w:val="single"/>
        </w:rPr>
        <w:tab/>
      </w:r>
      <w:r>
        <w:rPr>
          <w:u w:val="single"/>
        </w:rPr>
        <w:tab/>
      </w:r>
    </w:p>
    <w:sectPr w:rsidR="00360DB2" w:rsidRPr="00360DB2" w:rsidSect="00360DB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D01EE" w14:textId="77777777" w:rsidR="007E7B1A" w:rsidRDefault="007E7B1A" w:rsidP="00F95C08">
      <w:pPr>
        <w:spacing w:line="240" w:lineRule="auto"/>
      </w:pPr>
    </w:p>
  </w:endnote>
  <w:endnote w:type="continuationSeparator" w:id="0">
    <w:p w14:paraId="6D4CB72A" w14:textId="77777777" w:rsidR="007E7B1A" w:rsidRPr="00AC3823" w:rsidRDefault="007E7B1A" w:rsidP="00AC3823">
      <w:pPr>
        <w:pStyle w:val="Pieddepage"/>
      </w:pPr>
    </w:p>
  </w:endnote>
  <w:endnote w:type="continuationNotice" w:id="1">
    <w:p w14:paraId="47CDDA53" w14:textId="77777777" w:rsidR="007E7B1A" w:rsidRDefault="007E7B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584E8" w14:textId="0488DD98" w:rsidR="00360DB2" w:rsidRPr="00360DB2" w:rsidRDefault="00360DB2" w:rsidP="00360DB2">
    <w:pPr>
      <w:pStyle w:val="Pieddepage"/>
      <w:tabs>
        <w:tab w:val="right" w:pos="9638"/>
      </w:tabs>
    </w:pPr>
    <w:r w:rsidRPr="00360DB2">
      <w:rPr>
        <w:b/>
        <w:sz w:val="18"/>
      </w:rPr>
      <w:fldChar w:fldCharType="begin"/>
    </w:r>
    <w:r w:rsidRPr="00360DB2">
      <w:rPr>
        <w:b/>
        <w:sz w:val="18"/>
      </w:rPr>
      <w:instrText xml:space="preserve"> PAGE  \* MERGEFORMAT </w:instrText>
    </w:r>
    <w:r w:rsidRPr="00360DB2">
      <w:rPr>
        <w:b/>
        <w:sz w:val="18"/>
      </w:rPr>
      <w:fldChar w:fldCharType="separate"/>
    </w:r>
    <w:r w:rsidRPr="00360DB2">
      <w:rPr>
        <w:b/>
        <w:noProof/>
        <w:sz w:val="18"/>
      </w:rPr>
      <w:t>2</w:t>
    </w:r>
    <w:r w:rsidRPr="00360DB2">
      <w:rPr>
        <w:b/>
        <w:sz w:val="18"/>
      </w:rPr>
      <w:fldChar w:fldCharType="end"/>
    </w:r>
    <w:r>
      <w:rPr>
        <w:b/>
        <w:sz w:val="18"/>
      </w:rPr>
      <w:tab/>
    </w:r>
    <w:r>
      <w:t>GE.21-16393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92FD4" w14:textId="352DDF27" w:rsidR="00360DB2" w:rsidRPr="00360DB2" w:rsidRDefault="00360DB2" w:rsidP="00360DB2">
    <w:pPr>
      <w:pStyle w:val="Pieddepage"/>
      <w:tabs>
        <w:tab w:val="right" w:pos="9638"/>
      </w:tabs>
      <w:rPr>
        <w:b/>
        <w:sz w:val="18"/>
      </w:rPr>
    </w:pPr>
    <w:r>
      <w:t>GE.21-16393</w:t>
    </w:r>
    <w:r>
      <w:tab/>
    </w:r>
    <w:r w:rsidRPr="00360DB2">
      <w:rPr>
        <w:b/>
        <w:sz w:val="18"/>
      </w:rPr>
      <w:fldChar w:fldCharType="begin"/>
    </w:r>
    <w:r w:rsidRPr="00360DB2">
      <w:rPr>
        <w:b/>
        <w:sz w:val="18"/>
      </w:rPr>
      <w:instrText xml:space="preserve"> PAGE  \* MERGEFORMAT </w:instrText>
    </w:r>
    <w:r w:rsidRPr="00360DB2">
      <w:rPr>
        <w:b/>
        <w:sz w:val="18"/>
      </w:rPr>
      <w:fldChar w:fldCharType="separate"/>
    </w:r>
    <w:r w:rsidRPr="00360DB2">
      <w:rPr>
        <w:b/>
        <w:noProof/>
        <w:sz w:val="18"/>
      </w:rPr>
      <w:t>3</w:t>
    </w:r>
    <w:r w:rsidRPr="00360DB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AD143" w14:textId="798892FE" w:rsidR="007F20FA" w:rsidRPr="00360DB2" w:rsidRDefault="00360DB2" w:rsidP="00360DB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517D879" wp14:editId="73EA833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21-16393  (F)</w:t>
    </w:r>
    <w:r>
      <w:rPr>
        <w:noProof/>
        <w:sz w:val="20"/>
      </w:rPr>
      <w:drawing>
        <wp:anchor distT="0" distB="0" distL="114300" distR="114300" simplePos="0" relativeHeight="251660288" behindDoc="0" locked="0" layoutInCell="1" allowOverlap="1" wp14:anchorId="2DA0B804" wp14:editId="2B3F451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301121   301121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E6654" w14:textId="77777777" w:rsidR="007E7B1A" w:rsidRPr="00AC3823" w:rsidRDefault="007E7B1A" w:rsidP="00AC3823">
      <w:pPr>
        <w:pStyle w:val="Pieddepage"/>
        <w:tabs>
          <w:tab w:val="right" w:pos="2155"/>
        </w:tabs>
        <w:spacing w:after="80" w:line="240" w:lineRule="atLeast"/>
        <w:ind w:left="680"/>
        <w:rPr>
          <w:u w:val="single"/>
        </w:rPr>
      </w:pPr>
      <w:r>
        <w:rPr>
          <w:u w:val="single"/>
        </w:rPr>
        <w:tab/>
      </w:r>
    </w:p>
  </w:footnote>
  <w:footnote w:type="continuationSeparator" w:id="0">
    <w:p w14:paraId="22F3973F" w14:textId="77777777" w:rsidR="007E7B1A" w:rsidRPr="00AC3823" w:rsidRDefault="007E7B1A" w:rsidP="00AC3823">
      <w:pPr>
        <w:pStyle w:val="Pieddepage"/>
        <w:tabs>
          <w:tab w:val="right" w:pos="2155"/>
        </w:tabs>
        <w:spacing w:after="80" w:line="240" w:lineRule="atLeast"/>
        <w:ind w:left="680"/>
        <w:rPr>
          <w:u w:val="single"/>
        </w:rPr>
      </w:pPr>
      <w:r>
        <w:rPr>
          <w:u w:val="single"/>
        </w:rPr>
        <w:tab/>
      </w:r>
    </w:p>
  </w:footnote>
  <w:footnote w:type="continuationNotice" w:id="1">
    <w:p w14:paraId="2D347935" w14:textId="77777777" w:rsidR="007E7B1A" w:rsidRPr="00AC3823" w:rsidRDefault="007E7B1A">
      <w:pPr>
        <w:spacing w:line="240" w:lineRule="auto"/>
        <w:rPr>
          <w:sz w:val="2"/>
          <w:szCs w:val="2"/>
        </w:rPr>
      </w:pPr>
    </w:p>
  </w:footnote>
  <w:footnote w:id="2">
    <w:p w14:paraId="1A07C380" w14:textId="0434B481" w:rsidR="00A802CF" w:rsidRPr="00A802CF" w:rsidRDefault="00A802CF">
      <w:pPr>
        <w:pStyle w:val="Notedebasdepage"/>
      </w:pPr>
      <w:r>
        <w:rPr>
          <w:rStyle w:val="Appelnotedebasdep"/>
        </w:rPr>
        <w:tab/>
      </w:r>
      <w:r w:rsidRPr="00A802CF">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2022 tel qu’il figure dans le projet de budget-programme pour 2022 (A/76/6 (Sect.20), par. 20.76),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E6B71" w14:textId="0FCCBFC2" w:rsidR="00360DB2" w:rsidRPr="00360DB2" w:rsidRDefault="00360DB2">
    <w:pPr>
      <w:pStyle w:val="En-tte"/>
    </w:pPr>
    <w:fldSimple w:instr=" TITLE  \* MERGEFORMAT ">
      <w:r w:rsidR="00FC621D">
        <w:t>ECE/TRANS/WP.29/GRVA/2022/6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E09DB" w14:textId="406C12C7" w:rsidR="00360DB2" w:rsidRPr="00360DB2" w:rsidRDefault="00360DB2" w:rsidP="00360DB2">
    <w:pPr>
      <w:pStyle w:val="En-tte"/>
      <w:jc w:val="right"/>
    </w:pPr>
    <w:fldSimple w:instr=" TITLE  \* MERGEFORMAT ">
      <w:r w:rsidR="00FC621D">
        <w:t>ECE/TRANS/WP.29/GRVA/2022/6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1A"/>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60DB2"/>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E7B1A"/>
    <w:rsid w:val="007F20FA"/>
    <w:rsid w:val="0080684C"/>
    <w:rsid w:val="00871C75"/>
    <w:rsid w:val="008776DC"/>
    <w:rsid w:val="008D5EF9"/>
    <w:rsid w:val="009446C0"/>
    <w:rsid w:val="009705C8"/>
    <w:rsid w:val="009C1CF4"/>
    <w:rsid w:val="009F6B74"/>
    <w:rsid w:val="00A3029F"/>
    <w:rsid w:val="00A30353"/>
    <w:rsid w:val="00A802CF"/>
    <w:rsid w:val="00AC3823"/>
    <w:rsid w:val="00AE323C"/>
    <w:rsid w:val="00AF0CB5"/>
    <w:rsid w:val="00B00181"/>
    <w:rsid w:val="00B00B0D"/>
    <w:rsid w:val="00B45F2E"/>
    <w:rsid w:val="00B620A3"/>
    <w:rsid w:val="00B765F7"/>
    <w:rsid w:val="00B77993"/>
    <w:rsid w:val="00BA0CA9"/>
    <w:rsid w:val="00C02897"/>
    <w:rsid w:val="00C97039"/>
    <w:rsid w:val="00D3439C"/>
    <w:rsid w:val="00D75CA8"/>
    <w:rsid w:val="00D7622E"/>
    <w:rsid w:val="00DB1831"/>
    <w:rsid w:val="00DD3BFD"/>
    <w:rsid w:val="00DF6678"/>
    <w:rsid w:val="00E0299A"/>
    <w:rsid w:val="00E85C74"/>
    <w:rsid w:val="00EA6547"/>
    <w:rsid w:val="00ED7237"/>
    <w:rsid w:val="00EF2E22"/>
    <w:rsid w:val="00F35BAF"/>
    <w:rsid w:val="00F660DF"/>
    <w:rsid w:val="00F94664"/>
    <w:rsid w:val="00F9573C"/>
    <w:rsid w:val="00F95C08"/>
    <w:rsid w:val="00FC621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3F3968"/>
  <w15:docId w15:val="{8CA753F8-E9F2-4ECF-8FD4-F226BD6D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3</Pages>
  <Words>815</Words>
  <Characters>5707</Characters>
  <Application>Microsoft Office Word</Application>
  <DocSecurity>0</DocSecurity>
  <Lines>475</Lines>
  <Paragraphs>260</Paragraphs>
  <ScaleCrop>false</ScaleCrop>
  <HeadingPairs>
    <vt:vector size="4" baseType="variant">
      <vt:variant>
        <vt:lpstr>Titre</vt:lpstr>
      </vt:variant>
      <vt:variant>
        <vt:i4>1</vt:i4>
      </vt:variant>
      <vt:variant>
        <vt:lpstr>Titres</vt:lpstr>
      </vt:variant>
      <vt:variant>
        <vt:i4>8</vt:i4>
      </vt:variant>
    </vt:vector>
  </HeadingPairs>
  <TitlesOfParts>
    <vt:vector size="9" baseType="lpstr">
      <vt:lpstr>ECE/TRANS/WP.29/GRVA/2022/6</vt:lpstr>
      <vt:lpstr>    Proposition d’amendements aux séries 03 et 04 d’amendements au Règlement ONU n</vt:lpstr>
      <vt:lpstr>        Communication de l’expert de l’Organisation internationale  des constructeurs </vt:lpstr>
      <vt:lpstr>    I.	Proposition</vt:lpstr>
      <vt:lpstr>    II.	Justification</vt:lpstr>
      <vt:lpstr>        A.	Renumérotation du paragraphe 2.4.18</vt:lpstr>
      <vt:lpstr>        B.	Phrases manquantes au paragraphe 5.1.6.1.1</vt:lpstr>
      <vt:lpstr>        C.	Paragraphe 5.3.3.1</vt:lpstr>
      <vt:lpstr>        D.	Annexe 8, paragraphe 3.5.4.1</vt:lpstr>
    </vt:vector>
  </TitlesOfParts>
  <Company>DCM</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ECE/TRANS/WP.29/GRVA/2022/6</dc:title>
  <dc:subject/>
  <dc:creator>Valerie BERTIN</dc:creator>
  <cp:keywords/>
  <cp:lastModifiedBy>Valerie Bertin</cp:lastModifiedBy>
  <cp:revision>3</cp:revision>
  <cp:lastPrinted>2021-11-30T12:55:00Z</cp:lastPrinted>
  <dcterms:created xsi:type="dcterms:W3CDTF">2021-11-30T12:55:00Z</dcterms:created>
  <dcterms:modified xsi:type="dcterms:W3CDTF">2021-11-30T12:58:00Z</dcterms:modified>
</cp:coreProperties>
</file>