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14BEA890" w:rsidR="009E6CB7" w:rsidRPr="0057572B" w:rsidRDefault="00FA61C2" w:rsidP="0044397D">
            <w:pPr>
              <w:jc w:val="right"/>
            </w:pPr>
            <w:r w:rsidRPr="00FA61C2">
              <w:rPr>
                <w:sz w:val="40"/>
              </w:rPr>
              <w:t>ECE</w:t>
            </w:r>
            <w:r>
              <w:t>/TRANS/WP.29/AC.3/58</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67E935F0" w:rsidR="0044397D" w:rsidRPr="0057572B" w:rsidRDefault="00AA0876" w:rsidP="0044397D">
            <w:pPr>
              <w:spacing w:line="240" w:lineRule="exact"/>
            </w:pPr>
            <w:r>
              <w:t>18 November</w:t>
            </w:r>
            <w:r w:rsidR="0044397D" w:rsidRPr="0057572B">
              <w:t xml:space="preserve"> 20</w:t>
            </w:r>
            <w:r w:rsidR="009E6546">
              <w:t>2</w:t>
            </w:r>
            <w:r w:rsidR="000657D3">
              <w:t>1</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6926A641" w14:textId="77777777" w:rsidR="00764747" w:rsidRDefault="00764747" w:rsidP="00764747">
      <w:pPr>
        <w:tabs>
          <w:tab w:val="center" w:pos="4819"/>
        </w:tabs>
        <w:spacing w:before="120"/>
        <w:rPr>
          <w:b/>
          <w:lang w:val="en-US"/>
        </w:rPr>
      </w:pPr>
      <w:r>
        <w:rPr>
          <w:b/>
          <w:lang w:val="en-US"/>
        </w:rPr>
        <w:t>185th session</w:t>
      </w:r>
    </w:p>
    <w:p w14:paraId="0AC4FE55" w14:textId="77777777" w:rsidR="00764747" w:rsidRDefault="00764747" w:rsidP="00764747">
      <w:pPr>
        <w:rPr>
          <w:lang w:val="en-US"/>
        </w:rPr>
      </w:pPr>
      <w:r>
        <w:rPr>
          <w:lang w:val="en-US"/>
        </w:rPr>
        <w:t>Geneva, 23-25 November 2021</w:t>
      </w:r>
    </w:p>
    <w:p w14:paraId="7EDA81FB" w14:textId="42F92434" w:rsidR="00C24BE5" w:rsidRDefault="00C24BE5" w:rsidP="006A5214">
      <w:r>
        <w:t xml:space="preserve">Item </w:t>
      </w:r>
      <w:r w:rsidR="00A46633">
        <w:t>19.</w:t>
      </w:r>
      <w:r w:rsidR="006953F7">
        <w:t>16</w:t>
      </w:r>
      <w:r>
        <w:t xml:space="preserve"> of the provisional agenda</w:t>
      </w:r>
    </w:p>
    <w:p w14:paraId="22A1C527" w14:textId="1AC9C4F7" w:rsidR="0044397D" w:rsidRPr="00BB3F46" w:rsidRDefault="00A46633" w:rsidP="0044397D">
      <w:pPr>
        <w:rPr>
          <w:b/>
        </w:rPr>
      </w:pPr>
      <w:r w:rsidRPr="00BB3F46">
        <w:rPr>
          <w:b/>
        </w:rPr>
        <w:t>Progress on the development of new UN GTRs</w:t>
      </w:r>
      <w:r w:rsidRPr="00BB3F46">
        <w:rPr>
          <w:b/>
        </w:rPr>
        <w:br/>
        <w:t>and of amendments to established UN GTRs</w:t>
      </w:r>
      <w:r w:rsidR="00026B9A" w:rsidRPr="00BB3F46">
        <w:rPr>
          <w:b/>
        </w:rPr>
        <w:t>:</w:t>
      </w:r>
    </w:p>
    <w:p w14:paraId="34697FAE" w14:textId="24C8EF9A" w:rsidR="00026B9A" w:rsidRPr="00026B9A" w:rsidRDefault="006953F7" w:rsidP="0044397D">
      <w:pPr>
        <w:rPr>
          <w:b/>
          <w:bCs/>
        </w:rPr>
      </w:pPr>
      <w:r w:rsidRPr="006953F7">
        <w:rPr>
          <w:b/>
          <w:bCs/>
        </w:rPr>
        <w:t xml:space="preserve">Proposal for a draft UN GTR on durability of </w:t>
      </w:r>
      <w:r>
        <w:rPr>
          <w:b/>
          <w:bCs/>
        </w:rPr>
        <w:br/>
      </w:r>
      <w:r w:rsidRPr="006953F7">
        <w:rPr>
          <w:b/>
          <w:bCs/>
        </w:rPr>
        <w:t>after treatment devices for two- and three-wheeled</w:t>
      </w:r>
      <w:r>
        <w:rPr>
          <w:b/>
          <w:bCs/>
        </w:rPr>
        <w:br/>
      </w:r>
      <w:r w:rsidRPr="006953F7">
        <w:rPr>
          <w:b/>
          <w:bCs/>
        </w:rPr>
        <w:t xml:space="preserve"> motor vehicles (Environmental and Propulsion </w:t>
      </w:r>
      <w:r>
        <w:rPr>
          <w:b/>
          <w:bCs/>
        </w:rPr>
        <w:br/>
      </w:r>
      <w:r w:rsidRPr="006953F7">
        <w:rPr>
          <w:b/>
          <w:bCs/>
        </w:rPr>
        <w:t>Performance Requirements of L-category vehicles);</w:t>
      </w:r>
    </w:p>
    <w:p w14:paraId="33151B4C" w14:textId="376A584A"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9436CB">
        <w:rPr>
          <w:rFonts w:eastAsia="MS Mincho"/>
          <w:b/>
          <w:bCs/>
          <w:sz w:val="28"/>
        </w:rPr>
        <w:t>A</w:t>
      </w:r>
      <w:r w:rsidR="0010717B" w:rsidRPr="0010717B">
        <w:rPr>
          <w:rFonts w:eastAsia="MS Mincho"/>
          <w:b/>
          <w:bCs/>
          <w:sz w:val="28"/>
        </w:rPr>
        <w:t>uthorization to develop a new UN GTR on durability of after treatment devices for two- and three- wheeled motor vehicles</w:t>
      </w:r>
    </w:p>
    <w:p w14:paraId="5645B15B" w14:textId="5182A026" w:rsidR="00F54ACE" w:rsidRPr="00F54ACE" w:rsidRDefault="00F54ACE" w:rsidP="00F54ACE">
      <w:pPr>
        <w:keepNext/>
        <w:keepLines/>
        <w:tabs>
          <w:tab w:val="right" w:pos="851"/>
        </w:tabs>
        <w:spacing w:before="360" w:after="240" w:line="270" w:lineRule="atLeast"/>
        <w:ind w:left="1134" w:right="1134" w:hanging="1134"/>
        <w:rPr>
          <w:rFonts w:eastAsia="MS Mincho"/>
          <w:sz w:val="24"/>
          <w:szCs w:val="24"/>
          <w:highlight w:val="yellow"/>
        </w:rPr>
      </w:pPr>
      <w:r w:rsidRPr="00F54ACE">
        <w:rPr>
          <w:rFonts w:eastAsia="MS Mincho"/>
        </w:rPr>
        <w:tab/>
      </w:r>
      <w:r w:rsidRPr="00F54ACE">
        <w:rPr>
          <w:rFonts w:eastAsia="MS Mincho"/>
        </w:rPr>
        <w:tab/>
      </w:r>
      <w:r w:rsidR="0057272F" w:rsidRPr="0057272F">
        <w:rPr>
          <w:rFonts w:eastAsia="MS Mincho"/>
          <w:b/>
          <w:bCs/>
          <w:sz w:val="24"/>
          <w:szCs w:val="24"/>
        </w:rPr>
        <w:t xml:space="preserve">Submitted by the </w:t>
      </w:r>
      <w:bookmarkStart w:id="0" w:name="_Hlk86051214"/>
      <w:r w:rsidR="0057272F" w:rsidRPr="0057272F">
        <w:rPr>
          <w:rFonts w:eastAsia="MS Mincho"/>
          <w:b/>
          <w:bCs/>
          <w:sz w:val="24"/>
          <w:szCs w:val="24"/>
        </w:rPr>
        <w:t>Working Party on Pollution and Energy</w:t>
      </w:r>
      <w:bookmarkEnd w:id="0"/>
      <w:r w:rsidR="006A5214" w:rsidRPr="006A5214">
        <w:rPr>
          <w:rFonts w:eastAsia="MS Mincho"/>
          <w:b/>
          <w:bCs/>
          <w:sz w:val="24"/>
          <w:szCs w:val="24"/>
        </w:rPr>
        <w:t xml:space="preserve"> </w:t>
      </w:r>
      <w:r w:rsidRPr="00E31306">
        <w:rPr>
          <w:rFonts w:eastAsia="MS Mincho"/>
        </w:rPr>
        <w:footnoteReference w:customMarkFollows="1" w:id="2"/>
        <w:t>*</w:t>
      </w:r>
    </w:p>
    <w:p w14:paraId="5EB56964" w14:textId="590BAB2C" w:rsidR="00554AB9" w:rsidRPr="00F72881" w:rsidRDefault="00F54ACE" w:rsidP="00F54ACE">
      <w:pPr>
        <w:pStyle w:val="SingleTxtG"/>
        <w:ind w:firstLine="567"/>
      </w:pPr>
      <w:r w:rsidRPr="00F54ACE">
        <w:rPr>
          <w:rFonts w:eastAsia="MS Mincho"/>
        </w:rPr>
        <w:tab/>
      </w:r>
      <w:r w:rsidRPr="00F54ACE">
        <w:rPr>
          <w:rFonts w:eastAsia="MS Mincho"/>
        </w:rPr>
        <w:tab/>
        <w:t xml:space="preserve">The text reproduced below was </w:t>
      </w:r>
      <w:r w:rsidR="00702D73" w:rsidRPr="00702D73">
        <w:rPr>
          <w:rFonts w:eastAsia="MS Mincho"/>
        </w:rPr>
        <w:t xml:space="preserve">prepared by </w:t>
      </w:r>
      <w:r w:rsidR="006A5214" w:rsidRPr="006A5214">
        <w:rPr>
          <w:rStyle w:val="H1GChar"/>
          <w:b w:val="0"/>
          <w:sz w:val="20"/>
        </w:rPr>
        <w:t xml:space="preserve">the </w:t>
      </w:r>
      <w:r w:rsidR="00A04808" w:rsidRPr="00A04808">
        <w:rPr>
          <w:rStyle w:val="H1GChar"/>
          <w:b w:val="0"/>
          <w:sz w:val="20"/>
        </w:rPr>
        <w:t>Working Party on Pollution and Energy</w:t>
      </w:r>
      <w:r w:rsidR="00702D73" w:rsidRPr="006A5214">
        <w:rPr>
          <w:rFonts w:eastAsia="MS Mincho"/>
        </w:rPr>
        <w:t xml:space="preserve">. </w:t>
      </w:r>
      <w:r w:rsidR="00702D73" w:rsidRPr="00702D73">
        <w:rPr>
          <w:rFonts w:eastAsia="MS Mincho"/>
        </w:rPr>
        <w:t>It was adopted by the Executive Committee (AC.3) of the 1998 Agreement at its June 20</w:t>
      </w:r>
      <w:r w:rsidR="00702D73">
        <w:rPr>
          <w:rFonts w:eastAsia="MS Mincho"/>
        </w:rPr>
        <w:t>2</w:t>
      </w:r>
      <w:r w:rsidR="00A04808">
        <w:rPr>
          <w:rFonts w:eastAsia="MS Mincho"/>
        </w:rPr>
        <w:t>1</w:t>
      </w:r>
      <w:r w:rsidR="00702D73" w:rsidRPr="00702D73">
        <w:rPr>
          <w:rFonts w:eastAsia="MS Mincho"/>
        </w:rPr>
        <w:t xml:space="preserve"> session (ECE/TRANS/</w:t>
      </w:r>
      <w:r w:rsidR="00702D73" w:rsidRPr="00FB5FC4">
        <w:rPr>
          <w:rFonts w:eastAsia="MS Mincho"/>
        </w:rPr>
        <w:t>WP.29/115</w:t>
      </w:r>
      <w:r w:rsidR="00FB5FC4" w:rsidRPr="00FB5FC4">
        <w:rPr>
          <w:rFonts w:eastAsia="MS Mincho"/>
        </w:rPr>
        <w:t>7</w:t>
      </w:r>
      <w:r w:rsidR="00702D73" w:rsidRPr="00FB5FC4">
        <w:rPr>
          <w:rFonts w:eastAsia="MS Mincho"/>
        </w:rPr>
        <w:t xml:space="preserve">, para. </w:t>
      </w:r>
      <w:r w:rsidR="00FB5FC4" w:rsidRPr="00FB5FC4">
        <w:rPr>
          <w:rFonts w:eastAsia="MS Mincho"/>
        </w:rPr>
        <w:t>160</w:t>
      </w:r>
      <w:r w:rsidR="00702D73" w:rsidRPr="00FB5FC4">
        <w:rPr>
          <w:rFonts w:eastAsia="MS Mincho"/>
        </w:rPr>
        <w:t>). It</w:t>
      </w:r>
      <w:r w:rsidR="00702D73" w:rsidRPr="00702D73">
        <w:rPr>
          <w:rFonts w:eastAsia="MS Mincho"/>
        </w:rPr>
        <w:t xml:space="preserve"> is based on ECE/TRANS/WP.29/20</w:t>
      </w:r>
      <w:r w:rsidR="00702D73">
        <w:rPr>
          <w:rFonts w:eastAsia="MS Mincho"/>
        </w:rPr>
        <w:t>2</w:t>
      </w:r>
      <w:r w:rsidR="003A1FEB">
        <w:rPr>
          <w:rFonts w:eastAsia="MS Mincho"/>
        </w:rPr>
        <w:t>1</w:t>
      </w:r>
      <w:r w:rsidR="00702D73" w:rsidRPr="00702D73">
        <w:rPr>
          <w:rFonts w:eastAsia="MS Mincho"/>
        </w:rPr>
        <w:t>/</w:t>
      </w:r>
      <w:r w:rsidR="003A1FEB">
        <w:rPr>
          <w:rFonts w:eastAsia="MS Mincho"/>
        </w:rPr>
        <w:t>81</w:t>
      </w:r>
      <w:r w:rsidR="00C24BE5">
        <w:rPr>
          <w:lang w:val="en-US"/>
        </w:rPr>
        <w:t xml:space="preserve">. It </w:t>
      </w:r>
      <w:r w:rsidR="00E03FDB">
        <w:rPr>
          <w:lang w:val="en-US"/>
        </w:rPr>
        <w:t xml:space="preserve">is </w:t>
      </w:r>
      <w:r w:rsidR="00702D73">
        <w:rPr>
          <w:lang w:val="en-US"/>
        </w:rPr>
        <w:t>an</w:t>
      </w:r>
      <w:r w:rsidR="00A46633" w:rsidRPr="00A46633">
        <w:rPr>
          <w:lang w:val="en-US"/>
        </w:rPr>
        <w:t xml:space="preserve"> authorization to develop a new UN GTR on </w:t>
      </w:r>
      <w:r w:rsidR="003A1FEB" w:rsidRPr="003A1FEB">
        <w:rPr>
          <w:lang w:val="en-US"/>
        </w:rPr>
        <w:t>durability of after treatment devices for two- and three- wheeled motor vehicles</w:t>
      </w:r>
      <w:r w:rsidR="00B63D0C">
        <w:rPr>
          <w:lang w:val="en-US"/>
        </w:rPr>
        <w:t>.</w:t>
      </w:r>
      <w:r w:rsidR="006A5214" w:rsidRPr="006A5214">
        <w:rPr>
          <w:lang w:val="en-US"/>
        </w:rPr>
        <w:t xml:space="preserve"> </w:t>
      </w:r>
      <w:r w:rsidR="00702D73" w:rsidRPr="00702D73">
        <w:rPr>
          <w:lang w:val="en-US"/>
        </w:rPr>
        <w:t>This document shall be appended to the UN GTR in accordance with the provisions of paragraphs 6.3.4.2., 6.3.7. and 6.4. of the 1998 Agreement.</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06274F8B" w14:textId="77777777" w:rsidR="00877054" w:rsidRPr="003921B5" w:rsidRDefault="00877054" w:rsidP="00877054">
      <w:pPr>
        <w:keepNext/>
        <w:keepLines/>
        <w:tabs>
          <w:tab w:val="right" w:pos="851"/>
        </w:tabs>
        <w:spacing w:before="360" w:after="240" w:line="300" w:lineRule="exact"/>
        <w:ind w:left="1134" w:right="1134" w:hanging="1134"/>
        <w:rPr>
          <w:sz w:val="28"/>
          <w:szCs w:val="28"/>
          <w:lang w:eastAsia="en-US"/>
        </w:rPr>
      </w:pPr>
      <w:r w:rsidRPr="004323FD">
        <w:rPr>
          <w:rFonts w:eastAsia="MS Mincho"/>
          <w:sz w:val="28"/>
          <w:lang w:val="x-none" w:eastAsia="en-US"/>
        </w:rPr>
        <w:lastRenderedPageBreak/>
        <w:tab/>
      </w:r>
      <w:r w:rsidRPr="003921B5">
        <w:rPr>
          <w:rFonts w:eastAsia="SimSun"/>
          <w:b/>
          <w:sz w:val="28"/>
          <w:szCs w:val="28"/>
          <w:lang w:eastAsia="zh-CN"/>
        </w:rPr>
        <w:t>I.</w:t>
      </w:r>
      <w:r w:rsidRPr="003921B5">
        <w:rPr>
          <w:b/>
          <w:sz w:val="28"/>
          <w:szCs w:val="28"/>
          <w:lang w:eastAsia="zh-CN"/>
        </w:rPr>
        <w:tab/>
      </w:r>
      <w:r w:rsidRPr="003921B5">
        <w:rPr>
          <w:b/>
          <w:sz w:val="28"/>
          <w:szCs w:val="28"/>
          <w:lang w:eastAsia="zh-CN"/>
        </w:rPr>
        <w:tab/>
      </w:r>
      <w:r w:rsidRPr="003921B5">
        <w:rPr>
          <w:rFonts w:eastAsia="SimSun"/>
          <w:b/>
          <w:sz w:val="28"/>
          <w:szCs w:val="28"/>
          <w:lang w:eastAsia="zh-CN"/>
        </w:rPr>
        <w:t>Mandate and Objectives</w:t>
      </w:r>
    </w:p>
    <w:p w14:paraId="2D2336ED" w14:textId="77777777" w:rsidR="00877054" w:rsidRPr="003921B5" w:rsidRDefault="00877054" w:rsidP="00877054">
      <w:pPr>
        <w:spacing w:after="120"/>
        <w:ind w:left="1134" w:right="1134"/>
        <w:jc w:val="both"/>
        <w:rPr>
          <w:rFonts w:eastAsia="SimSun"/>
          <w:i/>
          <w:lang w:eastAsia="zh-CN"/>
        </w:rPr>
      </w:pPr>
      <w:r w:rsidRPr="003921B5">
        <w:rPr>
          <w:rFonts w:eastAsia="SimSun"/>
          <w:lang w:eastAsia="zh-CN"/>
        </w:rPr>
        <w:t>1.</w:t>
      </w:r>
      <w:r w:rsidRPr="003921B5">
        <w:rPr>
          <w:lang w:eastAsia="zh-CN"/>
        </w:rPr>
        <w:tab/>
      </w:r>
      <w:r w:rsidRPr="003921B5">
        <w:rPr>
          <w:rFonts w:eastAsia="SimSun"/>
          <w:lang w:eastAsia="zh-CN"/>
        </w:rPr>
        <w:t xml:space="preserve">In the framework of the 1998 Agreement and under continued work by the informal working group (IWG) on Environmental and Propulsion Performance Requirements of L-category vehicles (EPPR), the main objective of this proposal is to seek authorization for the EPPR IWG to develop a new UN GTR on the topic of </w:t>
      </w:r>
      <w:r w:rsidRPr="003921B5">
        <w:rPr>
          <w:rFonts w:eastAsia="SimSun"/>
          <w:i/>
          <w:lang w:eastAsia="zh-CN"/>
        </w:rPr>
        <w:t>durability of after treatment devices for two- and three- wheeled motor vehicles.</w:t>
      </w:r>
    </w:p>
    <w:p w14:paraId="3AFEFB1D" w14:textId="1CE91A85" w:rsidR="00877054" w:rsidRPr="003921B5" w:rsidRDefault="00877054" w:rsidP="00877054">
      <w:pPr>
        <w:spacing w:after="120"/>
        <w:ind w:left="1134" w:right="1134"/>
        <w:jc w:val="both"/>
        <w:rPr>
          <w:rFonts w:eastAsia="SimSun"/>
          <w:lang w:eastAsia="zh-CN"/>
        </w:rPr>
      </w:pPr>
      <w:r w:rsidRPr="003921B5">
        <w:rPr>
          <w:rFonts w:eastAsia="SimSun"/>
          <w:lang w:eastAsia="zh-CN"/>
        </w:rPr>
        <w:t>2.</w:t>
      </w:r>
      <w:r w:rsidRPr="003921B5">
        <w:rPr>
          <w:lang w:eastAsia="zh-CN"/>
        </w:rPr>
        <w:tab/>
      </w:r>
      <w:r w:rsidRPr="003921B5">
        <w:rPr>
          <w:rFonts w:eastAsia="SimSun"/>
          <w:lang w:eastAsia="zh-CN"/>
        </w:rPr>
        <w:t>The IWG on EPPR will also consider aligning with the work done by the IWG on Worldwide harmonized Light Vehicles Test Procedure (WLTP)</w:t>
      </w:r>
      <w:r w:rsidR="001C4D68">
        <w:rPr>
          <w:rFonts w:eastAsia="SimSun"/>
          <w:lang w:eastAsia="zh-CN"/>
        </w:rPr>
        <w:t xml:space="preserve"> and</w:t>
      </w:r>
      <w:r w:rsidRPr="003921B5">
        <w:rPr>
          <w:rFonts w:eastAsia="SimSun"/>
          <w:lang w:eastAsia="zh-CN"/>
        </w:rPr>
        <w:t xml:space="preserve"> if </w:t>
      </w:r>
      <w:r w:rsidR="001C4D68">
        <w:rPr>
          <w:rFonts w:eastAsia="SimSun"/>
          <w:lang w:eastAsia="zh-CN"/>
        </w:rPr>
        <w:t>it</w:t>
      </w:r>
      <w:r w:rsidR="001C4D68" w:rsidRPr="003921B5">
        <w:rPr>
          <w:rFonts w:eastAsia="SimSun"/>
          <w:lang w:eastAsia="zh-CN"/>
        </w:rPr>
        <w:t xml:space="preserve"> </w:t>
      </w:r>
      <w:r w:rsidRPr="003921B5">
        <w:rPr>
          <w:rFonts w:eastAsia="SimSun"/>
          <w:lang w:eastAsia="zh-CN"/>
        </w:rPr>
        <w:t>is considered advantageous, to ensure harmonization and to avoid any duplication of effort.</w:t>
      </w:r>
    </w:p>
    <w:p w14:paraId="62F45948" w14:textId="77777777" w:rsidR="00877054" w:rsidRPr="003921B5" w:rsidRDefault="00877054" w:rsidP="00877054">
      <w:pPr>
        <w:keepNext/>
        <w:keepLines/>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II.</w:t>
      </w:r>
      <w:r w:rsidRPr="003921B5">
        <w:rPr>
          <w:b/>
          <w:sz w:val="28"/>
          <w:szCs w:val="28"/>
          <w:lang w:eastAsia="zh-CN"/>
        </w:rPr>
        <w:tab/>
      </w:r>
      <w:r w:rsidRPr="003921B5">
        <w:rPr>
          <w:b/>
          <w:sz w:val="28"/>
          <w:szCs w:val="28"/>
          <w:lang w:eastAsia="zh-CN"/>
        </w:rPr>
        <w:tab/>
      </w:r>
      <w:r w:rsidRPr="003921B5">
        <w:rPr>
          <w:rFonts w:eastAsia="SimSun"/>
          <w:b/>
          <w:sz w:val="28"/>
          <w:szCs w:val="28"/>
          <w:lang w:eastAsia="zh-CN"/>
        </w:rPr>
        <w:t>Introduction</w:t>
      </w:r>
    </w:p>
    <w:p w14:paraId="5311FF83" w14:textId="77777777" w:rsidR="00877054" w:rsidRPr="003921B5" w:rsidRDefault="00877054" w:rsidP="00877054">
      <w:pPr>
        <w:spacing w:after="120"/>
        <w:ind w:left="1134" w:right="1134"/>
        <w:jc w:val="both"/>
        <w:rPr>
          <w:rFonts w:eastAsia="SimSun"/>
          <w:lang w:eastAsia="zh-CN"/>
        </w:rPr>
      </w:pPr>
      <w:r w:rsidRPr="003921B5">
        <w:rPr>
          <w:rFonts w:eastAsia="SimSun"/>
          <w:lang w:eastAsia="zh-CN"/>
        </w:rPr>
        <w:t>3.</w:t>
      </w:r>
      <w:r w:rsidRPr="003921B5">
        <w:rPr>
          <w:lang w:eastAsia="zh-CN"/>
        </w:rPr>
        <w:tab/>
      </w:r>
      <w:r w:rsidRPr="003921B5">
        <w:rPr>
          <w:rFonts w:eastAsia="SimSun"/>
          <w:lang w:eastAsia="zh-CN"/>
        </w:rPr>
        <w:t>The IWG on EPPR was endorsed by the WP.29 at its November 2012 session (ECE/TRANS/WP.29/1099). The Executive Committee of the 1998 Agreement (AC.3) on its forty-fifth session (10-13 November 2015) adopted ECE/TRANS/WP.29/2015/113 (ECE/TRANS/WP.29/AC.3/36/Rev.1)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The mandate of the EPPR IWG was extended until December 2020.</w:t>
      </w:r>
    </w:p>
    <w:p w14:paraId="7484350E" w14:textId="77777777" w:rsidR="00877054" w:rsidRPr="003921B5" w:rsidRDefault="00877054" w:rsidP="00877054">
      <w:pPr>
        <w:spacing w:after="120"/>
        <w:ind w:left="1134" w:right="1134"/>
        <w:jc w:val="both"/>
        <w:rPr>
          <w:lang w:eastAsia="en-US"/>
        </w:rPr>
      </w:pPr>
      <w:r w:rsidRPr="003921B5">
        <w:rPr>
          <w:lang w:eastAsia="en-US"/>
        </w:rPr>
        <w:t>4.</w:t>
      </w:r>
      <w:r w:rsidRPr="003921B5">
        <w:rPr>
          <w:lang w:eastAsia="en-US"/>
        </w:rPr>
        <w:tab/>
        <w:t xml:space="preserve">The extension to a second working period (until December 2025) was requested by the EPPR IWG to the GRPE by asking for the endorsement of the Terms of Reference and rules of procedure for the informal working group on Environmental and Propulsion Performance Requirements of L-category vehicles (EPPR) (GRPE-81-23-Rev.1). The GRPE endorsed the EPPR IWG </w:t>
      </w:r>
      <w:proofErr w:type="spellStart"/>
      <w:r w:rsidRPr="003921B5">
        <w:rPr>
          <w:lang w:eastAsia="en-US"/>
        </w:rPr>
        <w:t>ToR</w:t>
      </w:r>
      <w:proofErr w:type="spellEnd"/>
      <w:r w:rsidRPr="003921B5">
        <w:rPr>
          <w:lang w:eastAsia="en-US"/>
        </w:rPr>
        <w:t xml:space="preserve"> in its 81st session (ECE/TRANS/WP.29/GRPE/81). </w:t>
      </w:r>
    </w:p>
    <w:p w14:paraId="0EF44C94" w14:textId="77777777" w:rsidR="00877054" w:rsidRPr="003921B5" w:rsidRDefault="00877054" w:rsidP="00877054">
      <w:pPr>
        <w:spacing w:after="120"/>
        <w:ind w:left="1134" w:right="1134"/>
        <w:jc w:val="both"/>
        <w:rPr>
          <w:lang w:eastAsia="en-US"/>
        </w:rPr>
      </w:pPr>
      <w:r w:rsidRPr="003921B5">
        <w:rPr>
          <w:lang w:eastAsia="en-US"/>
        </w:rPr>
        <w:t>5.</w:t>
      </w:r>
      <w:r w:rsidRPr="003921B5">
        <w:rPr>
          <w:lang w:eastAsia="en-US"/>
        </w:rPr>
        <w:tab/>
        <w:t>During the first mandate of the IWG on EPPR, the IWG has successfully completed the following technical regulatory texts (UN GTRs):</w:t>
      </w:r>
    </w:p>
    <w:p w14:paraId="4D2A9239" w14:textId="77777777" w:rsidR="00877054" w:rsidRPr="003921B5" w:rsidRDefault="00877054" w:rsidP="00877054">
      <w:pPr>
        <w:suppressAutoHyphens w:val="0"/>
        <w:spacing w:after="120" w:line="240" w:lineRule="auto"/>
        <w:ind w:left="1134" w:right="1134" w:firstLine="567"/>
        <w:jc w:val="both"/>
        <w:rPr>
          <w:lang w:eastAsia="en-US"/>
        </w:rPr>
      </w:pPr>
      <w:bookmarkStart w:id="2" w:name="_Hlk67922514"/>
      <w:r>
        <w:rPr>
          <w:rFonts w:asciiTheme="majorBidi" w:hAnsiTheme="majorBidi" w:cstheme="majorBidi"/>
          <w:lang w:eastAsia="en-US"/>
        </w:rPr>
        <w:t>(a)</w:t>
      </w:r>
      <w:bookmarkEnd w:id="2"/>
      <w:r w:rsidRPr="003921B5">
        <w:rPr>
          <w:rFonts w:ascii="Symbol" w:hAnsi="Symbol"/>
          <w:lang w:eastAsia="en-US"/>
        </w:rPr>
        <w:tab/>
      </w:r>
      <w:r w:rsidRPr="003921B5">
        <w:rPr>
          <w:lang w:eastAsia="en-US"/>
        </w:rPr>
        <w:t xml:space="preserve">UN GTR No. 17: </w:t>
      </w:r>
      <w:r>
        <w:rPr>
          <w:lang w:eastAsia="en-US"/>
        </w:rPr>
        <w:t>"</w:t>
      </w:r>
      <w:r w:rsidRPr="003921B5">
        <w:rPr>
          <w:lang w:eastAsia="en-US"/>
        </w:rPr>
        <w:t>Global technical regulation on the measurement procedure for two- or three- wheeled motor vehicles equipped with a combustion engine with regard to the crankcase and evaporative emissions</w:t>
      </w:r>
      <w:r>
        <w:rPr>
          <w:lang w:eastAsia="en-US"/>
        </w:rPr>
        <w:t>"</w:t>
      </w:r>
      <w:r w:rsidRPr="003921B5">
        <w:rPr>
          <w:lang w:eastAsia="en-US"/>
        </w:rPr>
        <w:t>. Established in the Global Registry on 17 November 2016</w:t>
      </w:r>
      <w:r>
        <w:rPr>
          <w:lang w:eastAsia="en-US"/>
        </w:rPr>
        <w:t>.</w:t>
      </w:r>
      <w:r w:rsidRPr="003921B5">
        <w:rPr>
          <w:vertAlign w:val="superscript"/>
          <w:lang w:eastAsia="en-US"/>
        </w:rPr>
        <w:footnoteReference w:id="3"/>
      </w:r>
    </w:p>
    <w:p w14:paraId="753860FB" w14:textId="77777777" w:rsidR="00877054" w:rsidRPr="003921B5" w:rsidRDefault="00877054" w:rsidP="00877054">
      <w:pPr>
        <w:suppressAutoHyphens w:val="0"/>
        <w:spacing w:after="120" w:line="240" w:lineRule="auto"/>
        <w:ind w:left="1134" w:right="1134" w:firstLine="567"/>
        <w:jc w:val="both"/>
        <w:rPr>
          <w:lang w:eastAsia="en-US"/>
        </w:rPr>
      </w:pPr>
      <w:r>
        <w:rPr>
          <w:rFonts w:asciiTheme="majorBidi" w:hAnsiTheme="majorBidi" w:cstheme="majorBidi"/>
          <w:lang w:eastAsia="en-US"/>
        </w:rPr>
        <w:t>(b)</w:t>
      </w:r>
      <w:r w:rsidRPr="003921B5">
        <w:rPr>
          <w:rFonts w:ascii="Symbol" w:hAnsi="Symbol"/>
          <w:lang w:eastAsia="en-US"/>
        </w:rPr>
        <w:tab/>
      </w:r>
      <w:r w:rsidRPr="003921B5">
        <w:rPr>
          <w:lang w:eastAsia="en-US"/>
        </w:rPr>
        <w:t xml:space="preserve">UN GTR No. 18: </w:t>
      </w:r>
      <w:r>
        <w:rPr>
          <w:lang w:eastAsia="en-US"/>
        </w:rPr>
        <w:t>"</w:t>
      </w:r>
      <w:r w:rsidRPr="003921B5">
        <w:rPr>
          <w:lang w:eastAsia="en-US"/>
        </w:rPr>
        <w:t>Global technical regulation on the measurement procedure for two- or three- wheeled motor vehicles with regard to on- board diagnostics</w:t>
      </w:r>
      <w:r>
        <w:rPr>
          <w:lang w:eastAsia="en-US"/>
        </w:rPr>
        <w:t>"</w:t>
      </w:r>
      <w:r w:rsidRPr="003921B5">
        <w:rPr>
          <w:lang w:eastAsia="en-US"/>
        </w:rPr>
        <w:t>. Established in the Global Registry on 17 November 2016</w:t>
      </w:r>
      <w:r>
        <w:rPr>
          <w:lang w:eastAsia="en-US"/>
        </w:rPr>
        <w:t>.</w:t>
      </w:r>
      <w:r w:rsidRPr="003921B5">
        <w:rPr>
          <w:vertAlign w:val="superscript"/>
          <w:lang w:eastAsia="en-US"/>
        </w:rPr>
        <w:footnoteReference w:id="4"/>
      </w:r>
    </w:p>
    <w:p w14:paraId="0EED79F1" w14:textId="77777777" w:rsidR="00877054" w:rsidRPr="003921B5" w:rsidRDefault="00877054" w:rsidP="00877054">
      <w:pPr>
        <w:suppressAutoHyphens w:val="0"/>
        <w:spacing w:after="120" w:line="240" w:lineRule="auto"/>
        <w:ind w:left="1134" w:right="1134" w:firstLine="567"/>
        <w:jc w:val="both"/>
        <w:rPr>
          <w:lang w:eastAsia="en-US"/>
        </w:rPr>
      </w:pPr>
      <w:r>
        <w:rPr>
          <w:rFonts w:asciiTheme="majorBidi" w:hAnsiTheme="majorBidi" w:cstheme="majorBidi"/>
          <w:lang w:eastAsia="en-US"/>
        </w:rPr>
        <w:t>(c)</w:t>
      </w:r>
      <w:r w:rsidRPr="003921B5">
        <w:rPr>
          <w:rFonts w:ascii="Symbol" w:hAnsi="Symbol"/>
          <w:lang w:eastAsia="en-US"/>
        </w:rPr>
        <w:tab/>
      </w:r>
      <w:r w:rsidRPr="003921B5">
        <w:rPr>
          <w:lang w:eastAsia="en-US"/>
        </w:rPr>
        <w:t xml:space="preserve">UN GTR No. 2: </w:t>
      </w:r>
      <w:r>
        <w:rPr>
          <w:lang w:eastAsia="en-US"/>
        </w:rPr>
        <w:t>"</w:t>
      </w:r>
      <w:r w:rsidRPr="003921B5">
        <w:rPr>
          <w:lang w:eastAsia="en-US"/>
        </w:rPr>
        <w:t>Global technical regulation on the measurement procedure for two-wheeled motorcycles equipped with a positive or compression ignition engine with regard to the emissions of gaseous pollutants, CO2 emissions and fuel consumption - Amendment 4</w:t>
      </w:r>
      <w:r>
        <w:rPr>
          <w:lang w:eastAsia="en-US"/>
        </w:rPr>
        <w:t>"</w:t>
      </w:r>
      <w:r w:rsidRPr="003921B5">
        <w:rPr>
          <w:lang w:eastAsia="en-US"/>
        </w:rPr>
        <w:t>. Established in the Global Registry on 13 November 2019</w:t>
      </w:r>
      <w:r>
        <w:rPr>
          <w:lang w:eastAsia="en-US"/>
        </w:rPr>
        <w:t xml:space="preserve"> </w:t>
      </w:r>
      <w:r w:rsidRPr="00115773">
        <w:rPr>
          <w:rStyle w:val="FootnoteReference"/>
        </w:rPr>
        <w:footnoteReference w:id="5"/>
      </w:r>
    </w:p>
    <w:p w14:paraId="476BD6A9" w14:textId="77777777" w:rsidR="00877054" w:rsidRPr="003921B5" w:rsidRDefault="00877054" w:rsidP="00877054">
      <w:pPr>
        <w:suppressAutoHyphens w:val="0"/>
        <w:spacing w:after="120" w:line="240" w:lineRule="auto"/>
        <w:ind w:left="1134" w:right="1134" w:firstLine="567"/>
        <w:jc w:val="both"/>
        <w:rPr>
          <w:lang w:eastAsia="en-US"/>
        </w:rPr>
      </w:pPr>
      <w:r>
        <w:rPr>
          <w:rFonts w:asciiTheme="majorBidi" w:hAnsiTheme="majorBidi" w:cstheme="majorBidi"/>
          <w:lang w:eastAsia="en-US"/>
        </w:rPr>
        <w:t>(d)</w:t>
      </w:r>
      <w:r w:rsidRPr="003921B5">
        <w:rPr>
          <w:rFonts w:ascii="Symbol" w:hAnsi="Symbol"/>
          <w:lang w:eastAsia="en-US"/>
        </w:rPr>
        <w:tab/>
      </w:r>
      <w:r w:rsidRPr="003921B5">
        <w:rPr>
          <w:lang w:eastAsia="en-US"/>
        </w:rPr>
        <w:t xml:space="preserve">Amendment 1 to UN GTR No. 18: </w:t>
      </w:r>
      <w:r>
        <w:rPr>
          <w:lang w:eastAsia="en-US"/>
        </w:rPr>
        <w:t>"</w:t>
      </w:r>
      <w:r w:rsidRPr="003921B5">
        <w:rPr>
          <w:lang w:eastAsia="en-US"/>
        </w:rPr>
        <w:t>Global technical regulation on the measurement procedure for two- or three-wheeled motor vehicles with regard to on-board diagnostics</w:t>
      </w:r>
      <w:r>
        <w:rPr>
          <w:lang w:eastAsia="en-US"/>
        </w:rPr>
        <w:t>"</w:t>
      </w:r>
      <w:r w:rsidRPr="003921B5">
        <w:rPr>
          <w:lang w:eastAsia="en-US"/>
        </w:rPr>
        <w:t>. Introduction of OBD II</w:t>
      </w:r>
      <w:r w:rsidRPr="003921B5">
        <w:rPr>
          <w:vertAlign w:val="superscript"/>
          <w:lang w:eastAsia="en-US"/>
        </w:rPr>
        <w:footnoteReference w:id="6"/>
      </w:r>
      <w:r w:rsidRPr="003921B5">
        <w:rPr>
          <w:lang w:eastAsia="en-US"/>
        </w:rPr>
        <w:t xml:space="preserve">. It was adopted by WP.29 in its 182nd session (November 2020). </w:t>
      </w:r>
    </w:p>
    <w:p w14:paraId="0F16EF82" w14:textId="77777777" w:rsidR="00877054" w:rsidRPr="003921B5" w:rsidRDefault="00877054" w:rsidP="00877054">
      <w:pPr>
        <w:spacing w:before="120" w:after="120"/>
        <w:ind w:left="1134" w:right="1134"/>
        <w:jc w:val="both"/>
        <w:rPr>
          <w:lang w:eastAsia="en-US"/>
        </w:rPr>
      </w:pPr>
      <w:r w:rsidRPr="003921B5">
        <w:rPr>
          <w:lang w:eastAsia="en-US"/>
        </w:rPr>
        <w:lastRenderedPageBreak/>
        <w:t>6.</w:t>
      </w:r>
      <w:r w:rsidRPr="003921B5">
        <w:rPr>
          <w:lang w:eastAsia="en-US"/>
        </w:rPr>
        <w:tab/>
        <w:t>During the first mandate of the IWG on EPPR, the IWG also started to work on a new UN GTR on Durability testing of pollution control devices for two- and three- wheeled motor vehicles.</w:t>
      </w:r>
    </w:p>
    <w:p w14:paraId="7DEF0718" w14:textId="77777777" w:rsidR="00877054" w:rsidRPr="003921B5" w:rsidRDefault="00877054" w:rsidP="00877054">
      <w:pPr>
        <w:keepNext/>
        <w:keepLines/>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III.</w:t>
      </w:r>
      <w:r w:rsidRPr="003921B5">
        <w:rPr>
          <w:b/>
          <w:sz w:val="28"/>
          <w:szCs w:val="28"/>
          <w:lang w:eastAsia="zh-CN"/>
        </w:rPr>
        <w:tab/>
      </w:r>
      <w:r w:rsidRPr="003921B5">
        <w:rPr>
          <w:rFonts w:eastAsia="SimSun"/>
          <w:b/>
          <w:sz w:val="28"/>
          <w:szCs w:val="28"/>
          <w:lang w:eastAsia="zh-CN"/>
        </w:rPr>
        <w:t>Areas of work</w:t>
      </w:r>
    </w:p>
    <w:p w14:paraId="55F01EC0" w14:textId="77777777" w:rsidR="00877054" w:rsidRPr="003921B5" w:rsidRDefault="00877054" w:rsidP="00877054">
      <w:pPr>
        <w:spacing w:after="120"/>
        <w:ind w:left="1134" w:right="1134"/>
        <w:jc w:val="both"/>
        <w:rPr>
          <w:rFonts w:eastAsia="SimSun"/>
          <w:lang w:eastAsia="zh-CN"/>
        </w:rPr>
      </w:pPr>
      <w:r w:rsidRPr="003921B5">
        <w:rPr>
          <w:rFonts w:eastAsia="SimSun"/>
          <w:lang w:eastAsia="zh-CN"/>
        </w:rPr>
        <w:t>7.</w:t>
      </w:r>
      <w:r w:rsidRPr="003921B5">
        <w:rPr>
          <w:rFonts w:eastAsia="SimSun"/>
          <w:lang w:eastAsia="zh-CN"/>
        </w:rPr>
        <w:tab/>
        <w:t xml:space="preserve">The EPPR IWG seeks from AC.3 the authorization to develop a new UN GTR on </w:t>
      </w:r>
      <w:r w:rsidRPr="003921B5">
        <w:rPr>
          <w:rFonts w:eastAsia="SimSun"/>
          <w:i/>
          <w:lang w:eastAsia="zh-CN"/>
        </w:rPr>
        <w:t>durability of after treatment devices for two- and three- wheeled motor vehicles</w:t>
      </w:r>
      <w:r w:rsidRPr="003921B5">
        <w:rPr>
          <w:rFonts w:eastAsia="SimSun"/>
          <w:lang w:eastAsia="zh-CN"/>
        </w:rPr>
        <w:t>. The IWG will use the initial work performed under the IWG first mandate.</w:t>
      </w:r>
    </w:p>
    <w:p w14:paraId="77D88F7A" w14:textId="77777777" w:rsidR="00877054" w:rsidRPr="003921B5" w:rsidRDefault="00877054" w:rsidP="00877054">
      <w:pPr>
        <w:spacing w:after="120"/>
        <w:ind w:left="1134" w:right="1134"/>
        <w:jc w:val="both"/>
        <w:rPr>
          <w:rFonts w:eastAsia="SimSun"/>
          <w:lang w:eastAsia="zh-CN"/>
        </w:rPr>
      </w:pPr>
      <w:r w:rsidRPr="003921B5">
        <w:rPr>
          <w:rFonts w:eastAsia="SimSun"/>
          <w:lang w:eastAsia="zh-CN"/>
        </w:rPr>
        <w:t>8.</w:t>
      </w:r>
      <w:r w:rsidRPr="003921B5">
        <w:rPr>
          <w:rFonts w:eastAsia="SimSun"/>
          <w:lang w:eastAsia="zh-CN"/>
        </w:rPr>
        <w:tab/>
        <w:t>The group shall focus its work in the following areas:</w:t>
      </w:r>
    </w:p>
    <w:p w14:paraId="4A053275" w14:textId="77777777" w:rsidR="00877054" w:rsidRPr="003921B5" w:rsidRDefault="00877054" w:rsidP="00877054">
      <w:pPr>
        <w:spacing w:after="120"/>
        <w:ind w:left="1134" w:right="1134" w:firstLine="567"/>
        <w:jc w:val="both"/>
        <w:rPr>
          <w:rFonts w:eastAsia="SimSun"/>
          <w:lang w:eastAsia="zh-CN"/>
        </w:rPr>
      </w:pPr>
      <w:r w:rsidRPr="003921B5">
        <w:rPr>
          <w:rFonts w:eastAsia="SimSun"/>
          <w:lang w:eastAsia="zh-CN"/>
        </w:rPr>
        <w:t>(a)</w:t>
      </w:r>
      <w:r w:rsidRPr="003921B5">
        <w:rPr>
          <w:rFonts w:eastAsia="SimSun"/>
          <w:lang w:eastAsia="zh-CN"/>
        </w:rPr>
        <w:tab/>
        <w:t>Create a first consolidated draft of the UN GTR on durability based upon the European</w:t>
      </w:r>
      <w:r>
        <w:rPr>
          <w:rFonts w:eastAsia="SimSun"/>
          <w:lang w:eastAsia="zh-CN"/>
        </w:rPr>
        <w:t xml:space="preserve"> Union</w:t>
      </w:r>
      <w:r w:rsidRPr="003921B5">
        <w:rPr>
          <w:rFonts w:eastAsia="SimSun"/>
          <w:lang w:eastAsia="zh-CN"/>
        </w:rPr>
        <w:t xml:space="preserve"> Regulation (see below) and incorporating those clauses from other existing regulation to obtain a highly harmonised technical regulation.</w:t>
      </w:r>
    </w:p>
    <w:p w14:paraId="446D8526" w14:textId="77777777" w:rsidR="00877054" w:rsidRPr="003921B5" w:rsidRDefault="00877054" w:rsidP="00877054">
      <w:pPr>
        <w:spacing w:after="120"/>
        <w:ind w:left="1134" w:right="1134" w:firstLine="567"/>
        <w:jc w:val="both"/>
        <w:rPr>
          <w:rFonts w:eastAsia="SimSun"/>
          <w:lang w:eastAsia="zh-CN"/>
        </w:rPr>
      </w:pPr>
      <w:r w:rsidRPr="003921B5">
        <w:rPr>
          <w:rFonts w:eastAsia="SimSun"/>
          <w:lang w:eastAsia="zh-CN"/>
        </w:rPr>
        <w:t>(b)</w:t>
      </w:r>
      <w:r w:rsidRPr="003921B5">
        <w:rPr>
          <w:rFonts w:eastAsia="SimSun"/>
          <w:lang w:eastAsia="zh-CN"/>
        </w:rPr>
        <w:tab/>
        <w:t>The consolidated draft will be reviewed with the following objectives:</w:t>
      </w:r>
    </w:p>
    <w:p w14:paraId="3899EA0F" w14:textId="77777777" w:rsidR="00877054" w:rsidRPr="003921B5" w:rsidRDefault="00877054" w:rsidP="00877054">
      <w:pPr>
        <w:spacing w:after="120"/>
        <w:ind w:left="1701" w:right="1134"/>
        <w:jc w:val="both"/>
        <w:rPr>
          <w:rFonts w:eastAsia="SimSun"/>
          <w:lang w:eastAsia="zh-CN"/>
        </w:rPr>
      </w:pPr>
      <w:r w:rsidRPr="003921B5">
        <w:rPr>
          <w:rFonts w:eastAsia="SimSun"/>
          <w:lang w:eastAsia="zh-CN"/>
        </w:rPr>
        <w:t>(</w:t>
      </w:r>
      <w:proofErr w:type="spellStart"/>
      <w:r w:rsidRPr="003921B5">
        <w:rPr>
          <w:rFonts w:eastAsia="SimSun"/>
          <w:lang w:eastAsia="zh-CN"/>
        </w:rPr>
        <w:t>i</w:t>
      </w:r>
      <w:proofErr w:type="spellEnd"/>
      <w:r w:rsidRPr="003921B5">
        <w:rPr>
          <w:rFonts w:eastAsia="SimSun"/>
          <w:lang w:eastAsia="zh-CN"/>
        </w:rPr>
        <w:t>)</w:t>
      </w:r>
      <w:r w:rsidRPr="003921B5">
        <w:rPr>
          <w:rFonts w:eastAsia="SimSun"/>
          <w:lang w:eastAsia="zh-CN"/>
        </w:rPr>
        <w:tab/>
        <w:t xml:space="preserve">Identify areas for further technical improvements; </w:t>
      </w:r>
    </w:p>
    <w:p w14:paraId="03B50078" w14:textId="77777777" w:rsidR="00877054" w:rsidRPr="003921B5" w:rsidRDefault="00877054" w:rsidP="00877054">
      <w:pPr>
        <w:spacing w:after="120"/>
        <w:ind w:left="1701" w:right="1134"/>
        <w:jc w:val="both"/>
        <w:rPr>
          <w:rFonts w:eastAsia="SimSun"/>
          <w:lang w:eastAsia="zh-CN"/>
        </w:rPr>
      </w:pPr>
      <w:r w:rsidRPr="003921B5">
        <w:rPr>
          <w:rFonts w:eastAsia="SimSun"/>
          <w:lang w:eastAsia="zh-CN"/>
        </w:rPr>
        <w:t>(ii)</w:t>
      </w:r>
      <w:r w:rsidRPr="003921B5">
        <w:rPr>
          <w:rFonts w:eastAsia="SimSun"/>
          <w:lang w:eastAsia="zh-CN"/>
        </w:rPr>
        <w:tab/>
        <w:t xml:space="preserve">Study the areas that need to be reviewed </w:t>
      </w:r>
      <w:proofErr w:type="gramStart"/>
      <w:r w:rsidRPr="003921B5">
        <w:rPr>
          <w:rFonts w:eastAsia="SimSun"/>
          <w:lang w:eastAsia="zh-CN"/>
        </w:rPr>
        <w:t>in order to</w:t>
      </w:r>
      <w:proofErr w:type="gramEnd"/>
      <w:r w:rsidRPr="003921B5">
        <w:rPr>
          <w:rFonts w:eastAsia="SimSun"/>
          <w:lang w:eastAsia="zh-CN"/>
        </w:rPr>
        <w:t xml:space="preserve"> adapt them to reflect regional needs. </w:t>
      </w:r>
    </w:p>
    <w:p w14:paraId="51DFA5DA" w14:textId="77777777" w:rsidR="00877054" w:rsidRPr="003921B5" w:rsidRDefault="00877054" w:rsidP="00877054">
      <w:pPr>
        <w:spacing w:after="120"/>
        <w:ind w:left="1134" w:right="1134" w:firstLine="567"/>
        <w:jc w:val="both"/>
        <w:rPr>
          <w:rFonts w:eastAsia="SimSun"/>
          <w:lang w:eastAsia="zh-CN"/>
        </w:rPr>
      </w:pPr>
      <w:r w:rsidRPr="003921B5">
        <w:rPr>
          <w:rFonts w:eastAsia="SimSun"/>
          <w:lang w:eastAsia="zh-CN"/>
        </w:rPr>
        <w:t>(c)</w:t>
      </w:r>
      <w:r w:rsidRPr="003921B5">
        <w:rPr>
          <w:rFonts w:eastAsia="SimSun"/>
          <w:lang w:eastAsia="zh-CN"/>
        </w:rPr>
        <w:tab/>
        <w:t>Finalising the draft and subsequently to present it for endorsement to the GRPE.</w:t>
      </w:r>
    </w:p>
    <w:p w14:paraId="0BEA871F" w14:textId="02B80099" w:rsidR="00877054" w:rsidRPr="00F53741" w:rsidRDefault="00877054" w:rsidP="00877054">
      <w:pPr>
        <w:spacing w:after="120"/>
        <w:ind w:left="1134" w:right="1134"/>
        <w:jc w:val="both"/>
        <w:rPr>
          <w:rStyle w:val="SingleTxtGChar"/>
          <w:rFonts w:eastAsia="SimSun"/>
        </w:rPr>
      </w:pPr>
      <w:r w:rsidRPr="003921B5">
        <w:rPr>
          <w:lang w:eastAsia="en-US"/>
        </w:rPr>
        <w:t>9.</w:t>
      </w:r>
      <w:r w:rsidRPr="003921B5">
        <w:rPr>
          <w:lang w:eastAsia="en-US"/>
        </w:rPr>
        <w:tab/>
        <w:t xml:space="preserve">The EPPR IWG will keep </w:t>
      </w:r>
      <w:r w:rsidR="00917825">
        <w:rPr>
          <w:lang w:eastAsia="en-US"/>
        </w:rPr>
        <w:t xml:space="preserve">GRPE </w:t>
      </w:r>
      <w:r w:rsidRPr="003921B5">
        <w:rPr>
          <w:lang w:eastAsia="en-US"/>
        </w:rPr>
        <w:t xml:space="preserve">informed on the status of the development of the new </w:t>
      </w:r>
      <w:r w:rsidR="00C356CC">
        <w:rPr>
          <w:lang w:eastAsia="en-US"/>
        </w:rPr>
        <w:t xml:space="preserve">UN </w:t>
      </w:r>
      <w:r w:rsidRPr="003921B5">
        <w:rPr>
          <w:lang w:eastAsia="en-US"/>
        </w:rPr>
        <w:t>GTR, by periodical reports to GRPE.</w:t>
      </w:r>
    </w:p>
    <w:p w14:paraId="3F4E6B75" w14:textId="77777777" w:rsidR="00877054" w:rsidRPr="003921B5" w:rsidRDefault="00877054" w:rsidP="00877054">
      <w:pPr>
        <w:spacing w:before="360" w:after="240"/>
        <w:ind w:right="1134" w:firstLine="567"/>
        <w:jc w:val="both"/>
        <w:rPr>
          <w:rFonts w:eastAsia="SimSun"/>
          <w:b/>
          <w:sz w:val="28"/>
          <w:szCs w:val="28"/>
          <w:lang w:eastAsia="zh-CN"/>
        </w:rPr>
      </w:pPr>
      <w:r w:rsidRPr="003921B5">
        <w:rPr>
          <w:rFonts w:eastAsia="SimSun"/>
          <w:b/>
          <w:sz w:val="28"/>
          <w:szCs w:val="28"/>
          <w:lang w:eastAsia="zh-CN"/>
        </w:rPr>
        <w:t>IV.</w:t>
      </w:r>
      <w:r w:rsidRPr="003921B5">
        <w:rPr>
          <w:b/>
          <w:sz w:val="28"/>
          <w:szCs w:val="28"/>
          <w:lang w:eastAsia="zh-CN"/>
        </w:rPr>
        <w:tab/>
      </w:r>
      <w:r w:rsidRPr="003921B5">
        <w:rPr>
          <w:rFonts w:eastAsia="SimSun"/>
          <w:b/>
          <w:sz w:val="28"/>
          <w:szCs w:val="28"/>
          <w:lang w:eastAsia="zh-CN"/>
        </w:rPr>
        <w:t>Existing regulations</w:t>
      </w:r>
    </w:p>
    <w:p w14:paraId="3E7D2E03" w14:textId="77777777" w:rsidR="00877054" w:rsidRPr="003921B5" w:rsidRDefault="00877054" w:rsidP="00877054">
      <w:pPr>
        <w:spacing w:before="100" w:beforeAutospacing="1" w:after="240"/>
        <w:ind w:left="1134" w:right="1134"/>
        <w:jc w:val="both"/>
        <w:rPr>
          <w:lang w:eastAsia="en-US"/>
        </w:rPr>
      </w:pPr>
      <w:r w:rsidRPr="003921B5">
        <w:rPr>
          <w:lang w:eastAsia="en-US"/>
        </w:rPr>
        <w:t>10.</w:t>
      </w:r>
      <w:r w:rsidRPr="003921B5">
        <w:rPr>
          <w:lang w:eastAsia="en-US"/>
        </w:rPr>
        <w:tab/>
        <w:t xml:space="preserve">The durability of after treatment devices for two- and three- wheeled motor vehicles </w:t>
      </w:r>
      <w:proofErr w:type="gramStart"/>
      <w:r w:rsidRPr="003921B5">
        <w:rPr>
          <w:lang w:eastAsia="en-US"/>
        </w:rPr>
        <w:t>is</w:t>
      </w:r>
      <w:proofErr w:type="gramEnd"/>
      <w:r w:rsidRPr="003921B5">
        <w:rPr>
          <w:lang w:eastAsia="en-US"/>
        </w:rPr>
        <w:t xml:space="preserve"> not currently regulated by any UN GTR or UN Regulation. It is known that the ability of components and systems to last is key to minimise the impact on the environment. Therefore, it is necessary to set up harmonised provisions for verifying that the durability requirements are met.</w:t>
      </w:r>
    </w:p>
    <w:p w14:paraId="635B0001" w14:textId="77777777" w:rsidR="00877054" w:rsidRPr="003921B5" w:rsidRDefault="00877054" w:rsidP="00877054">
      <w:pPr>
        <w:spacing w:after="120"/>
        <w:ind w:left="1134" w:right="1134"/>
        <w:jc w:val="both"/>
        <w:rPr>
          <w:lang w:eastAsia="en-US"/>
        </w:rPr>
      </w:pPr>
      <w:r w:rsidRPr="003921B5">
        <w:rPr>
          <w:lang w:eastAsia="en-US"/>
        </w:rPr>
        <w:t>11.</w:t>
      </w:r>
      <w:r w:rsidRPr="003921B5">
        <w:rPr>
          <w:lang w:eastAsia="en-US"/>
        </w:rPr>
        <w:tab/>
        <w:t>European Union regulations on environmental performance of two- or three-wheel vehicles and quadricycles (Reg. (EU) No. 168/2013 and its supplementing regulations</w:t>
      </w:r>
      <w:r w:rsidRPr="00A502AE">
        <w:rPr>
          <w:rStyle w:val="FootnoteReference"/>
        </w:rPr>
        <w:footnoteReference w:id="7"/>
      </w:r>
      <w:r w:rsidRPr="00A502AE">
        <w:rPr>
          <w:rStyle w:val="FootnoteReference"/>
        </w:rPr>
        <w:t>,</w:t>
      </w:r>
      <w:r w:rsidRPr="003921B5">
        <w:rPr>
          <w:lang w:eastAsia="en-US"/>
        </w:rPr>
        <w:t xml:space="preserve"> the so-called Euro 5) provide test procedures and requirements for the durability of after treatment devices. </w:t>
      </w:r>
    </w:p>
    <w:p w14:paraId="351C1B2D" w14:textId="77777777" w:rsidR="00877054" w:rsidRPr="003921B5" w:rsidRDefault="00877054" w:rsidP="00877054">
      <w:pPr>
        <w:tabs>
          <w:tab w:val="right" w:pos="851"/>
        </w:tabs>
        <w:spacing w:after="120" w:line="270" w:lineRule="exact"/>
        <w:ind w:left="1134" w:right="1134"/>
        <w:jc w:val="both"/>
        <w:rPr>
          <w:lang w:eastAsia="en-US"/>
        </w:rPr>
      </w:pPr>
      <w:r w:rsidRPr="003921B5">
        <w:rPr>
          <w:lang w:eastAsia="en-US"/>
        </w:rPr>
        <w:t>12.</w:t>
      </w:r>
      <w:r w:rsidRPr="003921B5">
        <w:rPr>
          <w:lang w:eastAsia="en-US"/>
        </w:rPr>
        <w:tab/>
        <w:t xml:space="preserve">Japan addresses durability regulation in its </w:t>
      </w:r>
      <w:r>
        <w:rPr>
          <w:lang w:eastAsia="en-US"/>
        </w:rPr>
        <w:t>"</w:t>
      </w:r>
      <w:r w:rsidRPr="003921B5">
        <w:rPr>
          <w:lang w:eastAsia="en-US"/>
        </w:rPr>
        <w:t>Enforcement procedure for motor vehicle type certification, Additional rule7: Durability driving enforcement procedure</w:t>
      </w:r>
      <w:r>
        <w:rPr>
          <w:lang w:eastAsia="en-US"/>
        </w:rPr>
        <w:t>"</w:t>
      </w:r>
      <w:r w:rsidRPr="003921B5">
        <w:rPr>
          <w:lang w:eastAsia="en-US"/>
        </w:rPr>
        <w:t>.</w:t>
      </w:r>
    </w:p>
    <w:p w14:paraId="124B6E02" w14:textId="77777777" w:rsidR="00877054" w:rsidRPr="003921B5" w:rsidRDefault="00877054" w:rsidP="00877054">
      <w:pPr>
        <w:keepNext/>
        <w:keepLines/>
        <w:tabs>
          <w:tab w:val="right" w:pos="851"/>
        </w:tabs>
        <w:spacing w:after="120" w:line="270" w:lineRule="exact"/>
        <w:ind w:left="1134" w:right="1134"/>
        <w:jc w:val="both"/>
        <w:rPr>
          <w:lang w:eastAsia="en-US"/>
        </w:rPr>
      </w:pPr>
      <w:r w:rsidRPr="003921B5">
        <w:rPr>
          <w:lang w:eastAsia="en-US"/>
        </w:rPr>
        <w:lastRenderedPageBreak/>
        <w:t>13.</w:t>
      </w:r>
      <w:r w:rsidRPr="003921B5">
        <w:rPr>
          <w:lang w:eastAsia="en-US"/>
        </w:rPr>
        <w:tab/>
        <w:t>The United States Environmental Protection Agency addresses durability on its regulations for On Highway Motorcycles and deterioration factor determination with real world drive and emission tests</w:t>
      </w:r>
      <w:r w:rsidRPr="003921B5">
        <w:rPr>
          <w:vertAlign w:val="superscript"/>
          <w:lang w:eastAsia="en-US"/>
        </w:rPr>
        <w:footnoteReference w:id="8"/>
      </w:r>
      <w:r w:rsidRPr="003921B5">
        <w:rPr>
          <w:lang w:eastAsia="en-US"/>
        </w:rPr>
        <w:t>. It also considers durability in the case of light duty vehicles</w:t>
      </w:r>
      <w:r w:rsidRPr="00A502AE">
        <w:rPr>
          <w:rStyle w:val="FootnoteReference"/>
        </w:rPr>
        <w:footnoteReference w:id="9"/>
      </w:r>
      <w:r w:rsidRPr="003921B5">
        <w:rPr>
          <w:lang w:eastAsia="en-US"/>
        </w:rPr>
        <w:t xml:space="preserve"> </w:t>
      </w:r>
    </w:p>
    <w:p w14:paraId="72C80257" w14:textId="77777777" w:rsidR="00877054" w:rsidRPr="003921B5" w:rsidRDefault="00877054" w:rsidP="00877054">
      <w:pPr>
        <w:keepNext/>
        <w:keepLines/>
        <w:tabs>
          <w:tab w:val="right" w:pos="851"/>
        </w:tabs>
        <w:spacing w:after="120" w:line="270" w:lineRule="exact"/>
        <w:ind w:left="1134" w:right="1134"/>
        <w:jc w:val="both"/>
        <w:rPr>
          <w:lang w:eastAsia="en-US"/>
        </w:rPr>
      </w:pPr>
      <w:r w:rsidRPr="003921B5">
        <w:rPr>
          <w:lang w:eastAsia="en-US"/>
        </w:rPr>
        <w:t>14.</w:t>
      </w:r>
      <w:r w:rsidRPr="003921B5">
        <w:rPr>
          <w:lang w:eastAsia="en-US"/>
        </w:rPr>
        <w:tab/>
        <w:t>The People’s Republic of China standards include Type V durability test addressing separately motorcycles and mopeds</w:t>
      </w:r>
      <w:r w:rsidRPr="003921B5">
        <w:rPr>
          <w:vertAlign w:val="superscript"/>
          <w:lang w:eastAsia="en-US"/>
        </w:rPr>
        <w:footnoteReference w:id="10"/>
      </w:r>
      <w:r w:rsidRPr="003921B5">
        <w:rPr>
          <w:lang w:eastAsia="en-US"/>
        </w:rPr>
        <w:t>.</w:t>
      </w:r>
    </w:p>
    <w:p w14:paraId="7E0EA59C" w14:textId="77777777" w:rsidR="00877054" w:rsidRPr="003921B5" w:rsidRDefault="00877054" w:rsidP="00877054">
      <w:pPr>
        <w:keepNext/>
        <w:keepLines/>
        <w:tabs>
          <w:tab w:val="right" w:pos="851"/>
        </w:tabs>
        <w:spacing w:after="120" w:line="270" w:lineRule="exact"/>
        <w:ind w:left="1134" w:right="1134"/>
        <w:jc w:val="both"/>
        <w:rPr>
          <w:lang w:eastAsia="en-US"/>
        </w:rPr>
      </w:pPr>
      <w:r w:rsidRPr="003921B5">
        <w:rPr>
          <w:lang w:eastAsia="en-US"/>
        </w:rPr>
        <w:t>15.</w:t>
      </w:r>
      <w:r w:rsidRPr="003921B5">
        <w:rPr>
          <w:lang w:eastAsia="en-US"/>
        </w:rPr>
        <w:tab/>
        <w:t>The California Air Resources Board regulations on durability are contained in California Code of Regulations Title 13 Section 1958(c).</w:t>
      </w:r>
    </w:p>
    <w:p w14:paraId="12F441FE" w14:textId="77777777" w:rsidR="00877054" w:rsidRPr="003921B5" w:rsidRDefault="00877054" w:rsidP="00877054">
      <w:pPr>
        <w:keepNext/>
        <w:keepLines/>
        <w:tabs>
          <w:tab w:val="right" w:pos="851"/>
        </w:tabs>
        <w:spacing w:after="120" w:line="270" w:lineRule="exact"/>
        <w:ind w:left="1134" w:right="1134"/>
        <w:jc w:val="both"/>
        <w:rPr>
          <w:lang w:eastAsia="en-US"/>
        </w:rPr>
      </w:pPr>
      <w:r w:rsidRPr="003921B5">
        <w:rPr>
          <w:lang w:eastAsia="en-US"/>
        </w:rPr>
        <w:t>16.</w:t>
      </w:r>
      <w:r w:rsidRPr="003921B5">
        <w:rPr>
          <w:lang w:eastAsia="en-US"/>
        </w:rPr>
        <w:tab/>
        <w:t>In the development of the UN GTR, the EPPR IWG will take into consideration the existing regulations to reach harmonized provisions for test procedures and requirements.</w:t>
      </w:r>
    </w:p>
    <w:p w14:paraId="3F946B8A" w14:textId="77777777" w:rsidR="00877054" w:rsidRPr="003921B5" w:rsidRDefault="00877054" w:rsidP="00877054">
      <w:pPr>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V.</w:t>
      </w:r>
      <w:r w:rsidRPr="003921B5">
        <w:rPr>
          <w:b/>
          <w:sz w:val="28"/>
          <w:szCs w:val="28"/>
          <w:lang w:eastAsia="zh-CN"/>
        </w:rPr>
        <w:tab/>
      </w:r>
      <w:r w:rsidRPr="003921B5">
        <w:rPr>
          <w:b/>
          <w:sz w:val="28"/>
          <w:szCs w:val="28"/>
          <w:lang w:eastAsia="zh-CN"/>
        </w:rPr>
        <w:tab/>
      </w:r>
      <w:r w:rsidRPr="003921B5">
        <w:rPr>
          <w:rFonts w:eastAsia="SimSun"/>
          <w:b/>
          <w:sz w:val="28"/>
          <w:szCs w:val="28"/>
          <w:lang w:eastAsia="zh-CN"/>
        </w:rPr>
        <w:t>Timeline</w:t>
      </w:r>
    </w:p>
    <w:p w14:paraId="3BEE64CD" w14:textId="77777777" w:rsidR="00877054" w:rsidRPr="003921B5" w:rsidRDefault="00877054" w:rsidP="00877054">
      <w:pPr>
        <w:spacing w:after="120"/>
        <w:ind w:left="1134" w:right="1134"/>
        <w:jc w:val="both"/>
        <w:rPr>
          <w:rFonts w:eastAsia="SimSun"/>
          <w:lang w:eastAsia="zh-CN"/>
        </w:rPr>
      </w:pPr>
      <w:r w:rsidRPr="003921B5">
        <w:rPr>
          <w:rFonts w:eastAsia="SimSun"/>
          <w:lang w:eastAsia="zh-CN"/>
        </w:rPr>
        <w:t>17.</w:t>
      </w:r>
      <w:r w:rsidRPr="003921B5">
        <w:rPr>
          <w:lang w:eastAsia="zh-CN"/>
        </w:rPr>
        <w:tab/>
      </w:r>
      <w:r w:rsidRPr="003921B5">
        <w:rPr>
          <w:rFonts w:eastAsia="SimSun"/>
          <w:lang w:eastAsia="zh-CN"/>
        </w:rPr>
        <w:t>The timelines proposed below for the new mandate are target timelines. The plan will be regularly reviewed and updated to reflect progress and feasibility of the timeline.</w:t>
      </w:r>
    </w:p>
    <w:p w14:paraId="439DD3E1"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(a)</w:t>
      </w:r>
      <w:r w:rsidRPr="003921B5">
        <w:rPr>
          <w:lang w:eastAsia="en-US"/>
        </w:rPr>
        <w:tab/>
        <w:t xml:space="preserve">January 2021: EPPR IWG presents timeline and framework for mandate request in GRPE; </w:t>
      </w:r>
    </w:p>
    <w:p w14:paraId="18D63C8D"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(b)</w:t>
      </w:r>
      <w:r w:rsidRPr="003921B5">
        <w:rPr>
          <w:lang w:eastAsia="en-US"/>
        </w:rPr>
        <w:tab/>
        <w:t>June 2021: Request for authorization submitted to AC.3;</w:t>
      </w:r>
    </w:p>
    <w:p w14:paraId="6DDDB095"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(c)</w:t>
      </w:r>
      <w:r w:rsidRPr="003921B5">
        <w:rPr>
          <w:lang w:eastAsia="en-US"/>
        </w:rPr>
        <w:tab/>
        <w:t>January 2021 – June 2021: EPPR IWG continues formulating and drafting UN GTR with elements agreed upon;</w:t>
      </w:r>
    </w:p>
    <w:p w14:paraId="6CCC2948"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(d)</w:t>
      </w:r>
      <w:r w:rsidRPr="003921B5">
        <w:rPr>
          <w:lang w:eastAsia="en-US"/>
        </w:rPr>
        <w:tab/>
        <w:t>June 2021: EPPR IWG provides an update to the June 2021 meeting of GRPE with a first draft (informal document) of the UN GTR for further discussion and recommendations;</w:t>
      </w:r>
    </w:p>
    <w:p w14:paraId="6F589162"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(e)</w:t>
      </w:r>
      <w:r w:rsidRPr="003921B5">
        <w:rPr>
          <w:lang w:eastAsia="en-US"/>
        </w:rPr>
        <w:tab/>
        <w:t>June 2021 – October 2021: EPPR IWG conclude the GTR and prepares a formal (working) document of the GTR to be submitted to the GRPE;</w:t>
      </w:r>
    </w:p>
    <w:p w14:paraId="33CE61E6" w14:textId="77777777" w:rsidR="00877054" w:rsidRPr="003921B5" w:rsidRDefault="00877054" w:rsidP="00877054">
      <w:pPr>
        <w:keepNext/>
        <w:keepLines/>
        <w:suppressAutoHyphens w:val="0"/>
        <w:spacing w:after="120" w:line="240" w:lineRule="auto"/>
        <w:ind w:left="1134" w:right="1134" w:firstLine="567"/>
        <w:jc w:val="both"/>
        <w:rPr>
          <w:lang w:eastAsia="en-US"/>
        </w:rPr>
      </w:pPr>
      <w:r w:rsidRPr="003921B5">
        <w:rPr>
          <w:lang w:eastAsia="en-US"/>
        </w:rPr>
        <w:t>(f)</w:t>
      </w:r>
      <w:r w:rsidRPr="003921B5">
        <w:rPr>
          <w:lang w:eastAsia="en-US"/>
        </w:rPr>
        <w:tab/>
        <w:t>January 2022: EPPR IWG presents the UN GTR to GRPE and ask for endorsement for consideration by WP.29 and AC.3.</w:t>
      </w:r>
    </w:p>
    <w:p w14:paraId="0F8E93CB" w14:textId="77777777" w:rsidR="00877054" w:rsidRPr="003921B5" w:rsidRDefault="00877054" w:rsidP="00877054">
      <w:pPr>
        <w:spacing w:before="240"/>
        <w:jc w:val="center"/>
        <w:rPr>
          <w:u w:val="single"/>
        </w:rPr>
      </w:pPr>
      <w:r>
        <w:rPr>
          <w:u w:val="single"/>
        </w:rPr>
        <w:tab/>
      </w:r>
      <w:r>
        <w:rPr>
          <w:u w:val="single"/>
        </w:rPr>
        <w:tab/>
      </w:r>
      <w:r>
        <w:rPr>
          <w:u w:val="single"/>
        </w:rPr>
        <w:tab/>
      </w:r>
    </w:p>
    <w:sectPr w:rsidR="00877054" w:rsidRPr="003921B5" w:rsidSect="0096207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9D28" w14:textId="77777777" w:rsidR="00F6553B" w:rsidRDefault="00F6553B"/>
  </w:endnote>
  <w:endnote w:type="continuationSeparator" w:id="0">
    <w:p w14:paraId="6E02985F" w14:textId="77777777" w:rsidR="00F6553B" w:rsidRDefault="00F6553B"/>
  </w:endnote>
  <w:endnote w:type="continuationNotice" w:id="1">
    <w:p w14:paraId="30E5E5DA" w14:textId="77777777" w:rsidR="00F6553B" w:rsidRDefault="00F6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0A0B" w14:textId="77777777" w:rsidR="00F6553B" w:rsidRPr="000B175B" w:rsidRDefault="00F6553B" w:rsidP="000B175B">
      <w:pPr>
        <w:tabs>
          <w:tab w:val="right" w:pos="2155"/>
        </w:tabs>
        <w:spacing w:after="80"/>
        <w:ind w:left="680"/>
        <w:rPr>
          <w:u w:val="single"/>
        </w:rPr>
      </w:pPr>
      <w:r>
        <w:rPr>
          <w:u w:val="single"/>
        </w:rPr>
        <w:tab/>
      </w:r>
    </w:p>
  </w:footnote>
  <w:footnote w:type="continuationSeparator" w:id="0">
    <w:p w14:paraId="2B97130F" w14:textId="77777777" w:rsidR="00F6553B" w:rsidRPr="00FC68B7" w:rsidRDefault="00F6553B" w:rsidP="00FC68B7">
      <w:pPr>
        <w:tabs>
          <w:tab w:val="left" w:pos="2155"/>
        </w:tabs>
        <w:spacing w:after="80"/>
        <w:ind w:left="680"/>
        <w:rPr>
          <w:u w:val="single"/>
        </w:rPr>
      </w:pPr>
      <w:r>
        <w:rPr>
          <w:u w:val="single"/>
        </w:rPr>
        <w:tab/>
      </w:r>
    </w:p>
  </w:footnote>
  <w:footnote w:type="continuationNotice" w:id="1">
    <w:p w14:paraId="18825B83" w14:textId="77777777" w:rsidR="00F6553B" w:rsidRDefault="00F6553B"/>
  </w:footnote>
  <w:footnote w:id="2">
    <w:p w14:paraId="25BD1EA3" w14:textId="19BFE234" w:rsidR="00F54ACE" w:rsidRDefault="00F54ACE" w:rsidP="00F54ACE">
      <w:pPr>
        <w:tabs>
          <w:tab w:val="right" w:pos="1021"/>
        </w:tabs>
        <w:spacing w:line="220" w:lineRule="atLeast"/>
        <w:ind w:left="1134" w:right="1134" w:hanging="1134"/>
        <w:rPr>
          <w:color w:val="000000"/>
        </w:rPr>
      </w:pPr>
      <w:r>
        <w:rPr>
          <w:rStyle w:val="FootnoteReference"/>
          <w:color w:val="000000"/>
        </w:rPr>
        <w:t>*</w:t>
      </w:r>
      <w:r>
        <w:rPr>
          <w:color w:val="000000"/>
        </w:rPr>
        <w:tab/>
      </w:r>
      <w:r w:rsidRPr="00EA56FF">
        <w:t>*</w:t>
      </w:r>
      <w:r>
        <w:rPr>
          <w:vertAlign w:val="superscript"/>
        </w:rPr>
        <w:tab/>
      </w:r>
      <w:r w:rsidR="00BD17F0" w:rsidRPr="00BD17F0">
        <w:rPr>
          <w:sz w:val="18"/>
          <w:szCs w:val="18"/>
        </w:rPr>
        <w:t xml:space="preserve">In accordance with the programme of work of the Inland Transport </w:t>
      </w:r>
      <w:r w:rsidR="00D141AC" w:rsidRPr="00D141AC">
        <w:rPr>
          <w:sz w:val="18"/>
          <w:szCs w:val="18"/>
        </w:rPr>
        <w:t>Committee for 2021 as outlined in proposed programme budget for 2021 (A/75/6 (part V sect. 20) para 20.51)</w:t>
      </w:r>
      <w:r w:rsidR="00BD17F0" w:rsidRPr="00BD17F0">
        <w:rPr>
          <w:sz w:val="18"/>
          <w:szCs w:val="18"/>
        </w:rPr>
        <w:t>, the World Forum will develop, harmonize and update UN Regulations in order to enhance the performance of vehicles. The present document is submitted in conformity with that mandate.</w:t>
      </w:r>
    </w:p>
  </w:footnote>
  <w:footnote w:id="3">
    <w:p w14:paraId="6BC8810D" w14:textId="77777777" w:rsidR="00877054" w:rsidRPr="00071B16" w:rsidRDefault="00877054" w:rsidP="00877054">
      <w:pPr>
        <w:pStyle w:val="FootnoteText"/>
      </w:pPr>
      <w:r>
        <w:tab/>
      </w:r>
      <w:r w:rsidRPr="00EB156B">
        <w:rPr>
          <w:rStyle w:val="FootnoteReference"/>
        </w:rPr>
        <w:footnoteRef/>
      </w:r>
      <w:r>
        <w:tab/>
      </w:r>
      <w:r w:rsidRPr="00071B16">
        <w:t xml:space="preserve">http://www.unece.org/fileadmin/DAM/trans/main/wp29/wp29wgs/wp29gen/wp29registry/ECE-TRANS-180a17e.pdf </w:t>
      </w:r>
    </w:p>
  </w:footnote>
  <w:footnote w:id="4">
    <w:p w14:paraId="060BB34E" w14:textId="77777777" w:rsidR="00877054" w:rsidRPr="00D45586" w:rsidRDefault="00877054" w:rsidP="00877054">
      <w:pPr>
        <w:pStyle w:val="FootnoteText"/>
      </w:pPr>
      <w:r>
        <w:tab/>
      </w:r>
      <w:r w:rsidRPr="00EB156B">
        <w:rPr>
          <w:rStyle w:val="FootnoteReference"/>
        </w:rPr>
        <w:footnoteRef/>
      </w:r>
      <w:r>
        <w:tab/>
      </w:r>
      <w:r w:rsidRPr="00071B16">
        <w:t>http://www.unece.org/fileadmin/DAM/trans/main/wp29/wp29wgs/wp29gen/wp29registry/ECE-TRANS-180a18e.pdf</w:t>
      </w:r>
      <w:r w:rsidRPr="00D45586">
        <w:t xml:space="preserve"> </w:t>
      </w:r>
    </w:p>
  </w:footnote>
  <w:footnote w:id="5">
    <w:p w14:paraId="09EA7A40" w14:textId="77777777" w:rsidR="00877054" w:rsidRPr="00C358AA" w:rsidRDefault="00877054" w:rsidP="00877054">
      <w:pPr>
        <w:pStyle w:val="FootnoteText"/>
      </w:pPr>
      <w:r w:rsidRPr="000E35E5">
        <w:tab/>
      </w:r>
      <w:r w:rsidRPr="000E35E5">
        <w:rPr>
          <w:rStyle w:val="FootnoteReference"/>
        </w:rPr>
        <w:footnoteRef/>
      </w:r>
      <w:r w:rsidRPr="000E35E5">
        <w:tab/>
      </w:r>
      <w:hyperlink r:id="rId1" w:history="1">
        <w:r w:rsidRPr="000E35E5">
          <w:rPr>
            <w:rStyle w:val="Hyperlink"/>
            <w:color w:val="auto"/>
          </w:rPr>
          <w:t>https://www.unece.org/fileadmin/DAM/trans/main/wp29/wp29wgs/wp29gen/wp29registry/ECE-</w:t>
        </w:r>
      </w:hyperlink>
      <w:r w:rsidRPr="00C358AA">
        <w:t xml:space="preserve">TRANS- 180a2am4e_for_submission.pdf </w:t>
      </w:r>
    </w:p>
  </w:footnote>
  <w:footnote w:id="6">
    <w:p w14:paraId="0360A499" w14:textId="77777777" w:rsidR="00877054" w:rsidRPr="00D82781" w:rsidRDefault="00877054" w:rsidP="00877054">
      <w:pPr>
        <w:pStyle w:val="FootnoteText"/>
      </w:pPr>
      <w:r>
        <w:tab/>
      </w:r>
      <w:r w:rsidRPr="00EB156B">
        <w:rPr>
          <w:rStyle w:val="FootnoteReference"/>
          <w:szCs w:val="18"/>
        </w:rPr>
        <w:footnoteRef/>
      </w:r>
      <w:r w:rsidRPr="00EB156B">
        <w:rPr>
          <w:szCs w:val="18"/>
        </w:rPr>
        <w:tab/>
      </w:r>
      <w:r w:rsidRPr="00D45586">
        <w:t>ECE/TRANS/WP.29/2020/129 and ECE/TRANS/WP.29/2020/130: Amendment 1 to UN GTR No. 18 (On-Board Diagnostic (OBD) systems for L-category vehicles) and its Technical Report.</w:t>
      </w:r>
    </w:p>
  </w:footnote>
  <w:footnote w:id="7">
    <w:p w14:paraId="2D972FAA" w14:textId="77777777" w:rsidR="00877054" w:rsidRPr="00D45586" w:rsidRDefault="00877054" w:rsidP="00877054">
      <w:pPr>
        <w:pStyle w:val="FootnoteText"/>
      </w:pPr>
      <w:r>
        <w:rPr>
          <w:vertAlign w:val="superscript"/>
        </w:rPr>
        <w:tab/>
      </w:r>
      <w:r w:rsidRPr="00901673">
        <w:rPr>
          <w:vertAlign w:val="superscript"/>
        </w:rPr>
        <w:footnoteRef/>
      </w:r>
      <w:r>
        <w:rPr>
          <w:vertAlign w:val="superscript"/>
        </w:rPr>
        <w:tab/>
      </w:r>
      <w:r w:rsidRPr="001B281E">
        <w:rPr>
          <w:szCs w:val="18"/>
        </w:rPr>
        <w:t xml:space="preserve">COMMISSION DELEGATED REGULATION (EU) No 134/2014 of 16 December 2013 supplementing Regulation (EU) No 168/2013 of the European Parliament and of the Council </w:t>
      </w:r>
      <w:proofErr w:type="gramStart"/>
      <w:r w:rsidRPr="001B281E">
        <w:rPr>
          <w:szCs w:val="18"/>
        </w:rPr>
        <w:t>with regard to</w:t>
      </w:r>
      <w:proofErr w:type="gramEnd"/>
      <w:r w:rsidRPr="001B281E">
        <w:rPr>
          <w:szCs w:val="18"/>
        </w:rPr>
        <w:t xml:space="preserve"> environmental and propulsion unit performance requirements and amending Annex V thereof</w:t>
      </w:r>
      <w:r>
        <w:t>.</w:t>
      </w:r>
    </w:p>
  </w:footnote>
  <w:footnote w:id="8">
    <w:p w14:paraId="1C0C5B6F" w14:textId="77777777" w:rsidR="00877054" w:rsidRPr="00EB156B" w:rsidRDefault="00877054" w:rsidP="00877054">
      <w:pPr>
        <w:pStyle w:val="FootnoteText"/>
      </w:pPr>
      <w:r>
        <w:tab/>
      </w:r>
      <w:r w:rsidRPr="00EB156B">
        <w:rPr>
          <w:vertAlign w:val="superscript"/>
        </w:rPr>
        <w:footnoteRef/>
      </w:r>
      <w:r>
        <w:tab/>
      </w:r>
      <w:r w:rsidRPr="00EB156B">
        <w:t>40 CFR Part 86 (86.419, 86.426, 86.427, and 86.432).</w:t>
      </w:r>
      <w:r w:rsidRPr="00F246F3">
        <w:t xml:space="preserve">  </w:t>
      </w:r>
    </w:p>
  </w:footnote>
  <w:footnote w:id="9">
    <w:p w14:paraId="211C8087" w14:textId="77777777" w:rsidR="00877054" w:rsidRPr="00EB156B" w:rsidRDefault="00877054" w:rsidP="00877054">
      <w:pPr>
        <w:pStyle w:val="FootnoteText"/>
      </w:pPr>
      <w:r>
        <w:tab/>
      </w:r>
      <w:r w:rsidRPr="00EB156B">
        <w:rPr>
          <w:rStyle w:val="FootnoteReference"/>
        </w:rPr>
        <w:footnoteRef/>
      </w:r>
      <w:r w:rsidRPr="00EB156B">
        <w:rPr>
          <w:vertAlign w:val="superscript"/>
        </w:rPr>
        <w:tab/>
      </w:r>
      <w:r w:rsidRPr="00EB156B">
        <w:t>Emission Durability Procedures for New Light-Duty Vehicles, Light-Duty Trucks and Heavy-Duty Vehicles”. January 17, 2006. 40 CFR Part 86, 71 FR 2809</w:t>
      </w:r>
      <w:r w:rsidRPr="00F246F3">
        <w:t xml:space="preserve"> </w:t>
      </w:r>
    </w:p>
  </w:footnote>
  <w:footnote w:id="10">
    <w:p w14:paraId="5D7B6E4B" w14:textId="77777777" w:rsidR="00877054" w:rsidRPr="00A71171" w:rsidRDefault="00877054" w:rsidP="00877054">
      <w:pPr>
        <w:pStyle w:val="FootnoteText"/>
        <w:rPr>
          <w:lang w:val="en-IE"/>
        </w:rPr>
      </w:pPr>
      <w:r>
        <w:tab/>
      </w:r>
      <w:r w:rsidRPr="00F246F3">
        <w:rPr>
          <w:rStyle w:val="FootnoteReference"/>
        </w:rPr>
        <w:footnoteRef/>
      </w:r>
      <w:r w:rsidRPr="00EB156B">
        <w:rPr>
          <w:vertAlign w:val="superscript"/>
        </w:rPr>
        <w:tab/>
      </w:r>
      <w:r w:rsidRPr="00EB156B">
        <w:t>GB 14622-2016 “Limits and measurement methods for emissions from motorcycles” and GB 18176-2016 “Limits and measurement methods for emissions from mopeds</w:t>
      </w:r>
      <w:r w:rsidRPr="001B281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2415" w14:textId="73B3199F" w:rsidR="0044397D" w:rsidRPr="004744BA" w:rsidRDefault="004744BA">
    <w:pPr>
      <w:pStyle w:val="Header"/>
      <w:rPr>
        <w:lang w:val="fr-CH"/>
      </w:rPr>
    </w:pPr>
    <w:r>
      <w:rPr>
        <w:lang w:val="fr-CH"/>
      </w:rPr>
      <w:t>ECE/TRANS/WP.29/</w:t>
    </w:r>
    <w:r w:rsidR="00702D73">
      <w:rPr>
        <w:lang w:val="fr-CH"/>
      </w:rPr>
      <w:t>AC.3/5</w:t>
    </w:r>
    <w:r w:rsidR="00FA61C2">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791F" w14:textId="26BBC045" w:rsidR="0044397D" w:rsidRPr="00D70A3E" w:rsidRDefault="00D70A3E" w:rsidP="0044397D">
    <w:pPr>
      <w:pStyle w:val="Header"/>
      <w:jc w:val="right"/>
      <w:rPr>
        <w:lang w:val="fr-CH"/>
      </w:rPr>
    </w:pPr>
    <w:r>
      <w:rPr>
        <w:lang w:val="fr-CH"/>
      </w:rPr>
      <w:t>ECE/TRANS/WP.29/</w:t>
    </w:r>
    <w:r w:rsidR="00702D73">
      <w:rPr>
        <w:lang w:val="fr-CH"/>
      </w:rPr>
      <w:t>AC.3/5</w:t>
    </w:r>
    <w:r w:rsidR="00FA61C2">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6B9A"/>
    <w:rsid w:val="00027624"/>
    <w:rsid w:val="0005036B"/>
    <w:rsid w:val="00050F6B"/>
    <w:rsid w:val="000657D3"/>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0717B"/>
    <w:rsid w:val="00115773"/>
    <w:rsid w:val="00117530"/>
    <w:rsid w:val="00123DDF"/>
    <w:rsid w:val="001358C1"/>
    <w:rsid w:val="00137308"/>
    <w:rsid w:val="00141E30"/>
    <w:rsid w:val="00156B99"/>
    <w:rsid w:val="00166124"/>
    <w:rsid w:val="0018448E"/>
    <w:rsid w:val="00184DDA"/>
    <w:rsid w:val="001900CD"/>
    <w:rsid w:val="001A0452"/>
    <w:rsid w:val="001B343F"/>
    <w:rsid w:val="001B4B04"/>
    <w:rsid w:val="001B5875"/>
    <w:rsid w:val="001B6E69"/>
    <w:rsid w:val="001C4B9C"/>
    <w:rsid w:val="001C4D68"/>
    <w:rsid w:val="001C6663"/>
    <w:rsid w:val="001C7895"/>
    <w:rsid w:val="001D26DF"/>
    <w:rsid w:val="001D29B4"/>
    <w:rsid w:val="001F1599"/>
    <w:rsid w:val="001F19C4"/>
    <w:rsid w:val="002043F0"/>
    <w:rsid w:val="00211E0B"/>
    <w:rsid w:val="00232575"/>
    <w:rsid w:val="00247258"/>
    <w:rsid w:val="00252DE5"/>
    <w:rsid w:val="002533CA"/>
    <w:rsid w:val="00255C27"/>
    <w:rsid w:val="00257CAC"/>
    <w:rsid w:val="0027237A"/>
    <w:rsid w:val="00277D27"/>
    <w:rsid w:val="00281F5A"/>
    <w:rsid w:val="00286EBA"/>
    <w:rsid w:val="002974E9"/>
    <w:rsid w:val="002A306B"/>
    <w:rsid w:val="002A7F94"/>
    <w:rsid w:val="002B109A"/>
    <w:rsid w:val="002C5EF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3C4C"/>
    <w:rsid w:val="00387BE7"/>
    <w:rsid w:val="003A1FEB"/>
    <w:rsid w:val="003A46BB"/>
    <w:rsid w:val="003A4EC7"/>
    <w:rsid w:val="003A5EFD"/>
    <w:rsid w:val="003A7295"/>
    <w:rsid w:val="003B1F60"/>
    <w:rsid w:val="003B4787"/>
    <w:rsid w:val="003C2CC4"/>
    <w:rsid w:val="003D4B23"/>
    <w:rsid w:val="003E278A"/>
    <w:rsid w:val="003F0D31"/>
    <w:rsid w:val="00413520"/>
    <w:rsid w:val="004325CB"/>
    <w:rsid w:val="00435ADF"/>
    <w:rsid w:val="0043678E"/>
    <w:rsid w:val="00440A07"/>
    <w:rsid w:val="00441371"/>
    <w:rsid w:val="00441626"/>
    <w:rsid w:val="0044397D"/>
    <w:rsid w:val="00462880"/>
    <w:rsid w:val="004744BA"/>
    <w:rsid w:val="00476F24"/>
    <w:rsid w:val="00494E2A"/>
    <w:rsid w:val="004A0B7D"/>
    <w:rsid w:val="004A5D33"/>
    <w:rsid w:val="004B0A08"/>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6490D"/>
    <w:rsid w:val="0057272F"/>
    <w:rsid w:val="0057572B"/>
    <w:rsid w:val="00584173"/>
    <w:rsid w:val="00595520"/>
    <w:rsid w:val="005A44B9"/>
    <w:rsid w:val="005A4B2E"/>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953F7"/>
    <w:rsid w:val="006A22AF"/>
    <w:rsid w:val="006A3C72"/>
    <w:rsid w:val="006A5214"/>
    <w:rsid w:val="006A7392"/>
    <w:rsid w:val="006B03A1"/>
    <w:rsid w:val="006B67D9"/>
    <w:rsid w:val="006C2D2A"/>
    <w:rsid w:val="006C5535"/>
    <w:rsid w:val="006D0589"/>
    <w:rsid w:val="006E16B4"/>
    <w:rsid w:val="006E5256"/>
    <w:rsid w:val="006E564B"/>
    <w:rsid w:val="006E7154"/>
    <w:rsid w:val="006F00FD"/>
    <w:rsid w:val="007003CD"/>
    <w:rsid w:val="00702A20"/>
    <w:rsid w:val="00702D73"/>
    <w:rsid w:val="00703581"/>
    <w:rsid w:val="0070701E"/>
    <w:rsid w:val="00710CB6"/>
    <w:rsid w:val="007116C4"/>
    <w:rsid w:val="0072632A"/>
    <w:rsid w:val="007358E8"/>
    <w:rsid w:val="00736ECE"/>
    <w:rsid w:val="0074533B"/>
    <w:rsid w:val="00763618"/>
    <w:rsid w:val="007643BC"/>
    <w:rsid w:val="00764747"/>
    <w:rsid w:val="00780C68"/>
    <w:rsid w:val="007959FE"/>
    <w:rsid w:val="007A0CF1"/>
    <w:rsid w:val="007A66FF"/>
    <w:rsid w:val="007B6BA5"/>
    <w:rsid w:val="007C3390"/>
    <w:rsid w:val="007C42D8"/>
    <w:rsid w:val="007C4F4B"/>
    <w:rsid w:val="007D60C6"/>
    <w:rsid w:val="007D6F65"/>
    <w:rsid w:val="007D7362"/>
    <w:rsid w:val="007F5CE2"/>
    <w:rsid w:val="007F6611"/>
    <w:rsid w:val="00810BAC"/>
    <w:rsid w:val="008175E9"/>
    <w:rsid w:val="008242D7"/>
    <w:rsid w:val="0082577B"/>
    <w:rsid w:val="00825CB5"/>
    <w:rsid w:val="0082736D"/>
    <w:rsid w:val="008324CC"/>
    <w:rsid w:val="008360E7"/>
    <w:rsid w:val="0085258B"/>
    <w:rsid w:val="00866893"/>
    <w:rsid w:val="00866F02"/>
    <w:rsid w:val="00867D18"/>
    <w:rsid w:val="00871F9A"/>
    <w:rsid w:val="00871FD5"/>
    <w:rsid w:val="00873CA8"/>
    <w:rsid w:val="0087705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A4A"/>
    <w:rsid w:val="00917825"/>
    <w:rsid w:val="00926E47"/>
    <w:rsid w:val="0093251D"/>
    <w:rsid w:val="00940C67"/>
    <w:rsid w:val="009431E9"/>
    <w:rsid w:val="009436CB"/>
    <w:rsid w:val="00947162"/>
    <w:rsid w:val="0095602B"/>
    <w:rsid w:val="009610D0"/>
    <w:rsid w:val="0096207A"/>
    <w:rsid w:val="0096375C"/>
    <w:rsid w:val="00963855"/>
    <w:rsid w:val="009662E6"/>
    <w:rsid w:val="0097095E"/>
    <w:rsid w:val="009732AB"/>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04808"/>
    <w:rsid w:val="00A10F4F"/>
    <w:rsid w:val="00A11067"/>
    <w:rsid w:val="00A1704A"/>
    <w:rsid w:val="00A36AC2"/>
    <w:rsid w:val="00A425EB"/>
    <w:rsid w:val="00A46633"/>
    <w:rsid w:val="00A502AE"/>
    <w:rsid w:val="00A72F22"/>
    <w:rsid w:val="00A733BC"/>
    <w:rsid w:val="00A748A6"/>
    <w:rsid w:val="00A75AF7"/>
    <w:rsid w:val="00A76A69"/>
    <w:rsid w:val="00A87952"/>
    <w:rsid w:val="00A879A4"/>
    <w:rsid w:val="00A9453F"/>
    <w:rsid w:val="00AA0876"/>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B3F46"/>
    <w:rsid w:val="00BC1E7E"/>
    <w:rsid w:val="00BC1F2D"/>
    <w:rsid w:val="00BC74E9"/>
    <w:rsid w:val="00BD17F0"/>
    <w:rsid w:val="00BD6532"/>
    <w:rsid w:val="00BE36A9"/>
    <w:rsid w:val="00BE618E"/>
    <w:rsid w:val="00BE7BEC"/>
    <w:rsid w:val="00BF00DD"/>
    <w:rsid w:val="00BF0A5A"/>
    <w:rsid w:val="00BF0E63"/>
    <w:rsid w:val="00BF12A3"/>
    <w:rsid w:val="00BF16D7"/>
    <w:rsid w:val="00BF2373"/>
    <w:rsid w:val="00BF279B"/>
    <w:rsid w:val="00BF30AF"/>
    <w:rsid w:val="00BF5763"/>
    <w:rsid w:val="00C044E2"/>
    <w:rsid w:val="00C048CB"/>
    <w:rsid w:val="00C066F3"/>
    <w:rsid w:val="00C139D0"/>
    <w:rsid w:val="00C24BE5"/>
    <w:rsid w:val="00C25B97"/>
    <w:rsid w:val="00C34931"/>
    <w:rsid w:val="00C356CC"/>
    <w:rsid w:val="00C4495D"/>
    <w:rsid w:val="00C463DD"/>
    <w:rsid w:val="00C538DF"/>
    <w:rsid w:val="00C745C3"/>
    <w:rsid w:val="00C978F5"/>
    <w:rsid w:val="00C97EFE"/>
    <w:rsid w:val="00CA24A4"/>
    <w:rsid w:val="00CB348D"/>
    <w:rsid w:val="00CD352A"/>
    <w:rsid w:val="00CD46F5"/>
    <w:rsid w:val="00CE4A8F"/>
    <w:rsid w:val="00CF071D"/>
    <w:rsid w:val="00CF315F"/>
    <w:rsid w:val="00D0123D"/>
    <w:rsid w:val="00D05F40"/>
    <w:rsid w:val="00D10E8F"/>
    <w:rsid w:val="00D141AC"/>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B6D91"/>
    <w:rsid w:val="00DC18AD"/>
    <w:rsid w:val="00DC441C"/>
    <w:rsid w:val="00DF7CAE"/>
    <w:rsid w:val="00E03FDB"/>
    <w:rsid w:val="00E12A03"/>
    <w:rsid w:val="00E2571B"/>
    <w:rsid w:val="00E31306"/>
    <w:rsid w:val="00E423C0"/>
    <w:rsid w:val="00E50BEE"/>
    <w:rsid w:val="00E6414C"/>
    <w:rsid w:val="00E7260F"/>
    <w:rsid w:val="00E75B75"/>
    <w:rsid w:val="00E8702D"/>
    <w:rsid w:val="00E905F4"/>
    <w:rsid w:val="00E916A9"/>
    <w:rsid w:val="00E916DE"/>
    <w:rsid w:val="00E925AD"/>
    <w:rsid w:val="00E96630"/>
    <w:rsid w:val="00EA1639"/>
    <w:rsid w:val="00EA56FF"/>
    <w:rsid w:val="00EC24ED"/>
    <w:rsid w:val="00EC7D08"/>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3741"/>
    <w:rsid w:val="00F54ACE"/>
    <w:rsid w:val="00F56D63"/>
    <w:rsid w:val="00F609A9"/>
    <w:rsid w:val="00F6553B"/>
    <w:rsid w:val="00F72881"/>
    <w:rsid w:val="00F80C99"/>
    <w:rsid w:val="00F867EC"/>
    <w:rsid w:val="00F91B2B"/>
    <w:rsid w:val="00FA4794"/>
    <w:rsid w:val="00FA61C2"/>
    <w:rsid w:val="00FB5FC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780607">
      <w:bodyDiv w:val="1"/>
      <w:marLeft w:val="0"/>
      <w:marRight w:val="0"/>
      <w:marTop w:val="0"/>
      <w:marBottom w:val="0"/>
      <w:divBdr>
        <w:top w:val="none" w:sz="0" w:space="0" w:color="auto"/>
        <w:left w:val="none" w:sz="0" w:space="0" w:color="auto"/>
        <w:bottom w:val="none" w:sz="0" w:space="0" w:color="auto"/>
        <w:right w:val="none" w:sz="0" w:space="0" w:color="auto"/>
      </w:divBdr>
      <w:divsChild>
        <w:div w:id="721632427">
          <w:marLeft w:val="0"/>
          <w:marRight w:val="0"/>
          <w:marTop w:val="0"/>
          <w:marBottom w:val="0"/>
          <w:divBdr>
            <w:top w:val="none" w:sz="0" w:space="0" w:color="auto"/>
            <w:left w:val="none" w:sz="0" w:space="0" w:color="auto"/>
            <w:bottom w:val="none" w:sz="0" w:space="0" w:color="auto"/>
            <w:right w:val="none" w:sz="0" w:space="0" w:color="auto"/>
          </w:divBdr>
        </w:div>
        <w:div w:id="205459542">
          <w:marLeft w:val="0"/>
          <w:marRight w:val="0"/>
          <w:marTop w:val="0"/>
          <w:marBottom w:val="0"/>
          <w:divBdr>
            <w:top w:val="none" w:sz="0" w:space="0" w:color="auto"/>
            <w:left w:val="none" w:sz="0" w:space="0" w:color="auto"/>
            <w:bottom w:val="none" w:sz="0" w:space="0" w:color="auto"/>
            <w:right w:val="none" w:sz="0" w:space="0" w:color="auto"/>
          </w:divBdr>
        </w:div>
        <w:div w:id="1218512146">
          <w:marLeft w:val="0"/>
          <w:marRight w:val="0"/>
          <w:marTop w:val="0"/>
          <w:marBottom w:val="0"/>
          <w:divBdr>
            <w:top w:val="none" w:sz="0" w:space="0" w:color="auto"/>
            <w:left w:val="none" w:sz="0" w:space="0" w:color="auto"/>
            <w:bottom w:val="none" w:sz="0" w:space="0" w:color="auto"/>
            <w:right w:val="none" w:sz="0" w:space="0" w:color="auto"/>
          </w:divBdr>
        </w:div>
        <w:div w:id="302463637">
          <w:marLeft w:val="0"/>
          <w:marRight w:val="0"/>
          <w:marTop w:val="0"/>
          <w:marBottom w:val="0"/>
          <w:divBdr>
            <w:top w:val="none" w:sz="0" w:space="0" w:color="auto"/>
            <w:left w:val="none" w:sz="0" w:space="0" w:color="auto"/>
            <w:bottom w:val="none" w:sz="0" w:space="0" w:color="auto"/>
            <w:right w:val="none" w:sz="0" w:space="0" w:color="auto"/>
          </w:divBdr>
        </w:div>
        <w:div w:id="1931965168">
          <w:marLeft w:val="0"/>
          <w:marRight w:val="0"/>
          <w:marTop w:val="0"/>
          <w:marBottom w:val="0"/>
          <w:divBdr>
            <w:top w:val="none" w:sz="0" w:space="0" w:color="auto"/>
            <w:left w:val="none" w:sz="0" w:space="0" w:color="auto"/>
            <w:bottom w:val="none" w:sz="0" w:space="0" w:color="auto"/>
            <w:right w:val="none" w:sz="0" w:space="0" w:color="auto"/>
          </w:divBdr>
        </w:div>
        <w:div w:id="249124220">
          <w:marLeft w:val="0"/>
          <w:marRight w:val="0"/>
          <w:marTop w:val="0"/>
          <w:marBottom w:val="0"/>
          <w:divBdr>
            <w:top w:val="none" w:sz="0" w:space="0" w:color="auto"/>
            <w:left w:val="none" w:sz="0" w:space="0" w:color="auto"/>
            <w:bottom w:val="none" w:sz="0" w:space="0" w:color="auto"/>
            <w:right w:val="none" w:sz="0" w:space="0" w:color="auto"/>
          </w:divBdr>
        </w:div>
        <w:div w:id="640577238">
          <w:marLeft w:val="0"/>
          <w:marRight w:val="0"/>
          <w:marTop w:val="0"/>
          <w:marBottom w:val="0"/>
          <w:divBdr>
            <w:top w:val="none" w:sz="0" w:space="0" w:color="auto"/>
            <w:left w:val="none" w:sz="0" w:space="0" w:color="auto"/>
            <w:bottom w:val="none" w:sz="0" w:space="0" w:color="auto"/>
            <w:right w:val="none" w:sz="0" w:space="0" w:color="auto"/>
          </w:divBdr>
        </w:div>
        <w:div w:id="617877904">
          <w:marLeft w:val="0"/>
          <w:marRight w:val="0"/>
          <w:marTop w:val="0"/>
          <w:marBottom w:val="0"/>
          <w:divBdr>
            <w:top w:val="none" w:sz="0" w:space="0" w:color="auto"/>
            <w:left w:val="none" w:sz="0" w:space="0" w:color="auto"/>
            <w:bottom w:val="none" w:sz="0" w:space="0" w:color="auto"/>
            <w:right w:val="none" w:sz="0" w:space="0" w:color="auto"/>
          </w:divBdr>
        </w:div>
        <w:div w:id="1496334038">
          <w:marLeft w:val="0"/>
          <w:marRight w:val="0"/>
          <w:marTop w:val="0"/>
          <w:marBottom w:val="0"/>
          <w:divBdr>
            <w:top w:val="none" w:sz="0" w:space="0" w:color="auto"/>
            <w:left w:val="none" w:sz="0" w:space="0" w:color="auto"/>
            <w:bottom w:val="none" w:sz="0" w:space="0" w:color="auto"/>
            <w:right w:val="none" w:sz="0" w:space="0" w:color="auto"/>
          </w:divBdr>
        </w:div>
        <w:div w:id="949776002">
          <w:marLeft w:val="0"/>
          <w:marRight w:val="0"/>
          <w:marTop w:val="0"/>
          <w:marBottom w:val="0"/>
          <w:divBdr>
            <w:top w:val="none" w:sz="0" w:space="0" w:color="auto"/>
            <w:left w:val="none" w:sz="0" w:space="0" w:color="auto"/>
            <w:bottom w:val="none" w:sz="0" w:space="0" w:color="auto"/>
            <w:right w:val="none" w:sz="0" w:space="0" w:color="auto"/>
          </w:divBdr>
        </w:div>
        <w:div w:id="705177576">
          <w:marLeft w:val="0"/>
          <w:marRight w:val="0"/>
          <w:marTop w:val="0"/>
          <w:marBottom w:val="0"/>
          <w:divBdr>
            <w:top w:val="none" w:sz="0" w:space="0" w:color="auto"/>
            <w:left w:val="none" w:sz="0" w:space="0" w:color="auto"/>
            <w:bottom w:val="none" w:sz="0" w:space="0" w:color="auto"/>
            <w:right w:val="none" w:sz="0" w:space="0" w:color="auto"/>
          </w:divBdr>
        </w:div>
        <w:div w:id="1543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ileadmin/DAM/trans/main/wp29/wp29wgs/wp29gen/wp29registry/E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5019A-186D-4FCA-8FCF-628B44286AB1}">
  <ds:schemaRefs>
    <ds:schemaRef ds:uri="http://schemas.openxmlformats.org/officeDocument/2006/bibliography"/>
  </ds:schemaRefs>
</ds:datastoreItem>
</file>

<file path=customXml/itemProps2.xml><?xml version="1.0" encoding="utf-8"?>
<ds:datastoreItem xmlns:ds="http://schemas.openxmlformats.org/officeDocument/2006/customXml" ds:itemID="{FDB5E14A-4B7A-44E1-BF4A-E63AFD4E1E95}"/>
</file>

<file path=customXml/itemProps3.xml><?xml version="1.0" encoding="utf-8"?>
<ds:datastoreItem xmlns:ds="http://schemas.openxmlformats.org/officeDocument/2006/customXml" ds:itemID="{56FFE3F8-A815-4DB7-B920-71D2DD31316E}">
  <ds:schemaRefs>
    <ds:schemaRef ds:uri="http://schemas.microsoft.com/sharepoint/v3/contenttype/forms"/>
  </ds:schemaRefs>
</ds:datastoreItem>
</file>

<file path=customXml/itemProps4.xml><?xml version="1.0" encoding="utf-8"?>
<ds:datastoreItem xmlns:ds="http://schemas.openxmlformats.org/officeDocument/2006/customXml" ds:itemID="{2C1F4D68-654A-4BE4-8D6E-8154C3312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1176</Words>
  <Characters>6707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ECE/TRANS/WP.29/AC.3/57</vt:lpstr>
      <vt:lpstr/>
    </vt:vector>
  </TitlesOfParts>
  <Company>CSD</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ECE/TRANS/WP.29/AC.3/58</dc:title>
  <dc:subject>1916531</dc:subject>
  <dc:creator>Edoardo Gianotti</dc:creator>
  <cp:keywords/>
  <dc:description/>
  <cp:lastModifiedBy>Nadiya Dzyubynska</cp:lastModifiedBy>
  <cp:revision>7</cp:revision>
  <cp:lastPrinted>2020-01-23T14:24:00Z</cp:lastPrinted>
  <dcterms:created xsi:type="dcterms:W3CDTF">2021-11-18T15:14:00Z</dcterms:created>
  <dcterms:modified xsi:type="dcterms:W3CDTF">2021-11-18T15:17:00Z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