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60E7B" w:rsidRPr="00B042C8" w14:paraId="7264F1B2" w14:textId="77777777" w:rsidTr="0038154E">
        <w:trPr>
          <w:cantSplit/>
          <w:trHeight w:hRule="exact" w:val="851"/>
        </w:trPr>
        <w:tc>
          <w:tcPr>
            <w:tcW w:w="1276" w:type="dxa"/>
            <w:tcBorders>
              <w:bottom w:val="single" w:sz="4" w:space="0" w:color="auto"/>
            </w:tcBorders>
            <w:shd w:val="clear" w:color="auto" w:fill="auto"/>
            <w:vAlign w:val="bottom"/>
          </w:tcPr>
          <w:p w14:paraId="6F962601" w14:textId="77777777" w:rsidR="00760E7B" w:rsidRPr="00B042C8" w:rsidRDefault="00760E7B" w:rsidP="00760E7B">
            <w:pPr>
              <w:spacing w:after="80"/>
            </w:pPr>
            <w:bookmarkStart w:id="0" w:name="_Hlk3382363"/>
            <w:bookmarkEnd w:id="0"/>
          </w:p>
        </w:tc>
        <w:tc>
          <w:tcPr>
            <w:tcW w:w="2268" w:type="dxa"/>
            <w:tcBorders>
              <w:bottom w:val="single" w:sz="4" w:space="0" w:color="auto"/>
            </w:tcBorders>
            <w:shd w:val="clear" w:color="auto" w:fill="auto"/>
            <w:vAlign w:val="bottom"/>
          </w:tcPr>
          <w:p w14:paraId="6E3CF5E9" w14:textId="77777777" w:rsidR="00760E7B" w:rsidRPr="00B042C8" w:rsidRDefault="00760E7B" w:rsidP="00760E7B">
            <w:pPr>
              <w:spacing w:after="80" w:line="300" w:lineRule="exact"/>
              <w:rPr>
                <w:b/>
                <w:sz w:val="24"/>
                <w:szCs w:val="24"/>
              </w:rPr>
            </w:pPr>
          </w:p>
        </w:tc>
        <w:tc>
          <w:tcPr>
            <w:tcW w:w="6095" w:type="dxa"/>
            <w:tcBorders>
              <w:bottom w:val="single" w:sz="4" w:space="0" w:color="auto"/>
            </w:tcBorders>
            <w:shd w:val="clear" w:color="auto" w:fill="auto"/>
            <w:vAlign w:val="bottom"/>
          </w:tcPr>
          <w:p w14:paraId="33B2EE19" w14:textId="0678E108" w:rsidR="00760E7B" w:rsidRPr="00B042C8" w:rsidRDefault="00760E7B" w:rsidP="00760E7B">
            <w:pPr>
              <w:suppressAutoHyphens w:val="0"/>
              <w:spacing w:after="20"/>
              <w:jc w:val="right"/>
              <w:rPr>
                <w:b/>
                <w:sz w:val="24"/>
                <w:szCs w:val="24"/>
              </w:rPr>
            </w:pPr>
            <w:r w:rsidRPr="00B042C8">
              <w:rPr>
                <w:b/>
                <w:sz w:val="24"/>
                <w:szCs w:val="24"/>
              </w:rPr>
              <w:t>INF.</w:t>
            </w:r>
            <w:r w:rsidR="00EA275B">
              <w:rPr>
                <w:b/>
                <w:sz w:val="24"/>
                <w:szCs w:val="24"/>
              </w:rPr>
              <w:t>17</w:t>
            </w:r>
          </w:p>
        </w:tc>
      </w:tr>
    </w:tbl>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407E3EFB" w14:textId="7E6299BA"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C36355">
        <w:rPr>
          <w:b/>
        </w:rPr>
        <w:t>1 Nov</w:t>
      </w:r>
      <w:r w:rsidR="007B2DBE">
        <w:rPr>
          <w:b/>
        </w:rPr>
        <w:t>ember</w:t>
      </w:r>
      <w:r w:rsidR="008F4178">
        <w:rPr>
          <w:b/>
        </w:rPr>
        <w:t xml:space="preserve"> </w:t>
      </w:r>
      <w:r w:rsidR="00166CE1">
        <w:rPr>
          <w:b/>
        </w:rPr>
        <w:t>2</w:t>
      </w:r>
      <w:r w:rsidR="00500B84">
        <w:rPr>
          <w:b/>
        </w:rPr>
        <w:t>021</w:t>
      </w:r>
    </w:p>
    <w:p w14:paraId="4642F95A" w14:textId="0973BD75" w:rsidR="00760E7B" w:rsidRPr="00B042C8" w:rsidRDefault="00DE50D0" w:rsidP="00AA6D94">
      <w:r>
        <w:t>Geneva</w:t>
      </w:r>
      <w:r w:rsidR="00E57187">
        <w:t>, 0</w:t>
      </w:r>
      <w:r w:rsidR="00C36355">
        <w:t>8</w:t>
      </w:r>
      <w:r w:rsidR="00E57187">
        <w:t>-</w:t>
      </w:r>
      <w:r w:rsidR="00C36355">
        <w:t>12</w:t>
      </w:r>
      <w:r w:rsidR="00AA6D94" w:rsidRPr="00AA6D94">
        <w:t xml:space="preserve"> </w:t>
      </w:r>
      <w:r w:rsidR="00C36355">
        <w:t>November</w:t>
      </w:r>
      <w:r w:rsidR="00E12456">
        <w:t xml:space="preserve"> </w:t>
      </w:r>
      <w:r w:rsidR="00AA6D94" w:rsidRPr="00AA6D94">
        <w:t>202</w:t>
      </w:r>
      <w:r w:rsidR="00E12456">
        <w:t>1</w:t>
      </w:r>
    </w:p>
    <w:p w14:paraId="1264C731" w14:textId="6A4DB2D0" w:rsidR="00760E7B" w:rsidRDefault="00CC36E0" w:rsidP="00760E7B">
      <w:r>
        <w:t>Item 6</w:t>
      </w:r>
      <w:r w:rsidR="00760E7B">
        <w:t xml:space="preserve"> of the provisional agenda</w:t>
      </w:r>
    </w:p>
    <w:p w14:paraId="3F3A5FF1" w14:textId="0D0239B9" w:rsidR="00FA6DA6" w:rsidRPr="00FA6DA6" w:rsidRDefault="00D56511" w:rsidP="00B175D8">
      <w:pPr>
        <w:rPr>
          <w:b/>
        </w:rPr>
      </w:pPr>
      <w:r>
        <w:rPr>
          <w:b/>
        </w:rPr>
        <w:t>Interpretation of ADR</w:t>
      </w:r>
    </w:p>
    <w:p w14:paraId="3D7F82C8" w14:textId="08278FD3" w:rsidR="00E70778" w:rsidRPr="00E70778" w:rsidRDefault="00A15BF0" w:rsidP="00E70778">
      <w:pPr>
        <w:pStyle w:val="HChG"/>
        <w:rPr>
          <w:bCs/>
        </w:rPr>
      </w:pPr>
      <w:r>
        <w:tab/>
      </w:r>
      <w:r>
        <w:tab/>
      </w:r>
      <w:r w:rsidR="00C36355">
        <w:t xml:space="preserve">Editorial </w:t>
      </w:r>
      <w:r w:rsidR="00D739B3">
        <w:t>changes to</w:t>
      </w:r>
      <w:r w:rsidR="00C36355">
        <w:t xml:space="preserve"> proposed “Guideline for the determination of the first date of registration of road vehicles”</w:t>
      </w:r>
      <w:r w:rsidR="00657185">
        <w:t xml:space="preserve"> </w:t>
      </w:r>
      <w:r w:rsidR="00C36355">
        <w:t>in 2021/9</w:t>
      </w:r>
    </w:p>
    <w:p w14:paraId="5FC91184" w14:textId="508D2103" w:rsidR="00881C0C" w:rsidRDefault="00881C0C" w:rsidP="00881C0C">
      <w:pPr>
        <w:pStyle w:val="H1G"/>
      </w:pPr>
      <w:r>
        <w:tab/>
      </w:r>
      <w:r>
        <w:tab/>
      </w:r>
      <w:r w:rsidR="00795C2B" w:rsidRPr="007C7BC4">
        <w:t xml:space="preserve">Transmitted by the Government of the </w:t>
      </w:r>
      <w:r w:rsidR="001C1EDB">
        <w:t>United Kingdom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50CF1" w:rsidRPr="007C7BC4" w14:paraId="6483AFAA" w14:textId="77777777" w:rsidTr="007E4C3D">
        <w:trPr>
          <w:jc w:val="center"/>
        </w:trPr>
        <w:tc>
          <w:tcPr>
            <w:tcW w:w="9082" w:type="dxa"/>
            <w:shd w:val="clear" w:color="auto" w:fill="auto"/>
          </w:tcPr>
          <w:p w14:paraId="2317D644" w14:textId="77777777" w:rsidR="00150CF1" w:rsidRPr="003A39EA" w:rsidRDefault="00150CF1" w:rsidP="007E4C3D">
            <w:pPr>
              <w:spacing w:before="240" w:after="120"/>
              <w:ind w:left="255"/>
              <w:rPr>
                <w:i/>
              </w:rPr>
            </w:pPr>
            <w:r w:rsidRPr="003A39EA">
              <w:rPr>
                <w:i/>
              </w:rPr>
              <w:t>Summary</w:t>
            </w:r>
          </w:p>
        </w:tc>
      </w:tr>
      <w:tr w:rsidR="00150CF1" w:rsidRPr="00585E7B" w14:paraId="5FBF4D4F" w14:textId="77777777" w:rsidTr="007E4C3D">
        <w:trPr>
          <w:jc w:val="center"/>
        </w:trPr>
        <w:tc>
          <w:tcPr>
            <w:tcW w:w="9082" w:type="dxa"/>
            <w:shd w:val="clear" w:color="auto" w:fill="auto"/>
          </w:tcPr>
          <w:p w14:paraId="2AF6F91B" w14:textId="4FFA6B95" w:rsidR="00150CF1" w:rsidRPr="003A39EA" w:rsidRDefault="00150CF1" w:rsidP="00462DD9">
            <w:pPr>
              <w:tabs>
                <w:tab w:val="left" w:pos="3260"/>
              </w:tabs>
              <w:spacing w:after="120"/>
              <w:ind w:left="3260" w:right="1134" w:hanging="2126"/>
              <w:jc w:val="both"/>
            </w:pPr>
            <w:r w:rsidRPr="003A39EA">
              <w:rPr>
                <w:b/>
              </w:rPr>
              <w:t xml:space="preserve">Executive summary: </w:t>
            </w:r>
            <w:r w:rsidRPr="003A39EA">
              <w:tab/>
            </w:r>
            <w:r w:rsidR="00C36355">
              <w:t>The UK supports the introduction of the Guideline as contained in the Annex of 2021/9. However, there are several editorial changes that should be made which are outlined in this informal document.</w:t>
            </w:r>
          </w:p>
        </w:tc>
      </w:tr>
      <w:tr w:rsidR="00150CF1" w:rsidRPr="00585E7B" w14:paraId="677DECBF" w14:textId="77777777" w:rsidTr="007E4C3D">
        <w:trPr>
          <w:jc w:val="center"/>
        </w:trPr>
        <w:tc>
          <w:tcPr>
            <w:tcW w:w="9082" w:type="dxa"/>
            <w:shd w:val="clear" w:color="auto" w:fill="auto"/>
          </w:tcPr>
          <w:p w14:paraId="4905BAFF" w14:textId="16E5DB8F" w:rsidR="00150CF1" w:rsidRDefault="00150CF1" w:rsidP="001A6463">
            <w:pPr>
              <w:tabs>
                <w:tab w:val="left" w:pos="3260"/>
              </w:tabs>
              <w:ind w:left="3260" w:right="1134" w:hanging="2126"/>
              <w:rPr>
                <w:lang w:val="en-US"/>
              </w:rPr>
            </w:pPr>
            <w:r w:rsidRPr="003A39EA">
              <w:rPr>
                <w:b/>
              </w:rPr>
              <w:t>Action to be taken:</w:t>
            </w:r>
            <w:r w:rsidRPr="003A39EA">
              <w:rPr>
                <w:b/>
              </w:rPr>
              <w:tab/>
            </w:r>
            <w:r w:rsidR="00C36355">
              <w:t>Amend the wording of the proposed Guideline in the Annex of 2021/9.</w:t>
            </w:r>
          </w:p>
          <w:p w14:paraId="7BE3A6AB" w14:textId="77777777" w:rsidR="001A6463" w:rsidRPr="001A6463" w:rsidRDefault="001A6463" w:rsidP="001A6463">
            <w:pPr>
              <w:tabs>
                <w:tab w:val="left" w:pos="3260"/>
              </w:tabs>
              <w:ind w:left="3260" w:right="1134" w:hanging="2126"/>
              <w:rPr>
                <w:lang w:val="en-US"/>
              </w:rPr>
            </w:pPr>
          </w:p>
        </w:tc>
      </w:tr>
      <w:tr w:rsidR="00150CF1" w:rsidRPr="00585E7B" w14:paraId="73D40314" w14:textId="77777777" w:rsidTr="007E4C3D">
        <w:trPr>
          <w:jc w:val="center"/>
        </w:trPr>
        <w:tc>
          <w:tcPr>
            <w:tcW w:w="9082" w:type="dxa"/>
            <w:shd w:val="clear" w:color="auto" w:fill="auto"/>
          </w:tcPr>
          <w:p w14:paraId="64F05AB0" w14:textId="0EC7AC85" w:rsidR="00713BE4" w:rsidRPr="003A39EA" w:rsidRDefault="00150CF1" w:rsidP="006E069B">
            <w:pPr>
              <w:tabs>
                <w:tab w:val="left" w:pos="3260"/>
              </w:tabs>
              <w:ind w:left="3260" w:right="1134" w:hanging="2126"/>
              <w:rPr>
                <w:b/>
                <w:lang w:val="en-US"/>
              </w:rPr>
            </w:pPr>
            <w:r w:rsidRPr="003A39EA">
              <w:rPr>
                <w:b/>
              </w:rPr>
              <w:t>Related documents:</w:t>
            </w:r>
            <w:r w:rsidRPr="003A39EA">
              <w:rPr>
                <w:b/>
              </w:rPr>
              <w:tab/>
            </w:r>
            <w:r w:rsidR="00C36355">
              <w:t>ECE/TRANS/WP.15/2021/9</w:t>
            </w:r>
          </w:p>
        </w:tc>
      </w:tr>
      <w:tr w:rsidR="00150CF1" w:rsidRPr="00585E7B" w14:paraId="004E3B32" w14:textId="77777777" w:rsidTr="007E4C3D">
        <w:trPr>
          <w:jc w:val="center"/>
        </w:trPr>
        <w:tc>
          <w:tcPr>
            <w:tcW w:w="9082" w:type="dxa"/>
            <w:shd w:val="clear" w:color="auto" w:fill="auto"/>
          </w:tcPr>
          <w:p w14:paraId="2786FABF" w14:textId="77777777" w:rsidR="00150CF1" w:rsidRPr="007C7BC4" w:rsidRDefault="00150CF1" w:rsidP="007E4C3D">
            <w:pPr>
              <w:rPr>
                <w:lang w:val="en-US"/>
              </w:rPr>
            </w:pPr>
          </w:p>
        </w:tc>
      </w:tr>
    </w:tbl>
    <w:p w14:paraId="73350C9F" w14:textId="5AD83C84" w:rsidR="00145F26" w:rsidRPr="007C7BC4" w:rsidRDefault="00150CF1" w:rsidP="00EA275B">
      <w:pPr>
        <w:pStyle w:val="HChG"/>
      </w:pPr>
      <w:r>
        <w:rPr>
          <w:lang w:val="en-US"/>
        </w:rPr>
        <w:tab/>
      </w:r>
      <w:bookmarkStart w:id="1" w:name="_Hlk532555907"/>
      <w:r>
        <w:rPr>
          <w:lang w:val="en-US"/>
        </w:rPr>
        <w:tab/>
      </w:r>
      <w:bookmarkEnd w:id="1"/>
      <w:r w:rsidR="00EA275B">
        <w:rPr>
          <w:lang w:val="en-US"/>
        </w:rPr>
        <w:tab/>
      </w:r>
      <w:r w:rsidR="00221DDB">
        <w:rPr>
          <w:lang w:val="en-US"/>
        </w:rPr>
        <w:t>Background</w:t>
      </w:r>
    </w:p>
    <w:p w14:paraId="5A4BF4DD" w14:textId="0A417280" w:rsidR="00221DDB" w:rsidRPr="00EA275B" w:rsidRDefault="00EA275B" w:rsidP="00EA275B">
      <w:pPr>
        <w:pStyle w:val="SingleTxtG"/>
      </w:pPr>
      <w:r>
        <w:t>1.</w:t>
      </w:r>
      <w:r>
        <w:tab/>
      </w:r>
      <w:r w:rsidR="00C36355" w:rsidRPr="00EA275B">
        <w:t>ECE/TRANS/WP.15/2021/9 introduces a guidance document on the determination of the first date of registration of road vehicles.</w:t>
      </w:r>
    </w:p>
    <w:p w14:paraId="4D5D6820" w14:textId="1370B7B3" w:rsidR="00C36355" w:rsidRPr="00EA275B" w:rsidRDefault="00EA275B" w:rsidP="00EA275B">
      <w:pPr>
        <w:pStyle w:val="SingleTxtG"/>
      </w:pPr>
      <w:r>
        <w:t>2.</w:t>
      </w:r>
      <w:r>
        <w:tab/>
      </w:r>
      <w:r w:rsidR="00C36355" w:rsidRPr="00EA275B">
        <w:t>Whilst the UK supports the</w:t>
      </w:r>
      <w:r w:rsidR="00AB7F99" w:rsidRPr="00EA275B">
        <w:t xml:space="preserve"> introduction of the</w:t>
      </w:r>
      <w:r w:rsidR="00C36355" w:rsidRPr="00EA275B">
        <w:t xml:space="preserve"> Guideline, there are several editorial changes proposed to the document as outlined below. </w:t>
      </w:r>
    </w:p>
    <w:p w14:paraId="0E010AD0" w14:textId="535ABB82" w:rsidR="00900AF3" w:rsidRPr="00900AF3" w:rsidRDefault="00EA275B" w:rsidP="00EA275B">
      <w:pPr>
        <w:pStyle w:val="HChG"/>
      </w:pPr>
      <w:r>
        <w:tab/>
      </w:r>
      <w:r>
        <w:tab/>
      </w:r>
      <w:r w:rsidR="00900AF3" w:rsidRPr="00900AF3">
        <w:t>Action to be taken</w:t>
      </w:r>
    </w:p>
    <w:p w14:paraId="47F3BDD1" w14:textId="040F04C8" w:rsidR="00C36355" w:rsidRDefault="00EA275B" w:rsidP="00EA275B">
      <w:pPr>
        <w:pStyle w:val="SingleTxtG"/>
      </w:pPr>
      <w:r>
        <w:t>3.</w:t>
      </w:r>
      <w:r>
        <w:tab/>
      </w:r>
      <w:r w:rsidR="00C36355">
        <w:t xml:space="preserve">Amend the Guideline as below </w:t>
      </w:r>
      <w:r w:rsidR="00C36355" w:rsidRPr="00C36355">
        <w:t>(added text underlined, deleted text strikethrough):</w:t>
      </w:r>
    </w:p>
    <w:p w14:paraId="7916E796" w14:textId="5623B6CE" w:rsidR="00C36355" w:rsidRPr="00C36355" w:rsidRDefault="00C36355" w:rsidP="00EA275B">
      <w:pPr>
        <w:pStyle w:val="SingleTxtG"/>
        <w:ind w:left="1701"/>
        <w:rPr>
          <w:rStyle w:val="normaltextrun"/>
          <w:b/>
          <w:bCs/>
        </w:rPr>
      </w:pPr>
      <w:r w:rsidRPr="00C36355">
        <w:rPr>
          <w:rStyle w:val="normaltextrun"/>
          <w:b/>
          <w:bCs/>
        </w:rPr>
        <w:t>Guideline for the determination of the first date of registration of road vehicles (or date of entry into service if registration is mandatory) for the carriage of dangerous goods in relation to the application of the requirements of Chapter 9.2.</w:t>
      </w:r>
    </w:p>
    <w:p w14:paraId="12E4EDF0" w14:textId="4FE24422" w:rsidR="00C36355" w:rsidRPr="00C36355" w:rsidRDefault="00C36355" w:rsidP="00EA275B">
      <w:pPr>
        <w:pStyle w:val="SingleTxtG"/>
        <w:ind w:left="1701"/>
        <w:rPr>
          <w:sz w:val="14"/>
          <w:szCs w:val="14"/>
        </w:rPr>
      </w:pPr>
      <w:r w:rsidRPr="00C36355">
        <w:rPr>
          <w:rStyle w:val="normaltextrun"/>
        </w:rPr>
        <w:t>“The </w:t>
      </w:r>
      <w:r w:rsidRPr="00C36355">
        <w:rPr>
          <w:rStyle w:val="normaltextrun"/>
          <w:strike/>
        </w:rPr>
        <w:t>column</w:t>
      </w:r>
      <w:r w:rsidRPr="00C36355">
        <w:rPr>
          <w:rStyle w:val="normaltextrun"/>
        </w:rPr>
        <w:t> “comments” </w:t>
      </w:r>
      <w:r w:rsidRPr="00C36355">
        <w:rPr>
          <w:rStyle w:val="normaltextrun"/>
          <w:u w:val="single"/>
        </w:rPr>
        <w:t>column</w:t>
      </w:r>
      <w:r w:rsidRPr="00C36355">
        <w:rPr>
          <w:rStyle w:val="normaltextrun"/>
        </w:rPr>
        <w:t> in the table in sub-section 9.2.2 contains information </w:t>
      </w:r>
      <w:r w:rsidR="006141E5">
        <w:rPr>
          <w:rStyle w:val="normaltextrun"/>
          <w:u w:val="single"/>
        </w:rPr>
        <w:t>as</w:t>
      </w:r>
      <w:r w:rsidRPr="00C36355">
        <w:rPr>
          <w:rStyle w:val="normaltextrun"/>
        </w:rPr>
        <w:t> </w:t>
      </w:r>
      <w:r w:rsidR="006141E5">
        <w:rPr>
          <w:rStyle w:val="normaltextrun"/>
        </w:rPr>
        <w:t xml:space="preserve">to </w:t>
      </w:r>
      <w:r w:rsidRPr="00C36355">
        <w:rPr>
          <w:rStyle w:val="normaltextrun"/>
        </w:rPr>
        <w:t>which vehicles the requirements of Chapter 9.2 apply </w:t>
      </w:r>
      <w:r w:rsidRPr="00C36355">
        <w:rPr>
          <w:rStyle w:val="normaltextrun"/>
          <w:u w:val="single"/>
        </w:rPr>
        <w:t>to</w:t>
      </w:r>
      <w:r w:rsidRPr="00C36355">
        <w:rPr>
          <w:rStyle w:val="normaltextrun"/>
        </w:rPr>
        <w:t>. </w:t>
      </w:r>
      <w:r w:rsidRPr="00C36355">
        <w:rPr>
          <w:rStyle w:val="normaltextrun"/>
          <w:u w:val="single"/>
        </w:rPr>
        <w:t>Besides vehicle categories,</w:t>
      </w:r>
      <w:r w:rsidRPr="00C36355">
        <w:rPr>
          <w:rStyle w:val="normaltextrun"/>
        </w:rPr>
        <w:t> </w:t>
      </w:r>
      <w:r w:rsidRPr="00C36355">
        <w:rPr>
          <w:rStyle w:val="normaltextrun"/>
          <w:strike/>
        </w:rPr>
        <w:t>T</w:t>
      </w:r>
      <w:r w:rsidRPr="00C36355">
        <w:rPr>
          <w:rStyle w:val="normaltextrun"/>
        </w:rPr>
        <w:t>the application information </w:t>
      </w:r>
      <w:r w:rsidRPr="00C36355">
        <w:rPr>
          <w:rStyle w:val="normaltextrun"/>
          <w:strike/>
        </w:rPr>
        <w:t>contains besides vehicle categories</w:t>
      </w:r>
      <w:r w:rsidRPr="00C36355">
        <w:rPr>
          <w:rStyle w:val="normaltextrun"/>
          <w:u w:val="single"/>
        </w:rPr>
        <w:t>,</w:t>
      </w:r>
      <w:r w:rsidRPr="00C36355">
        <w:rPr>
          <w:rStyle w:val="normaltextrun"/>
        </w:rPr>
        <w:t> in most cases</w:t>
      </w:r>
      <w:r w:rsidRPr="00C36355">
        <w:rPr>
          <w:rStyle w:val="normaltextrun"/>
          <w:u w:val="single"/>
        </w:rPr>
        <w:t>,</w:t>
      </w:r>
      <w:r w:rsidRPr="00C36355">
        <w:rPr>
          <w:rStyle w:val="normaltextrun"/>
        </w:rPr>
        <w:t> also </w:t>
      </w:r>
      <w:r w:rsidRPr="00C36355">
        <w:rPr>
          <w:rStyle w:val="normaltextrun"/>
          <w:u w:val="single"/>
        </w:rPr>
        <w:t>contains</w:t>
      </w:r>
      <w:r w:rsidRPr="00C36355">
        <w:rPr>
          <w:rStyle w:val="normaltextrun"/>
        </w:rPr>
        <w:t> application dates. The application dates </w:t>
      </w:r>
      <w:r w:rsidRPr="00C36355">
        <w:rPr>
          <w:rStyle w:val="normaltextrun"/>
          <w:strike/>
        </w:rPr>
        <w:t>are referring</w:t>
      </w:r>
      <w:r w:rsidRPr="00C36355">
        <w:rPr>
          <w:rStyle w:val="normaltextrun"/>
        </w:rPr>
        <w:t> </w:t>
      </w:r>
      <w:r w:rsidRPr="00C36355">
        <w:rPr>
          <w:rStyle w:val="normaltextrun"/>
          <w:u w:val="single"/>
        </w:rPr>
        <w:t>refer</w:t>
      </w:r>
      <w:r w:rsidRPr="00C36355">
        <w:rPr>
          <w:rStyle w:val="normaltextrun"/>
        </w:rPr>
        <w:t> to the date of “first registration”. When registration is not mandatory</w:t>
      </w:r>
      <w:r w:rsidRPr="00C36355">
        <w:rPr>
          <w:rStyle w:val="normaltextrun"/>
          <w:u w:val="single"/>
        </w:rPr>
        <w:t>,</w:t>
      </w:r>
      <w:r w:rsidRPr="00C36355">
        <w:rPr>
          <w:rStyle w:val="normaltextrun"/>
        </w:rPr>
        <w:t> the date of entry into use shall be applied.</w:t>
      </w:r>
      <w:r w:rsidRPr="00C36355">
        <w:rPr>
          <w:rStyle w:val="eop"/>
        </w:rPr>
        <w:t> </w:t>
      </w:r>
    </w:p>
    <w:p w14:paraId="357A718F" w14:textId="77777777" w:rsidR="00B14018" w:rsidRDefault="00C36355" w:rsidP="00EA275B">
      <w:pPr>
        <w:pStyle w:val="SingleTxtG"/>
        <w:ind w:left="1701"/>
        <w:rPr>
          <w:rStyle w:val="normaltextrun"/>
        </w:rPr>
      </w:pPr>
      <w:r w:rsidRPr="00C36355">
        <w:rPr>
          <w:rStyle w:val="normaltextrun"/>
        </w:rPr>
        <w:t>Where “first registration” is used</w:t>
      </w:r>
      <w:r w:rsidRPr="00C36355">
        <w:rPr>
          <w:rStyle w:val="normaltextrun"/>
          <w:u w:val="single"/>
        </w:rPr>
        <w:t>,</w:t>
      </w:r>
      <w:r w:rsidRPr="00C36355">
        <w:rPr>
          <w:rStyle w:val="normaltextrun"/>
        </w:rPr>
        <w:t> this should be interpreted as the date the vehicle was allowed for the first time on the road and the licence was issued</w:t>
      </w:r>
      <w:r w:rsidRPr="00C36355">
        <w:rPr>
          <w:rStyle w:val="normaltextrun"/>
          <w:u w:val="single"/>
        </w:rPr>
        <w:t>,</w:t>
      </w:r>
      <w:r w:rsidRPr="00C36355">
        <w:rPr>
          <w:rStyle w:val="normaltextrun"/>
        </w:rPr>
        <w:t> rather than the first application for a “Certificate of Approval for Vehicles Carrying Dangerous Goods”.</w:t>
      </w:r>
    </w:p>
    <w:p w14:paraId="64D7B39D" w14:textId="54A62BD5" w:rsidR="00C36355" w:rsidRDefault="00C36355" w:rsidP="00EA275B">
      <w:pPr>
        <w:pStyle w:val="SingleTxtG"/>
        <w:ind w:left="1701"/>
        <w:rPr>
          <w:rStyle w:val="eop"/>
        </w:rPr>
      </w:pPr>
      <w:r w:rsidRPr="00C36355">
        <w:rPr>
          <w:rStyle w:val="eop"/>
        </w:rPr>
        <w:lastRenderedPageBreak/>
        <w:t> </w:t>
      </w:r>
      <w:r w:rsidRPr="00C36355">
        <w:rPr>
          <w:rStyle w:val="normaltextrun"/>
        </w:rPr>
        <w:t>In some cases, the registration is not mandatory, such as for light trailers, or </w:t>
      </w:r>
      <w:r w:rsidRPr="00C36355">
        <w:rPr>
          <w:rStyle w:val="normaltextrun"/>
          <w:u w:val="single"/>
        </w:rPr>
        <w:t>where</w:t>
      </w:r>
      <w:r w:rsidRPr="00C36355">
        <w:rPr>
          <w:rStyle w:val="normaltextrun"/>
        </w:rPr>
        <w:t> the registration will be performed at the first periodic inspection. In these cases, the date of entry into service shall be determined. If the date of entry into service cannot be retrieved in a reliable manner</w:t>
      </w:r>
      <w:r w:rsidRPr="00C36355">
        <w:rPr>
          <w:rStyle w:val="normaltextrun"/>
          <w:u w:val="single"/>
        </w:rPr>
        <w:t>,</w:t>
      </w:r>
      <w:r w:rsidRPr="00C36355">
        <w:rPr>
          <w:rStyle w:val="normaltextrun"/>
        </w:rPr>
        <w:t> it is advised to use the production date of the vehicle.</w:t>
      </w:r>
      <w:r w:rsidRPr="00C36355">
        <w:rPr>
          <w:rStyle w:val="eop"/>
        </w:rPr>
        <w:t> </w:t>
      </w:r>
    </w:p>
    <w:p w14:paraId="3BDB9C09" w14:textId="79A3A13A" w:rsidR="00B14018" w:rsidRDefault="00C36355" w:rsidP="00EA275B">
      <w:pPr>
        <w:pStyle w:val="SingleTxtG"/>
        <w:ind w:left="1701"/>
        <w:rPr>
          <w:rStyle w:val="eop"/>
        </w:rPr>
      </w:pPr>
      <w:r w:rsidRPr="00C36355">
        <w:rPr>
          <w:rStyle w:val="normaltextrun"/>
        </w:rPr>
        <w:t>Where vehicles are transferred from one country to another</w:t>
      </w:r>
      <w:r w:rsidRPr="00C36355">
        <w:rPr>
          <w:rStyle w:val="normaltextrun"/>
          <w:strike/>
        </w:rPr>
        <w:t> country</w:t>
      </w:r>
      <w:r w:rsidRPr="00C36355">
        <w:rPr>
          <w:rStyle w:val="normaltextrun"/>
          <w:u w:val="single"/>
        </w:rPr>
        <w:t>,</w:t>
      </w:r>
      <w:r w:rsidRPr="00C36355">
        <w:rPr>
          <w:rStyle w:val="normaltextrun"/>
        </w:rPr>
        <w:t> the date of the registration in the initial country of registration shall be applied. If this date of first registration, or first entry into use</w:t>
      </w:r>
      <w:r w:rsidRPr="00C36355">
        <w:rPr>
          <w:rStyle w:val="normaltextrun"/>
          <w:u w:val="single"/>
        </w:rPr>
        <w:t>,</w:t>
      </w:r>
      <w:r w:rsidRPr="00C36355">
        <w:rPr>
          <w:rStyle w:val="normaltextrun"/>
        </w:rPr>
        <w:t> cannot be retrieved in a reliable manner</w:t>
      </w:r>
      <w:r w:rsidRPr="00C36355">
        <w:rPr>
          <w:rStyle w:val="normaltextrun"/>
          <w:u w:val="single"/>
        </w:rPr>
        <w:t>,</w:t>
      </w:r>
      <w:r w:rsidRPr="00C36355">
        <w:rPr>
          <w:rStyle w:val="normaltextrun"/>
        </w:rPr>
        <w:t> the production date of the vehicle shall be used.</w:t>
      </w:r>
      <w:r w:rsidRPr="00C36355">
        <w:rPr>
          <w:rStyle w:val="eop"/>
        </w:rPr>
        <w:t> </w:t>
      </w:r>
    </w:p>
    <w:p w14:paraId="601D2887" w14:textId="23D8CED7" w:rsidR="00B14018" w:rsidRPr="00B14018" w:rsidRDefault="00B14018" w:rsidP="00EA275B">
      <w:pPr>
        <w:pStyle w:val="SingleTxtG"/>
        <w:ind w:left="1701"/>
      </w:pPr>
      <w:r w:rsidRPr="00B14018">
        <w:rPr>
          <w:rStyle w:val="eop"/>
        </w:rPr>
        <w:t>Where vehicles are used, or have been used, by public services and have their own</w:t>
      </w:r>
      <w:r>
        <w:rPr>
          <w:rStyle w:val="eop"/>
        </w:rPr>
        <w:t xml:space="preserve"> </w:t>
      </w:r>
      <w:r w:rsidRPr="00B14018">
        <w:rPr>
          <w:rStyle w:val="eop"/>
        </w:rPr>
        <w:t>registration system, the date of entry into use of that registration may be used. If this canno</w:t>
      </w:r>
      <w:r>
        <w:rPr>
          <w:rStyle w:val="eop"/>
        </w:rPr>
        <w:t xml:space="preserve">t </w:t>
      </w:r>
      <w:r w:rsidRPr="00B14018">
        <w:rPr>
          <w:rStyle w:val="eop"/>
        </w:rPr>
        <w:t>be retrieved in a reliable manner</w:t>
      </w:r>
      <w:r w:rsidRPr="00B14018">
        <w:rPr>
          <w:rStyle w:val="eop"/>
          <w:u w:val="single"/>
        </w:rPr>
        <w:t>,</w:t>
      </w:r>
      <w:r w:rsidRPr="00B14018">
        <w:rPr>
          <w:rStyle w:val="eop"/>
        </w:rPr>
        <w:t xml:space="preserve"> the production date of the vehicle shall be used.</w:t>
      </w:r>
    </w:p>
    <w:p w14:paraId="57BD4752" w14:textId="6020AF74" w:rsidR="00C36355" w:rsidRDefault="00C36355" w:rsidP="00EA275B">
      <w:pPr>
        <w:pStyle w:val="SingleTxtG"/>
        <w:ind w:left="1701"/>
        <w:rPr>
          <w:rStyle w:val="normaltextrun"/>
        </w:rPr>
      </w:pPr>
      <w:r w:rsidRPr="00C36355">
        <w:rPr>
          <w:rStyle w:val="normaltextrun"/>
        </w:rPr>
        <w:t>When an application for an (ADR) certificate of approval, as mentioned in 9.1.3, is made after the vehicle was already registered and in general use, the requirements in force at time of first registration (or entry into service) shall apply</w:t>
      </w:r>
      <w:r w:rsidRPr="00C36355">
        <w:rPr>
          <w:rStyle w:val="normaltextrun"/>
          <w:u w:val="single"/>
        </w:rPr>
        <w:t>,</w:t>
      </w:r>
      <w:r w:rsidRPr="00C36355">
        <w:rPr>
          <w:rStyle w:val="normaltextrun"/>
        </w:rPr>
        <w:t> unless transitional measures (or deleted transitional measures) no longer allow these requirements </w:t>
      </w:r>
      <w:r w:rsidRPr="00C36355">
        <w:rPr>
          <w:rStyle w:val="normaltextrun"/>
          <w:strike/>
        </w:rPr>
        <w:t>in force at time of first registration </w:t>
      </w:r>
      <w:r w:rsidRPr="00C36355">
        <w:rPr>
          <w:rStyle w:val="normaltextrun"/>
        </w:rPr>
        <w:t>to be applied. With “general use”</w:t>
      </w:r>
      <w:r w:rsidRPr="00C36355">
        <w:rPr>
          <w:rStyle w:val="normaltextrun"/>
          <w:u w:val="single"/>
        </w:rPr>
        <w:t>, what is meant is the</w:t>
      </w:r>
      <w:r w:rsidRPr="00C36355">
        <w:rPr>
          <w:rStyle w:val="normaltextrun"/>
        </w:rPr>
        <w:t> </w:t>
      </w:r>
      <w:r w:rsidRPr="00C36355">
        <w:rPr>
          <w:rStyle w:val="normaltextrun"/>
          <w:strike/>
        </w:rPr>
        <w:t>a</w:t>
      </w:r>
      <w:r w:rsidRPr="00C36355">
        <w:rPr>
          <w:rStyle w:val="normaltextrun"/>
        </w:rPr>
        <w:t> period </w:t>
      </w:r>
      <w:r w:rsidRPr="00C36355">
        <w:rPr>
          <w:rStyle w:val="normaltextrun"/>
          <w:strike/>
        </w:rPr>
        <w:t>is meant</w:t>
      </w:r>
      <w:r w:rsidRPr="00C36355">
        <w:rPr>
          <w:rStyle w:val="normaltextrun"/>
        </w:rPr>
        <w:t> that the vehicle is in use </w:t>
      </w:r>
      <w:r w:rsidRPr="00C36355">
        <w:rPr>
          <w:rStyle w:val="normaltextrun"/>
          <w:strike/>
        </w:rPr>
        <w:t>actually used</w:t>
      </w:r>
      <w:r w:rsidRPr="00C36355">
        <w:rPr>
          <w:rStyle w:val="normaltextrun"/>
        </w:rPr>
        <w:t>, rather than the period required for completion of the construction of the vehicle.</w:t>
      </w:r>
    </w:p>
    <w:p w14:paraId="03080B16" w14:textId="71E56A3D" w:rsidR="00FF0E07" w:rsidRDefault="00FF0E07" w:rsidP="00EA275B">
      <w:pPr>
        <w:pStyle w:val="SingleTxtG"/>
      </w:pPr>
      <w:r w:rsidRPr="00FF0E07">
        <w:t>4.</w:t>
      </w:r>
      <w:r>
        <w:tab/>
        <w:t xml:space="preserve">The </w:t>
      </w:r>
      <w:r w:rsidR="006141E5">
        <w:t xml:space="preserve">full </w:t>
      </w:r>
      <w:r>
        <w:t>new Guideline would therefore read as follows:</w:t>
      </w:r>
    </w:p>
    <w:p w14:paraId="34770F70" w14:textId="61ABA795" w:rsidR="00FF0E07" w:rsidRDefault="00FF0E07" w:rsidP="00EA275B">
      <w:pPr>
        <w:pStyle w:val="SingleTxtG"/>
        <w:ind w:left="1701"/>
        <w:rPr>
          <w:rStyle w:val="normaltextrun"/>
          <w:b/>
          <w:bCs/>
        </w:rPr>
      </w:pPr>
      <w:r w:rsidRPr="00C36355">
        <w:rPr>
          <w:rStyle w:val="normaltextrun"/>
          <w:b/>
          <w:bCs/>
        </w:rPr>
        <w:t>Guideline for the determination of the first date of registration of road vehicles (or date of entry into service if registration is mandatory) for the carriage of dangerous goods in relation to the application of the requirements of Chapter 9.2.</w:t>
      </w:r>
    </w:p>
    <w:p w14:paraId="1148ED77" w14:textId="365CBB3F" w:rsidR="00FF0E07" w:rsidRDefault="00FF0E07" w:rsidP="00EA275B">
      <w:pPr>
        <w:pStyle w:val="SingleTxtG"/>
        <w:ind w:left="1701"/>
        <w:rPr>
          <w:rStyle w:val="normaltextrun"/>
        </w:rPr>
      </w:pPr>
      <w:r w:rsidRPr="00FF0E07">
        <w:rPr>
          <w:rStyle w:val="normaltextrun"/>
        </w:rPr>
        <w:t>The “comments” column in the table in sub-section 9.2.2 contains information</w:t>
      </w:r>
      <w:r w:rsidR="006141E5">
        <w:rPr>
          <w:rStyle w:val="normaltextrun"/>
        </w:rPr>
        <w:t xml:space="preserve"> as to</w:t>
      </w:r>
      <w:r w:rsidRPr="00FF0E07">
        <w:rPr>
          <w:rStyle w:val="normaltextrun"/>
        </w:rPr>
        <w:t xml:space="preserve"> which vehicles the requirements of Chapter 9.2 apply</w:t>
      </w:r>
      <w:r>
        <w:rPr>
          <w:rStyle w:val="normaltextrun"/>
        </w:rPr>
        <w:t xml:space="preserve"> to</w:t>
      </w:r>
      <w:r w:rsidRPr="00FF0E07">
        <w:rPr>
          <w:rStyle w:val="normaltextrun"/>
        </w:rPr>
        <w:t>. Besides vehicle categories, the application information, in most cases, also contains application dates. The application dates refer to the date of “first registration”. When registration is not mandatory, the date of entry into use shall be applied.</w:t>
      </w:r>
    </w:p>
    <w:p w14:paraId="1E883322" w14:textId="1155AEF2" w:rsidR="006141E5" w:rsidRDefault="006141E5" w:rsidP="00EA275B">
      <w:pPr>
        <w:pStyle w:val="SingleTxtG"/>
        <w:ind w:left="1701"/>
        <w:rPr>
          <w:rStyle w:val="normaltextrun"/>
        </w:rPr>
      </w:pPr>
      <w:r w:rsidRPr="006141E5">
        <w:rPr>
          <w:rStyle w:val="normaltextrun"/>
        </w:rPr>
        <w:t>Where “first registration” is used, this should be interpreted as the date the vehicle was allowed for the first time on the road and the licence was issued, rather than the first application for a “Certificate of Approval for Vehicles Carrying Dangerous Goods”.</w:t>
      </w:r>
    </w:p>
    <w:p w14:paraId="1F253E7A" w14:textId="286E2ECC" w:rsidR="006141E5" w:rsidRDefault="006141E5" w:rsidP="00EA275B">
      <w:pPr>
        <w:pStyle w:val="SingleTxtG"/>
        <w:ind w:left="1701"/>
        <w:rPr>
          <w:rStyle w:val="normaltextrun"/>
        </w:rPr>
      </w:pPr>
      <w:r w:rsidRPr="006141E5">
        <w:rPr>
          <w:rStyle w:val="normaltextrun"/>
        </w:rPr>
        <w:t>In some cases, the registration is not mandatory, such as for light trailers, or where the registration will be performed at the first periodic inspection. In these cases, the date of entry into service shall be determined. If the date of entry into service cannot be retrieved in a reliable manner, it is advised to use the production date of the vehicl</w:t>
      </w:r>
      <w:r>
        <w:rPr>
          <w:rStyle w:val="normaltextrun"/>
        </w:rPr>
        <w:t xml:space="preserve">e. </w:t>
      </w:r>
    </w:p>
    <w:p w14:paraId="26060FBE" w14:textId="5B972C20" w:rsidR="006141E5" w:rsidRDefault="006141E5" w:rsidP="00EA275B">
      <w:pPr>
        <w:pStyle w:val="SingleTxtG"/>
        <w:ind w:left="1701"/>
        <w:rPr>
          <w:rStyle w:val="normaltextrun"/>
        </w:rPr>
      </w:pPr>
      <w:r w:rsidRPr="006141E5">
        <w:rPr>
          <w:rStyle w:val="normaltextrun"/>
        </w:rPr>
        <w:t xml:space="preserve">Where vehicles are transferred from one country to another, the date of the registration in the initial country of registration shall be applied. If this date of first registration, or first entry into use, cannot be retrieved in a reliable manner, the production date of the vehicle shall be used.  </w:t>
      </w:r>
    </w:p>
    <w:p w14:paraId="5184C1AF" w14:textId="64E9B5D2" w:rsidR="00C933E0" w:rsidRDefault="00C933E0" w:rsidP="00EA275B">
      <w:pPr>
        <w:pStyle w:val="SingleTxtG"/>
        <w:ind w:left="1701"/>
        <w:rPr>
          <w:rStyle w:val="normaltextrun"/>
        </w:rPr>
      </w:pPr>
      <w:r w:rsidRPr="00C933E0">
        <w:rPr>
          <w:rStyle w:val="normaltextrun"/>
        </w:rPr>
        <w:t>Where vehicles are used, or have been used, by public services and have their own registration system, the date of entry into use of that registration may be used. If this cannot be retrieved in a reliable manner, the production date of the vehicle shall be used.</w:t>
      </w:r>
    </w:p>
    <w:p w14:paraId="4CED9F9A" w14:textId="707B5330" w:rsidR="00243488" w:rsidRDefault="00C933E0" w:rsidP="00EA275B">
      <w:pPr>
        <w:pStyle w:val="SingleTxtG"/>
        <w:ind w:left="1701"/>
        <w:rPr>
          <w:rStyle w:val="normaltextrun"/>
        </w:rPr>
      </w:pPr>
      <w:r w:rsidRPr="00C933E0">
        <w:rPr>
          <w:rStyle w:val="normaltextrun"/>
        </w:rPr>
        <w:t>When an application for an (ADR) certificate of approval, as mentioned in 9.1.3, is made after the vehicle was already registered and in general use, the requirements in force at time of first registration (or entry into service) shall apply, unless transitional measures (or deleted transitional measures) no longer allow these requirements to be applied. With “general use”, what is meant is the period that the vehicle is in use, rather than the period required for completion of the construction of the vehicle.</w:t>
      </w:r>
    </w:p>
    <w:p w14:paraId="46335C29" w14:textId="3B637752" w:rsidR="00EA275B" w:rsidRPr="00EA275B" w:rsidRDefault="00EA275B" w:rsidP="00EA275B">
      <w:pPr>
        <w:spacing w:before="240"/>
        <w:jc w:val="center"/>
        <w:rPr>
          <w:u w:val="single"/>
        </w:rPr>
      </w:pPr>
      <w:r>
        <w:rPr>
          <w:u w:val="single"/>
        </w:rPr>
        <w:tab/>
      </w:r>
      <w:r>
        <w:rPr>
          <w:u w:val="single"/>
        </w:rPr>
        <w:tab/>
      </w:r>
      <w:r>
        <w:rPr>
          <w:u w:val="single"/>
        </w:rPr>
        <w:tab/>
      </w:r>
    </w:p>
    <w:p w14:paraId="39E856E8" w14:textId="51758C17" w:rsidR="002E2DA5" w:rsidRPr="00E17060" w:rsidRDefault="002E2DA5" w:rsidP="00E17060">
      <w:pPr>
        <w:suppressAutoHyphens w:val="0"/>
        <w:spacing w:line="240" w:lineRule="auto"/>
      </w:pPr>
    </w:p>
    <w:sectPr w:rsidR="002E2DA5" w:rsidRPr="00E17060" w:rsidSect="00A520C1">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CBDA" w14:textId="77777777" w:rsidR="00BE45C0" w:rsidRDefault="00BE45C0"/>
  </w:endnote>
  <w:endnote w:type="continuationSeparator" w:id="0">
    <w:p w14:paraId="34D56282" w14:textId="77777777" w:rsidR="00BE45C0" w:rsidRDefault="00BE45C0"/>
  </w:endnote>
  <w:endnote w:type="continuationNotice" w:id="1">
    <w:p w14:paraId="629B7003" w14:textId="77777777" w:rsidR="00BE45C0" w:rsidRDefault="00BE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4A3A" w14:textId="3F6634E8"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77405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71AA" w14:textId="2BF52BF0"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17060">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07FB" w14:textId="77777777" w:rsidR="00BE45C0" w:rsidRPr="000B175B" w:rsidRDefault="00BE45C0" w:rsidP="000B175B">
      <w:pPr>
        <w:tabs>
          <w:tab w:val="right" w:pos="2155"/>
        </w:tabs>
        <w:spacing w:after="80"/>
        <w:ind w:left="680"/>
        <w:rPr>
          <w:u w:val="single"/>
        </w:rPr>
      </w:pPr>
      <w:r>
        <w:rPr>
          <w:u w:val="single"/>
        </w:rPr>
        <w:tab/>
      </w:r>
    </w:p>
  </w:footnote>
  <w:footnote w:type="continuationSeparator" w:id="0">
    <w:p w14:paraId="70BCB630" w14:textId="77777777" w:rsidR="00BE45C0" w:rsidRPr="00FC68B7" w:rsidRDefault="00BE45C0" w:rsidP="00FC68B7">
      <w:pPr>
        <w:tabs>
          <w:tab w:val="left" w:pos="2155"/>
        </w:tabs>
        <w:spacing w:after="80"/>
        <w:ind w:left="680"/>
        <w:rPr>
          <w:u w:val="single"/>
        </w:rPr>
      </w:pPr>
      <w:r>
        <w:rPr>
          <w:u w:val="single"/>
        </w:rPr>
        <w:tab/>
      </w:r>
    </w:p>
  </w:footnote>
  <w:footnote w:type="continuationNotice" w:id="1">
    <w:p w14:paraId="1249ECBE" w14:textId="77777777" w:rsidR="00BE45C0" w:rsidRDefault="00BE4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E4ED" w14:textId="56A419E0" w:rsidR="007C1348" w:rsidRPr="009D2A5B" w:rsidRDefault="00FF2308" w:rsidP="008D6CB9">
    <w:pPr>
      <w:pStyle w:val="Header"/>
      <w:tabs>
        <w:tab w:val="right" w:pos="9126"/>
      </w:tabs>
    </w:pPr>
    <w:r>
      <w:t>INF.</w:t>
    </w:r>
    <w:r w:rsidR="00EA275B">
      <w:t>17</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DA25" w14:textId="3EA6D592" w:rsidR="007C1348" w:rsidRPr="009D2A5B" w:rsidRDefault="00C933E0" w:rsidP="009D2A5B">
    <w:pPr>
      <w:pStyle w:val="Header"/>
      <w:jc w:val="right"/>
    </w:pPr>
    <w:r>
      <w:t>INF.</w:t>
    </w:r>
    <w:r w:rsidR="007A5CCB">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4" w15:restartNumberingAfterBreak="0">
    <w:nsid w:val="5FE107B6"/>
    <w:multiLevelType w:val="hybridMultilevel"/>
    <w:tmpl w:val="11843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7E1063"/>
    <w:multiLevelType w:val="hybridMultilevel"/>
    <w:tmpl w:val="4260F0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0B25091"/>
    <w:multiLevelType w:val="hybridMultilevel"/>
    <w:tmpl w:val="4844E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0" w15:restartNumberingAfterBreak="0">
    <w:nsid w:val="66D2563C"/>
    <w:multiLevelType w:val="hybridMultilevel"/>
    <w:tmpl w:val="6FCC71A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25"/>
  </w:num>
  <w:num w:numId="15">
    <w:abstractNumId w:val="14"/>
  </w:num>
  <w:num w:numId="16">
    <w:abstractNumId w:val="11"/>
  </w:num>
  <w:num w:numId="17">
    <w:abstractNumId w:val="23"/>
  </w:num>
  <w:num w:numId="18">
    <w:abstractNumId w:val="34"/>
  </w:num>
  <w:num w:numId="19">
    <w:abstractNumId w:val="29"/>
  </w:num>
  <w:num w:numId="20">
    <w:abstractNumId w:val="12"/>
  </w:num>
  <w:num w:numId="21">
    <w:abstractNumId w:val="15"/>
  </w:num>
  <w:num w:numId="22">
    <w:abstractNumId w:val="18"/>
  </w:num>
  <w:num w:numId="23">
    <w:abstractNumId w:val="31"/>
  </w:num>
  <w:num w:numId="24">
    <w:abstractNumId w:val="20"/>
  </w:num>
  <w:num w:numId="25">
    <w:abstractNumId w:val="33"/>
  </w:num>
  <w:num w:numId="26">
    <w:abstractNumId w:val="28"/>
  </w:num>
  <w:num w:numId="27">
    <w:abstractNumId w:val="17"/>
  </w:num>
  <w:num w:numId="28">
    <w:abstractNumId w:val="13"/>
  </w:num>
  <w:num w:numId="29">
    <w:abstractNumId w:val="22"/>
  </w:num>
  <w:num w:numId="30">
    <w:abstractNumId w:val="19"/>
  </w:num>
  <w:num w:numId="31">
    <w:abstractNumId w:val="32"/>
  </w:num>
  <w:num w:numId="32">
    <w:abstractNumId w:val="26"/>
  </w:num>
  <w:num w:numId="33">
    <w:abstractNumId w:val="30"/>
  </w:num>
  <w:num w:numId="34">
    <w:abstractNumId w:val="27"/>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500E"/>
    <w:rsid w:val="00010BE8"/>
    <w:rsid w:val="00011981"/>
    <w:rsid w:val="00016292"/>
    <w:rsid w:val="00016765"/>
    <w:rsid w:val="0003441A"/>
    <w:rsid w:val="00034A36"/>
    <w:rsid w:val="00037F90"/>
    <w:rsid w:val="00041F40"/>
    <w:rsid w:val="00044A54"/>
    <w:rsid w:val="00046B1F"/>
    <w:rsid w:val="000509A7"/>
    <w:rsid w:val="00050F6B"/>
    <w:rsid w:val="0005203F"/>
    <w:rsid w:val="000525CD"/>
    <w:rsid w:val="0005583C"/>
    <w:rsid w:val="000572B1"/>
    <w:rsid w:val="00057E97"/>
    <w:rsid w:val="00060E4C"/>
    <w:rsid w:val="00064C46"/>
    <w:rsid w:val="0006563E"/>
    <w:rsid w:val="000705A8"/>
    <w:rsid w:val="00072C8C"/>
    <w:rsid w:val="000733B5"/>
    <w:rsid w:val="00074984"/>
    <w:rsid w:val="0007696F"/>
    <w:rsid w:val="00076BC3"/>
    <w:rsid w:val="00076E7D"/>
    <w:rsid w:val="00077F21"/>
    <w:rsid w:val="00080491"/>
    <w:rsid w:val="00080820"/>
    <w:rsid w:val="0008179C"/>
    <w:rsid w:val="00081815"/>
    <w:rsid w:val="00084FD7"/>
    <w:rsid w:val="000852B7"/>
    <w:rsid w:val="00085B9E"/>
    <w:rsid w:val="000931C0"/>
    <w:rsid w:val="00093785"/>
    <w:rsid w:val="0009594B"/>
    <w:rsid w:val="000B0595"/>
    <w:rsid w:val="000B1333"/>
    <w:rsid w:val="000B175B"/>
    <w:rsid w:val="000B2C53"/>
    <w:rsid w:val="000B39C4"/>
    <w:rsid w:val="000B3A0F"/>
    <w:rsid w:val="000B4EF7"/>
    <w:rsid w:val="000B642F"/>
    <w:rsid w:val="000B6A0E"/>
    <w:rsid w:val="000C03FF"/>
    <w:rsid w:val="000C2C03"/>
    <w:rsid w:val="000C2D2E"/>
    <w:rsid w:val="000C3415"/>
    <w:rsid w:val="000C4D51"/>
    <w:rsid w:val="000C71FA"/>
    <w:rsid w:val="000D4774"/>
    <w:rsid w:val="000E0415"/>
    <w:rsid w:val="000F7C0B"/>
    <w:rsid w:val="000F7D50"/>
    <w:rsid w:val="00103DD2"/>
    <w:rsid w:val="00104A5B"/>
    <w:rsid w:val="001103AA"/>
    <w:rsid w:val="00113658"/>
    <w:rsid w:val="0011666B"/>
    <w:rsid w:val="001208AC"/>
    <w:rsid w:val="001263CA"/>
    <w:rsid w:val="001269FF"/>
    <w:rsid w:val="001338CE"/>
    <w:rsid w:val="00141246"/>
    <w:rsid w:val="00145F26"/>
    <w:rsid w:val="001471DC"/>
    <w:rsid w:val="00150CF1"/>
    <w:rsid w:val="0015207E"/>
    <w:rsid w:val="00153B2F"/>
    <w:rsid w:val="00155068"/>
    <w:rsid w:val="0015746D"/>
    <w:rsid w:val="00157732"/>
    <w:rsid w:val="00161B7D"/>
    <w:rsid w:val="001640D7"/>
    <w:rsid w:val="00165F3A"/>
    <w:rsid w:val="00166CE1"/>
    <w:rsid w:val="001672AD"/>
    <w:rsid w:val="00174607"/>
    <w:rsid w:val="00174858"/>
    <w:rsid w:val="0017587F"/>
    <w:rsid w:val="001837B1"/>
    <w:rsid w:val="00185EE7"/>
    <w:rsid w:val="00186B58"/>
    <w:rsid w:val="001A0A4C"/>
    <w:rsid w:val="001A6463"/>
    <w:rsid w:val="001A713B"/>
    <w:rsid w:val="001B13A5"/>
    <w:rsid w:val="001B2578"/>
    <w:rsid w:val="001B4B04"/>
    <w:rsid w:val="001C0B30"/>
    <w:rsid w:val="001C0FF0"/>
    <w:rsid w:val="001C1EDB"/>
    <w:rsid w:val="001C5FB3"/>
    <w:rsid w:val="001C6663"/>
    <w:rsid w:val="001C7895"/>
    <w:rsid w:val="001D0BD2"/>
    <w:rsid w:val="001D0C8C"/>
    <w:rsid w:val="001D1419"/>
    <w:rsid w:val="001D168A"/>
    <w:rsid w:val="001D26DF"/>
    <w:rsid w:val="001D3A03"/>
    <w:rsid w:val="001D5F7D"/>
    <w:rsid w:val="001D7665"/>
    <w:rsid w:val="001D7F46"/>
    <w:rsid w:val="001E0B9E"/>
    <w:rsid w:val="001E6236"/>
    <w:rsid w:val="001E7B67"/>
    <w:rsid w:val="001F3504"/>
    <w:rsid w:val="001F7435"/>
    <w:rsid w:val="002017A5"/>
    <w:rsid w:val="00202DA8"/>
    <w:rsid w:val="0021157B"/>
    <w:rsid w:val="00211E0B"/>
    <w:rsid w:val="00212021"/>
    <w:rsid w:val="00212864"/>
    <w:rsid w:val="00213E6F"/>
    <w:rsid w:val="00217CC1"/>
    <w:rsid w:val="00221DDB"/>
    <w:rsid w:val="00223811"/>
    <w:rsid w:val="002315E8"/>
    <w:rsid w:val="002328AB"/>
    <w:rsid w:val="00233B26"/>
    <w:rsid w:val="00243488"/>
    <w:rsid w:val="00253284"/>
    <w:rsid w:val="0025480C"/>
    <w:rsid w:val="00256C0A"/>
    <w:rsid w:val="00262491"/>
    <w:rsid w:val="002627D6"/>
    <w:rsid w:val="00267F5F"/>
    <w:rsid w:val="00277C12"/>
    <w:rsid w:val="0028148A"/>
    <w:rsid w:val="00286B4D"/>
    <w:rsid w:val="0029159C"/>
    <w:rsid w:val="00296FF8"/>
    <w:rsid w:val="002A1967"/>
    <w:rsid w:val="002A603B"/>
    <w:rsid w:val="002B131E"/>
    <w:rsid w:val="002B4105"/>
    <w:rsid w:val="002C26B8"/>
    <w:rsid w:val="002C3EB2"/>
    <w:rsid w:val="002C69C0"/>
    <w:rsid w:val="002D0A44"/>
    <w:rsid w:val="002D0BE9"/>
    <w:rsid w:val="002D285D"/>
    <w:rsid w:val="002D4643"/>
    <w:rsid w:val="002D4B6C"/>
    <w:rsid w:val="002D79D8"/>
    <w:rsid w:val="002E2DA5"/>
    <w:rsid w:val="002F175C"/>
    <w:rsid w:val="00302E18"/>
    <w:rsid w:val="00304A55"/>
    <w:rsid w:val="00312506"/>
    <w:rsid w:val="003126C9"/>
    <w:rsid w:val="003229D8"/>
    <w:rsid w:val="00324232"/>
    <w:rsid w:val="00324416"/>
    <w:rsid w:val="00325566"/>
    <w:rsid w:val="00325CCB"/>
    <w:rsid w:val="00351974"/>
    <w:rsid w:val="00352709"/>
    <w:rsid w:val="00352D09"/>
    <w:rsid w:val="00371178"/>
    <w:rsid w:val="00380694"/>
    <w:rsid w:val="00381475"/>
    <w:rsid w:val="00381D79"/>
    <w:rsid w:val="003826B7"/>
    <w:rsid w:val="003908B2"/>
    <w:rsid w:val="00392D7D"/>
    <w:rsid w:val="003A39EA"/>
    <w:rsid w:val="003A6810"/>
    <w:rsid w:val="003B095A"/>
    <w:rsid w:val="003B5431"/>
    <w:rsid w:val="003B5F3B"/>
    <w:rsid w:val="003B6EC4"/>
    <w:rsid w:val="003C1B8A"/>
    <w:rsid w:val="003C2CC4"/>
    <w:rsid w:val="003C3278"/>
    <w:rsid w:val="003D2113"/>
    <w:rsid w:val="003D4B23"/>
    <w:rsid w:val="003D5E89"/>
    <w:rsid w:val="003F01D4"/>
    <w:rsid w:val="003F6344"/>
    <w:rsid w:val="003F7686"/>
    <w:rsid w:val="003F78E2"/>
    <w:rsid w:val="00402A20"/>
    <w:rsid w:val="00403C13"/>
    <w:rsid w:val="00405778"/>
    <w:rsid w:val="004059B4"/>
    <w:rsid w:val="00405D3D"/>
    <w:rsid w:val="00410C89"/>
    <w:rsid w:val="00422E03"/>
    <w:rsid w:val="00426B9B"/>
    <w:rsid w:val="00430B22"/>
    <w:rsid w:val="00430EFE"/>
    <w:rsid w:val="004325CB"/>
    <w:rsid w:val="00437C85"/>
    <w:rsid w:val="00441896"/>
    <w:rsid w:val="00442A83"/>
    <w:rsid w:val="00443AB5"/>
    <w:rsid w:val="00452A4C"/>
    <w:rsid w:val="0045495B"/>
    <w:rsid w:val="00455CB8"/>
    <w:rsid w:val="00456250"/>
    <w:rsid w:val="00462DD9"/>
    <w:rsid w:val="00474E9F"/>
    <w:rsid w:val="00476932"/>
    <w:rsid w:val="00483694"/>
    <w:rsid w:val="0048397A"/>
    <w:rsid w:val="0048428B"/>
    <w:rsid w:val="004850BD"/>
    <w:rsid w:val="00486346"/>
    <w:rsid w:val="004937E8"/>
    <w:rsid w:val="00494398"/>
    <w:rsid w:val="00496590"/>
    <w:rsid w:val="00497492"/>
    <w:rsid w:val="004A12F2"/>
    <w:rsid w:val="004B0201"/>
    <w:rsid w:val="004B2F6F"/>
    <w:rsid w:val="004B31D0"/>
    <w:rsid w:val="004B48B6"/>
    <w:rsid w:val="004C023F"/>
    <w:rsid w:val="004C2461"/>
    <w:rsid w:val="004C5E34"/>
    <w:rsid w:val="004C7462"/>
    <w:rsid w:val="004C7F0D"/>
    <w:rsid w:val="004D4561"/>
    <w:rsid w:val="004D4E04"/>
    <w:rsid w:val="004D5426"/>
    <w:rsid w:val="004E0C05"/>
    <w:rsid w:val="004E77B2"/>
    <w:rsid w:val="00500B84"/>
    <w:rsid w:val="00502140"/>
    <w:rsid w:val="00503D2A"/>
    <w:rsid w:val="00503DEB"/>
    <w:rsid w:val="00503E2F"/>
    <w:rsid w:val="00504B2D"/>
    <w:rsid w:val="00504E10"/>
    <w:rsid w:val="00511A9B"/>
    <w:rsid w:val="0051779B"/>
    <w:rsid w:val="0052136D"/>
    <w:rsid w:val="00522B58"/>
    <w:rsid w:val="005230F9"/>
    <w:rsid w:val="0052775E"/>
    <w:rsid w:val="00531AA4"/>
    <w:rsid w:val="00535262"/>
    <w:rsid w:val="00535C90"/>
    <w:rsid w:val="00536489"/>
    <w:rsid w:val="00541160"/>
    <w:rsid w:val="005420F2"/>
    <w:rsid w:val="00543785"/>
    <w:rsid w:val="00545927"/>
    <w:rsid w:val="00546993"/>
    <w:rsid w:val="005469E1"/>
    <w:rsid w:val="00546AD4"/>
    <w:rsid w:val="005551E8"/>
    <w:rsid w:val="005628B6"/>
    <w:rsid w:val="0056531D"/>
    <w:rsid w:val="00570F9C"/>
    <w:rsid w:val="00576414"/>
    <w:rsid w:val="00577F4F"/>
    <w:rsid w:val="00584EA7"/>
    <w:rsid w:val="00586737"/>
    <w:rsid w:val="005966C8"/>
    <w:rsid w:val="00597EDC"/>
    <w:rsid w:val="005A575C"/>
    <w:rsid w:val="005A5FB7"/>
    <w:rsid w:val="005B3DB3"/>
    <w:rsid w:val="005B4E13"/>
    <w:rsid w:val="005B6F2D"/>
    <w:rsid w:val="005D24F5"/>
    <w:rsid w:val="005E0180"/>
    <w:rsid w:val="005E6A69"/>
    <w:rsid w:val="005E6A77"/>
    <w:rsid w:val="005E7F46"/>
    <w:rsid w:val="005F0B13"/>
    <w:rsid w:val="005F58C6"/>
    <w:rsid w:val="005F7B75"/>
    <w:rsid w:val="006001EE"/>
    <w:rsid w:val="006009AF"/>
    <w:rsid w:val="00605042"/>
    <w:rsid w:val="00606EFA"/>
    <w:rsid w:val="00611FC4"/>
    <w:rsid w:val="006141E5"/>
    <w:rsid w:val="006176FB"/>
    <w:rsid w:val="00622F39"/>
    <w:rsid w:val="00623FE6"/>
    <w:rsid w:val="00630417"/>
    <w:rsid w:val="0063620C"/>
    <w:rsid w:val="00640B26"/>
    <w:rsid w:val="00652831"/>
    <w:rsid w:val="00652D0A"/>
    <w:rsid w:val="00656903"/>
    <w:rsid w:val="00656B98"/>
    <w:rsid w:val="00657185"/>
    <w:rsid w:val="006623D5"/>
    <w:rsid w:val="00662BB6"/>
    <w:rsid w:val="00667F8F"/>
    <w:rsid w:val="00673CF4"/>
    <w:rsid w:val="006760DF"/>
    <w:rsid w:val="00683E76"/>
    <w:rsid w:val="00684C21"/>
    <w:rsid w:val="0069232B"/>
    <w:rsid w:val="006928C7"/>
    <w:rsid w:val="006A2530"/>
    <w:rsid w:val="006A3674"/>
    <w:rsid w:val="006A435E"/>
    <w:rsid w:val="006A4452"/>
    <w:rsid w:val="006A4FA6"/>
    <w:rsid w:val="006A6AC0"/>
    <w:rsid w:val="006B09CF"/>
    <w:rsid w:val="006B6BB5"/>
    <w:rsid w:val="006C18C7"/>
    <w:rsid w:val="006C208B"/>
    <w:rsid w:val="006C3589"/>
    <w:rsid w:val="006D37AF"/>
    <w:rsid w:val="006D51D0"/>
    <w:rsid w:val="006E069B"/>
    <w:rsid w:val="006E1F12"/>
    <w:rsid w:val="006E5117"/>
    <w:rsid w:val="006E564B"/>
    <w:rsid w:val="006E5A69"/>
    <w:rsid w:val="006E6941"/>
    <w:rsid w:val="006E7191"/>
    <w:rsid w:val="006F074A"/>
    <w:rsid w:val="006F7223"/>
    <w:rsid w:val="00703577"/>
    <w:rsid w:val="00705894"/>
    <w:rsid w:val="007106C3"/>
    <w:rsid w:val="00713BE4"/>
    <w:rsid w:val="00716C3D"/>
    <w:rsid w:val="0072632A"/>
    <w:rsid w:val="00731EF3"/>
    <w:rsid w:val="00731FF0"/>
    <w:rsid w:val="007327D5"/>
    <w:rsid w:val="00742D12"/>
    <w:rsid w:val="00743B51"/>
    <w:rsid w:val="0074739F"/>
    <w:rsid w:val="00760E7B"/>
    <w:rsid w:val="007611CF"/>
    <w:rsid w:val="007629C8"/>
    <w:rsid w:val="007646F7"/>
    <w:rsid w:val="0077047D"/>
    <w:rsid w:val="0077061D"/>
    <w:rsid w:val="007718A1"/>
    <w:rsid w:val="00774055"/>
    <w:rsid w:val="007759EE"/>
    <w:rsid w:val="00775DFD"/>
    <w:rsid w:val="0078594F"/>
    <w:rsid w:val="00786800"/>
    <w:rsid w:val="0078758C"/>
    <w:rsid w:val="00792EE1"/>
    <w:rsid w:val="00795746"/>
    <w:rsid w:val="00795C2B"/>
    <w:rsid w:val="007A5CCB"/>
    <w:rsid w:val="007B14B1"/>
    <w:rsid w:val="007B2DBE"/>
    <w:rsid w:val="007B6BA5"/>
    <w:rsid w:val="007C12D9"/>
    <w:rsid w:val="007C1348"/>
    <w:rsid w:val="007C24DA"/>
    <w:rsid w:val="007C3390"/>
    <w:rsid w:val="007C4F4B"/>
    <w:rsid w:val="007D1478"/>
    <w:rsid w:val="007D46D5"/>
    <w:rsid w:val="007E01E9"/>
    <w:rsid w:val="007E4C3D"/>
    <w:rsid w:val="007E63F3"/>
    <w:rsid w:val="007F239A"/>
    <w:rsid w:val="007F571B"/>
    <w:rsid w:val="007F6611"/>
    <w:rsid w:val="007F7106"/>
    <w:rsid w:val="008039B7"/>
    <w:rsid w:val="00811920"/>
    <w:rsid w:val="00812E02"/>
    <w:rsid w:val="00815AD0"/>
    <w:rsid w:val="008242D7"/>
    <w:rsid w:val="00824B23"/>
    <w:rsid w:val="008257B1"/>
    <w:rsid w:val="00826E38"/>
    <w:rsid w:val="00832325"/>
    <w:rsid w:val="008426D9"/>
    <w:rsid w:val="00843767"/>
    <w:rsid w:val="008521A5"/>
    <w:rsid w:val="00853682"/>
    <w:rsid w:val="00855088"/>
    <w:rsid w:val="008556E6"/>
    <w:rsid w:val="00860BAA"/>
    <w:rsid w:val="0086361C"/>
    <w:rsid w:val="008679D9"/>
    <w:rsid w:val="00871389"/>
    <w:rsid w:val="00874CB6"/>
    <w:rsid w:val="008761C5"/>
    <w:rsid w:val="00881C0C"/>
    <w:rsid w:val="00883999"/>
    <w:rsid w:val="00887076"/>
    <w:rsid w:val="008878DE"/>
    <w:rsid w:val="00897832"/>
    <w:rsid w:val="008979B1"/>
    <w:rsid w:val="008A6B25"/>
    <w:rsid w:val="008A6C4F"/>
    <w:rsid w:val="008B2335"/>
    <w:rsid w:val="008B44AB"/>
    <w:rsid w:val="008B6EE5"/>
    <w:rsid w:val="008B717B"/>
    <w:rsid w:val="008B7241"/>
    <w:rsid w:val="008B7D57"/>
    <w:rsid w:val="008C28AC"/>
    <w:rsid w:val="008D36DC"/>
    <w:rsid w:val="008D36FF"/>
    <w:rsid w:val="008D6B23"/>
    <w:rsid w:val="008D6CB9"/>
    <w:rsid w:val="008E0678"/>
    <w:rsid w:val="008E14AC"/>
    <w:rsid w:val="008E1D08"/>
    <w:rsid w:val="008E5913"/>
    <w:rsid w:val="008E7526"/>
    <w:rsid w:val="008E7654"/>
    <w:rsid w:val="008F4178"/>
    <w:rsid w:val="008F52BC"/>
    <w:rsid w:val="008F6783"/>
    <w:rsid w:val="009001A0"/>
    <w:rsid w:val="00900AF3"/>
    <w:rsid w:val="00901B81"/>
    <w:rsid w:val="00902EA5"/>
    <w:rsid w:val="00905419"/>
    <w:rsid w:val="00916C30"/>
    <w:rsid w:val="00922084"/>
    <w:rsid w:val="0092212D"/>
    <w:rsid w:val="009223CA"/>
    <w:rsid w:val="0092412B"/>
    <w:rsid w:val="0092447E"/>
    <w:rsid w:val="00926975"/>
    <w:rsid w:val="00940F93"/>
    <w:rsid w:val="0094558F"/>
    <w:rsid w:val="009509F6"/>
    <w:rsid w:val="00955B0D"/>
    <w:rsid w:val="009614FF"/>
    <w:rsid w:val="00961690"/>
    <w:rsid w:val="00963CA9"/>
    <w:rsid w:val="00964ABE"/>
    <w:rsid w:val="00966FD5"/>
    <w:rsid w:val="0097204D"/>
    <w:rsid w:val="009760F3"/>
    <w:rsid w:val="00977008"/>
    <w:rsid w:val="0098016D"/>
    <w:rsid w:val="009849FF"/>
    <w:rsid w:val="009A0E8D"/>
    <w:rsid w:val="009B1518"/>
    <w:rsid w:val="009B26E7"/>
    <w:rsid w:val="009B6669"/>
    <w:rsid w:val="009B72E3"/>
    <w:rsid w:val="009C0AA9"/>
    <w:rsid w:val="009C2DFB"/>
    <w:rsid w:val="009C3EED"/>
    <w:rsid w:val="009C454F"/>
    <w:rsid w:val="009C7219"/>
    <w:rsid w:val="009D2A5B"/>
    <w:rsid w:val="009D38F8"/>
    <w:rsid w:val="009D43AC"/>
    <w:rsid w:val="009D612A"/>
    <w:rsid w:val="009E5F33"/>
    <w:rsid w:val="009F1C6D"/>
    <w:rsid w:val="00A00A3F"/>
    <w:rsid w:val="00A01489"/>
    <w:rsid w:val="00A11B59"/>
    <w:rsid w:val="00A11D2E"/>
    <w:rsid w:val="00A15BF0"/>
    <w:rsid w:val="00A24ABC"/>
    <w:rsid w:val="00A26487"/>
    <w:rsid w:val="00A264FA"/>
    <w:rsid w:val="00A3009E"/>
    <w:rsid w:val="00A3026E"/>
    <w:rsid w:val="00A32E6D"/>
    <w:rsid w:val="00A338F1"/>
    <w:rsid w:val="00A4734E"/>
    <w:rsid w:val="00A520C1"/>
    <w:rsid w:val="00A52B16"/>
    <w:rsid w:val="00A57E6F"/>
    <w:rsid w:val="00A65F4C"/>
    <w:rsid w:val="00A72F22"/>
    <w:rsid w:val="00A7360F"/>
    <w:rsid w:val="00A748A6"/>
    <w:rsid w:val="00A7668A"/>
    <w:rsid w:val="00A769F4"/>
    <w:rsid w:val="00A776B4"/>
    <w:rsid w:val="00A81407"/>
    <w:rsid w:val="00A9093D"/>
    <w:rsid w:val="00A9142D"/>
    <w:rsid w:val="00A93367"/>
    <w:rsid w:val="00A94361"/>
    <w:rsid w:val="00A94895"/>
    <w:rsid w:val="00A968DB"/>
    <w:rsid w:val="00AA293C"/>
    <w:rsid w:val="00AA6D94"/>
    <w:rsid w:val="00AA717F"/>
    <w:rsid w:val="00AB4630"/>
    <w:rsid w:val="00AB528E"/>
    <w:rsid w:val="00AB7F99"/>
    <w:rsid w:val="00AC3053"/>
    <w:rsid w:val="00AD37BF"/>
    <w:rsid w:val="00AD5A18"/>
    <w:rsid w:val="00AD5A49"/>
    <w:rsid w:val="00AD5D14"/>
    <w:rsid w:val="00AD6D2D"/>
    <w:rsid w:val="00AD73D1"/>
    <w:rsid w:val="00AE08DA"/>
    <w:rsid w:val="00AE6935"/>
    <w:rsid w:val="00AF15D0"/>
    <w:rsid w:val="00AF227B"/>
    <w:rsid w:val="00AF3993"/>
    <w:rsid w:val="00AF4CF2"/>
    <w:rsid w:val="00B0251C"/>
    <w:rsid w:val="00B11BB4"/>
    <w:rsid w:val="00B135D4"/>
    <w:rsid w:val="00B14018"/>
    <w:rsid w:val="00B1517F"/>
    <w:rsid w:val="00B175D8"/>
    <w:rsid w:val="00B20AAE"/>
    <w:rsid w:val="00B22BC2"/>
    <w:rsid w:val="00B30179"/>
    <w:rsid w:val="00B36283"/>
    <w:rsid w:val="00B421C1"/>
    <w:rsid w:val="00B42658"/>
    <w:rsid w:val="00B43743"/>
    <w:rsid w:val="00B451A0"/>
    <w:rsid w:val="00B55C71"/>
    <w:rsid w:val="00B56E4A"/>
    <w:rsid w:val="00B56E9C"/>
    <w:rsid w:val="00B61320"/>
    <w:rsid w:val="00B63647"/>
    <w:rsid w:val="00B64B1F"/>
    <w:rsid w:val="00B6553F"/>
    <w:rsid w:val="00B70F1E"/>
    <w:rsid w:val="00B76292"/>
    <w:rsid w:val="00B77D05"/>
    <w:rsid w:val="00B8002A"/>
    <w:rsid w:val="00B81206"/>
    <w:rsid w:val="00B81E12"/>
    <w:rsid w:val="00B857E8"/>
    <w:rsid w:val="00B85EB1"/>
    <w:rsid w:val="00BA152C"/>
    <w:rsid w:val="00BB6A5E"/>
    <w:rsid w:val="00BB7CD1"/>
    <w:rsid w:val="00BC3FA0"/>
    <w:rsid w:val="00BC437C"/>
    <w:rsid w:val="00BC74E9"/>
    <w:rsid w:val="00BC7E08"/>
    <w:rsid w:val="00BD2F64"/>
    <w:rsid w:val="00BD4443"/>
    <w:rsid w:val="00BE1F63"/>
    <w:rsid w:val="00BE3639"/>
    <w:rsid w:val="00BE41CB"/>
    <w:rsid w:val="00BE45C0"/>
    <w:rsid w:val="00BF68A8"/>
    <w:rsid w:val="00C04CD6"/>
    <w:rsid w:val="00C10368"/>
    <w:rsid w:val="00C10584"/>
    <w:rsid w:val="00C10FE6"/>
    <w:rsid w:val="00C11A03"/>
    <w:rsid w:val="00C1574C"/>
    <w:rsid w:val="00C22C0C"/>
    <w:rsid w:val="00C22E7F"/>
    <w:rsid w:val="00C255AF"/>
    <w:rsid w:val="00C30C61"/>
    <w:rsid w:val="00C35502"/>
    <w:rsid w:val="00C36355"/>
    <w:rsid w:val="00C37D52"/>
    <w:rsid w:val="00C40B11"/>
    <w:rsid w:val="00C4114A"/>
    <w:rsid w:val="00C4527F"/>
    <w:rsid w:val="00C463DD"/>
    <w:rsid w:val="00C4724C"/>
    <w:rsid w:val="00C611A3"/>
    <w:rsid w:val="00C629A0"/>
    <w:rsid w:val="00C62C27"/>
    <w:rsid w:val="00C64629"/>
    <w:rsid w:val="00C71D4C"/>
    <w:rsid w:val="00C745C3"/>
    <w:rsid w:val="00C76F8B"/>
    <w:rsid w:val="00C82388"/>
    <w:rsid w:val="00C92461"/>
    <w:rsid w:val="00C933E0"/>
    <w:rsid w:val="00CA2696"/>
    <w:rsid w:val="00CA2C0A"/>
    <w:rsid w:val="00CA6720"/>
    <w:rsid w:val="00CB32FC"/>
    <w:rsid w:val="00CB3A2F"/>
    <w:rsid w:val="00CB3E03"/>
    <w:rsid w:val="00CB7A4F"/>
    <w:rsid w:val="00CC2494"/>
    <w:rsid w:val="00CC36E0"/>
    <w:rsid w:val="00CC3D3E"/>
    <w:rsid w:val="00CD2761"/>
    <w:rsid w:val="00CD524D"/>
    <w:rsid w:val="00CE4A8F"/>
    <w:rsid w:val="00CF1EA8"/>
    <w:rsid w:val="00CF4580"/>
    <w:rsid w:val="00D07BBA"/>
    <w:rsid w:val="00D2031B"/>
    <w:rsid w:val="00D22EBF"/>
    <w:rsid w:val="00D23BD2"/>
    <w:rsid w:val="00D25FE2"/>
    <w:rsid w:val="00D31CEE"/>
    <w:rsid w:val="00D33908"/>
    <w:rsid w:val="00D34503"/>
    <w:rsid w:val="00D3660A"/>
    <w:rsid w:val="00D36DEB"/>
    <w:rsid w:val="00D43252"/>
    <w:rsid w:val="00D437E0"/>
    <w:rsid w:val="00D43F92"/>
    <w:rsid w:val="00D440DC"/>
    <w:rsid w:val="00D46334"/>
    <w:rsid w:val="00D47EEA"/>
    <w:rsid w:val="00D550D4"/>
    <w:rsid w:val="00D56511"/>
    <w:rsid w:val="00D61A4C"/>
    <w:rsid w:val="00D63C5E"/>
    <w:rsid w:val="00D739B3"/>
    <w:rsid w:val="00D773DF"/>
    <w:rsid w:val="00D872AC"/>
    <w:rsid w:val="00D90675"/>
    <w:rsid w:val="00D9255F"/>
    <w:rsid w:val="00D95303"/>
    <w:rsid w:val="00D978C6"/>
    <w:rsid w:val="00DA3C1C"/>
    <w:rsid w:val="00DA3C83"/>
    <w:rsid w:val="00DB3512"/>
    <w:rsid w:val="00DB43D7"/>
    <w:rsid w:val="00DB56EC"/>
    <w:rsid w:val="00DB6F82"/>
    <w:rsid w:val="00DC285F"/>
    <w:rsid w:val="00DC3393"/>
    <w:rsid w:val="00DC76AE"/>
    <w:rsid w:val="00DD0868"/>
    <w:rsid w:val="00DD29BD"/>
    <w:rsid w:val="00DD5E0F"/>
    <w:rsid w:val="00DE1D53"/>
    <w:rsid w:val="00DE50D0"/>
    <w:rsid w:val="00DF0F0B"/>
    <w:rsid w:val="00DF0F1A"/>
    <w:rsid w:val="00E046DF"/>
    <w:rsid w:val="00E12456"/>
    <w:rsid w:val="00E14D60"/>
    <w:rsid w:val="00E15557"/>
    <w:rsid w:val="00E17060"/>
    <w:rsid w:val="00E22613"/>
    <w:rsid w:val="00E240D2"/>
    <w:rsid w:val="00E27346"/>
    <w:rsid w:val="00E27970"/>
    <w:rsid w:val="00E32D7C"/>
    <w:rsid w:val="00E36A4B"/>
    <w:rsid w:val="00E52A77"/>
    <w:rsid w:val="00E57187"/>
    <w:rsid w:val="00E70778"/>
    <w:rsid w:val="00E71610"/>
    <w:rsid w:val="00E71BC8"/>
    <w:rsid w:val="00E7260F"/>
    <w:rsid w:val="00E73F5D"/>
    <w:rsid w:val="00E7489E"/>
    <w:rsid w:val="00E77E4E"/>
    <w:rsid w:val="00E804F1"/>
    <w:rsid w:val="00E80A40"/>
    <w:rsid w:val="00E81564"/>
    <w:rsid w:val="00E833F9"/>
    <w:rsid w:val="00E83EC1"/>
    <w:rsid w:val="00E8771C"/>
    <w:rsid w:val="00E902CF"/>
    <w:rsid w:val="00E9567E"/>
    <w:rsid w:val="00E96630"/>
    <w:rsid w:val="00E97AFF"/>
    <w:rsid w:val="00EA275B"/>
    <w:rsid w:val="00EA63D6"/>
    <w:rsid w:val="00EB2D92"/>
    <w:rsid w:val="00EB4E36"/>
    <w:rsid w:val="00EB655C"/>
    <w:rsid w:val="00EB67CF"/>
    <w:rsid w:val="00EC106A"/>
    <w:rsid w:val="00EC1E8A"/>
    <w:rsid w:val="00EC3A21"/>
    <w:rsid w:val="00EC5B7C"/>
    <w:rsid w:val="00EC61CF"/>
    <w:rsid w:val="00ED076E"/>
    <w:rsid w:val="00ED3F68"/>
    <w:rsid w:val="00ED6980"/>
    <w:rsid w:val="00ED7A2A"/>
    <w:rsid w:val="00EE6B3A"/>
    <w:rsid w:val="00EF0973"/>
    <w:rsid w:val="00EF1D7F"/>
    <w:rsid w:val="00EF32B5"/>
    <w:rsid w:val="00EF7B26"/>
    <w:rsid w:val="00F044C0"/>
    <w:rsid w:val="00F04EEF"/>
    <w:rsid w:val="00F160BB"/>
    <w:rsid w:val="00F2082E"/>
    <w:rsid w:val="00F20918"/>
    <w:rsid w:val="00F2515A"/>
    <w:rsid w:val="00F31E5F"/>
    <w:rsid w:val="00F32BB7"/>
    <w:rsid w:val="00F37393"/>
    <w:rsid w:val="00F47EDC"/>
    <w:rsid w:val="00F51146"/>
    <w:rsid w:val="00F54424"/>
    <w:rsid w:val="00F6100A"/>
    <w:rsid w:val="00F63C9D"/>
    <w:rsid w:val="00F66565"/>
    <w:rsid w:val="00F746BE"/>
    <w:rsid w:val="00F75A16"/>
    <w:rsid w:val="00F90522"/>
    <w:rsid w:val="00F90641"/>
    <w:rsid w:val="00F92A22"/>
    <w:rsid w:val="00F93781"/>
    <w:rsid w:val="00FA35AF"/>
    <w:rsid w:val="00FA6DA6"/>
    <w:rsid w:val="00FB0EEF"/>
    <w:rsid w:val="00FB3EE8"/>
    <w:rsid w:val="00FB613B"/>
    <w:rsid w:val="00FB7647"/>
    <w:rsid w:val="00FC3058"/>
    <w:rsid w:val="00FC68B7"/>
    <w:rsid w:val="00FD2318"/>
    <w:rsid w:val="00FD5EAA"/>
    <w:rsid w:val="00FE106A"/>
    <w:rsid w:val="00FE297E"/>
    <w:rsid w:val="00FF0E07"/>
    <w:rsid w:val="00FF145D"/>
    <w:rsid w:val="00FF2308"/>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paragraph">
    <w:name w:val="paragraph"/>
    <w:basedOn w:val="Normal"/>
    <w:rsid w:val="00C36355"/>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C36355"/>
  </w:style>
  <w:style w:type="character" w:customStyle="1" w:styleId="eop">
    <w:name w:val="eop"/>
    <w:basedOn w:val="DefaultParagraphFont"/>
    <w:rsid w:val="00C3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354429607">
      <w:bodyDiv w:val="1"/>
      <w:marLeft w:val="0"/>
      <w:marRight w:val="0"/>
      <w:marTop w:val="0"/>
      <w:marBottom w:val="0"/>
      <w:divBdr>
        <w:top w:val="none" w:sz="0" w:space="0" w:color="auto"/>
        <w:left w:val="none" w:sz="0" w:space="0" w:color="auto"/>
        <w:bottom w:val="none" w:sz="0" w:space="0" w:color="auto"/>
        <w:right w:val="none" w:sz="0" w:space="0" w:color="auto"/>
      </w:divBdr>
      <w:divsChild>
        <w:div w:id="1367829305">
          <w:marLeft w:val="0"/>
          <w:marRight w:val="0"/>
          <w:marTop w:val="0"/>
          <w:marBottom w:val="0"/>
          <w:divBdr>
            <w:top w:val="none" w:sz="0" w:space="0" w:color="auto"/>
            <w:left w:val="none" w:sz="0" w:space="0" w:color="auto"/>
            <w:bottom w:val="none" w:sz="0" w:space="0" w:color="auto"/>
            <w:right w:val="none" w:sz="0" w:space="0" w:color="auto"/>
          </w:divBdr>
        </w:div>
        <w:div w:id="361512672">
          <w:marLeft w:val="0"/>
          <w:marRight w:val="0"/>
          <w:marTop w:val="0"/>
          <w:marBottom w:val="0"/>
          <w:divBdr>
            <w:top w:val="none" w:sz="0" w:space="0" w:color="auto"/>
            <w:left w:val="none" w:sz="0" w:space="0" w:color="auto"/>
            <w:bottom w:val="none" w:sz="0" w:space="0" w:color="auto"/>
            <w:right w:val="none" w:sz="0" w:space="0" w:color="auto"/>
          </w:divBdr>
        </w:div>
        <w:div w:id="879559523">
          <w:marLeft w:val="0"/>
          <w:marRight w:val="0"/>
          <w:marTop w:val="0"/>
          <w:marBottom w:val="0"/>
          <w:divBdr>
            <w:top w:val="none" w:sz="0" w:space="0" w:color="auto"/>
            <w:left w:val="none" w:sz="0" w:space="0" w:color="auto"/>
            <w:bottom w:val="none" w:sz="0" w:space="0" w:color="auto"/>
            <w:right w:val="none" w:sz="0" w:space="0" w:color="auto"/>
          </w:divBdr>
        </w:div>
        <w:div w:id="1912159832">
          <w:marLeft w:val="0"/>
          <w:marRight w:val="0"/>
          <w:marTop w:val="0"/>
          <w:marBottom w:val="0"/>
          <w:divBdr>
            <w:top w:val="none" w:sz="0" w:space="0" w:color="auto"/>
            <w:left w:val="none" w:sz="0" w:space="0" w:color="auto"/>
            <w:bottom w:val="none" w:sz="0" w:space="0" w:color="auto"/>
            <w:right w:val="none" w:sz="0" w:space="0" w:color="auto"/>
          </w:divBdr>
        </w:div>
        <w:div w:id="1125931448">
          <w:marLeft w:val="0"/>
          <w:marRight w:val="0"/>
          <w:marTop w:val="0"/>
          <w:marBottom w:val="0"/>
          <w:divBdr>
            <w:top w:val="none" w:sz="0" w:space="0" w:color="auto"/>
            <w:left w:val="none" w:sz="0" w:space="0" w:color="auto"/>
            <w:bottom w:val="none" w:sz="0" w:space="0" w:color="auto"/>
            <w:right w:val="none" w:sz="0" w:space="0" w:color="auto"/>
          </w:divBdr>
        </w:div>
      </w:divsChild>
    </w:div>
    <w:div w:id="415054922">
      <w:bodyDiv w:val="1"/>
      <w:marLeft w:val="0"/>
      <w:marRight w:val="0"/>
      <w:marTop w:val="0"/>
      <w:marBottom w:val="0"/>
      <w:divBdr>
        <w:top w:val="none" w:sz="0" w:space="0" w:color="auto"/>
        <w:left w:val="none" w:sz="0" w:space="0" w:color="auto"/>
        <w:bottom w:val="none" w:sz="0" w:space="0" w:color="auto"/>
        <w:right w:val="none" w:sz="0" w:space="0" w:color="auto"/>
      </w:divBdr>
      <w:divsChild>
        <w:div w:id="1244994368">
          <w:marLeft w:val="0"/>
          <w:marRight w:val="0"/>
          <w:marTop w:val="0"/>
          <w:marBottom w:val="0"/>
          <w:divBdr>
            <w:top w:val="none" w:sz="0" w:space="0" w:color="auto"/>
            <w:left w:val="none" w:sz="0" w:space="0" w:color="auto"/>
            <w:bottom w:val="none" w:sz="0" w:space="0" w:color="auto"/>
            <w:right w:val="none" w:sz="0" w:space="0" w:color="auto"/>
          </w:divBdr>
        </w:div>
        <w:div w:id="1819417696">
          <w:marLeft w:val="0"/>
          <w:marRight w:val="0"/>
          <w:marTop w:val="0"/>
          <w:marBottom w:val="0"/>
          <w:divBdr>
            <w:top w:val="none" w:sz="0" w:space="0" w:color="auto"/>
            <w:left w:val="none" w:sz="0" w:space="0" w:color="auto"/>
            <w:bottom w:val="none" w:sz="0" w:space="0" w:color="auto"/>
            <w:right w:val="none" w:sz="0" w:space="0" w:color="auto"/>
          </w:divBdr>
        </w:div>
        <w:div w:id="813641570">
          <w:marLeft w:val="0"/>
          <w:marRight w:val="0"/>
          <w:marTop w:val="0"/>
          <w:marBottom w:val="0"/>
          <w:divBdr>
            <w:top w:val="none" w:sz="0" w:space="0" w:color="auto"/>
            <w:left w:val="none" w:sz="0" w:space="0" w:color="auto"/>
            <w:bottom w:val="none" w:sz="0" w:space="0" w:color="auto"/>
            <w:right w:val="none" w:sz="0" w:space="0" w:color="auto"/>
          </w:divBdr>
        </w:div>
        <w:div w:id="1230267231">
          <w:marLeft w:val="0"/>
          <w:marRight w:val="0"/>
          <w:marTop w:val="0"/>
          <w:marBottom w:val="0"/>
          <w:divBdr>
            <w:top w:val="none" w:sz="0" w:space="0" w:color="auto"/>
            <w:left w:val="none" w:sz="0" w:space="0" w:color="auto"/>
            <w:bottom w:val="none" w:sz="0" w:space="0" w:color="auto"/>
            <w:right w:val="none" w:sz="0" w:space="0" w:color="auto"/>
          </w:divBdr>
        </w:div>
        <w:div w:id="1286275980">
          <w:marLeft w:val="0"/>
          <w:marRight w:val="0"/>
          <w:marTop w:val="0"/>
          <w:marBottom w:val="0"/>
          <w:divBdr>
            <w:top w:val="none" w:sz="0" w:space="0" w:color="auto"/>
            <w:left w:val="none" w:sz="0" w:space="0" w:color="auto"/>
            <w:bottom w:val="none" w:sz="0" w:space="0" w:color="auto"/>
            <w:right w:val="none" w:sz="0" w:space="0" w:color="auto"/>
          </w:divBdr>
        </w:div>
      </w:divsChild>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620605065">
      <w:bodyDiv w:val="1"/>
      <w:marLeft w:val="0"/>
      <w:marRight w:val="0"/>
      <w:marTop w:val="0"/>
      <w:marBottom w:val="0"/>
      <w:divBdr>
        <w:top w:val="none" w:sz="0" w:space="0" w:color="auto"/>
        <w:left w:val="none" w:sz="0" w:space="0" w:color="auto"/>
        <w:bottom w:val="none" w:sz="0" w:space="0" w:color="auto"/>
        <w:right w:val="none" w:sz="0" w:space="0" w:color="auto"/>
      </w:divBdr>
      <w:divsChild>
        <w:div w:id="346980077">
          <w:marLeft w:val="0"/>
          <w:marRight w:val="0"/>
          <w:marTop w:val="0"/>
          <w:marBottom w:val="0"/>
          <w:divBdr>
            <w:top w:val="none" w:sz="0" w:space="0" w:color="auto"/>
            <w:left w:val="none" w:sz="0" w:space="0" w:color="auto"/>
            <w:bottom w:val="none" w:sz="0" w:space="0" w:color="auto"/>
            <w:right w:val="none" w:sz="0" w:space="0" w:color="auto"/>
          </w:divBdr>
        </w:div>
        <w:div w:id="1807964612">
          <w:marLeft w:val="0"/>
          <w:marRight w:val="0"/>
          <w:marTop w:val="0"/>
          <w:marBottom w:val="0"/>
          <w:divBdr>
            <w:top w:val="none" w:sz="0" w:space="0" w:color="auto"/>
            <w:left w:val="none" w:sz="0" w:space="0" w:color="auto"/>
            <w:bottom w:val="none" w:sz="0" w:space="0" w:color="auto"/>
            <w:right w:val="none" w:sz="0" w:space="0" w:color="auto"/>
          </w:divBdr>
        </w:div>
        <w:div w:id="1493136053">
          <w:marLeft w:val="0"/>
          <w:marRight w:val="0"/>
          <w:marTop w:val="0"/>
          <w:marBottom w:val="0"/>
          <w:divBdr>
            <w:top w:val="none" w:sz="0" w:space="0" w:color="auto"/>
            <w:left w:val="none" w:sz="0" w:space="0" w:color="auto"/>
            <w:bottom w:val="none" w:sz="0" w:space="0" w:color="auto"/>
            <w:right w:val="none" w:sz="0" w:space="0" w:color="auto"/>
          </w:divBdr>
        </w:div>
        <w:div w:id="1026100729">
          <w:marLeft w:val="0"/>
          <w:marRight w:val="0"/>
          <w:marTop w:val="0"/>
          <w:marBottom w:val="0"/>
          <w:divBdr>
            <w:top w:val="none" w:sz="0" w:space="0" w:color="auto"/>
            <w:left w:val="none" w:sz="0" w:space="0" w:color="auto"/>
            <w:bottom w:val="none" w:sz="0" w:space="0" w:color="auto"/>
            <w:right w:val="none" w:sz="0" w:space="0" w:color="auto"/>
          </w:divBdr>
        </w:div>
        <w:div w:id="365713983">
          <w:marLeft w:val="0"/>
          <w:marRight w:val="0"/>
          <w:marTop w:val="0"/>
          <w:marBottom w:val="0"/>
          <w:divBdr>
            <w:top w:val="none" w:sz="0" w:space="0" w:color="auto"/>
            <w:left w:val="none" w:sz="0" w:space="0" w:color="auto"/>
            <w:bottom w:val="none" w:sz="0" w:space="0" w:color="auto"/>
            <w:right w:val="none" w:sz="0" w:space="0" w:color="auto"/>
          </w:divBdr>
        </w:div>
        <w:div w:id="1388184170">
          <w:marLeft w:val="0"/>
          <w:marRight w:val="0"/>
          <w:marTop w:val="0"/>
          <w:marBottom w:val="0"/>
          <w:divBdr>
            <w:top w:val="none" w:sz="0" w:space="0" w:color="auto"/>
            <w:left w:val="none" w:sz="0" w:space="0" w:color="auto"/>
            <w:bottom w:val="none" w:sz="0" w:space="0" w:color="auto"/>
            <w:right w:val="none" w:sz="0" w:space="0" w:color="auto"/>
          </w:divBdr>
        </w:div>
        <w:div w:id="579368960">
          <w:marLeft w:val="0"/>
          <w:marRight w:val="0"/>
          <w:marTop w:val="0"/>
          <w:marBottom w:val="0"/>
          <w:divBdr>
            <w:top w:val="none" w:sz="0" w:space="0" w:color="auto"/>
            <w:left w:val="none" w:sz="0" w:space="0" w:color="auto"/>
            <w:bottom w:val="none" w:sz="0" w:space="0" w:color="auto"/>
            <w:right w:val="none" w:sz="0" w:space="0" w:color="auto"/>
          </w:divBdr>
        </w:div>
        <w:div w:id="863902041">
          <w:marLeft w:val="0"/>
          <w:marRight w:val="0"/>
          <w:marTop w:val="0"/>
          <w:marBottom w:val="0"/>
          <w:divBdr>
            <w:top w:val="none" w:sz="0" w:space="0" w:color="auto"/>
            <w:left w:val="none" w:sz="0" w:space="0" w:color="auto"/>
            <w:bottom w:val="none" w:sz="0" w:space="0" w:color="auto"/>
            <w:right w:val="none" w:sz="0" w:space="0" w:color="auto"/>
          </w:divBdr>
        </w:div>
        <w:div w:id="15275028">
          <w:marLeft w:val="0"/>
          <w:marRight w:val="0"/>
          <w:marTop w:val="0"/>
          <w:marBottom w:val="0"/>
          <w:divBdr>
            <w:top w:val="none" w:sz="0" w:space="0" w:color="auto"/>
            <w:left w:val="none" w:sz="0" w:space="0" w:color="auto"/>
            <w:bottom w:val="none" w:sz="0" w:space="0" w:color="auto"/>
            <w:right w:val="none" w:sz="0" w:space="0" w:color="auto"/>
          </w:divBdr>
        </w:div>
        <w:div w:id="1234969699">
          <w:marLeft w:val="0"/>
          <w:marRight w:val="0"/>
          <w:marTop w:val="0"/>
          <w:marBottom w:val="0"/>
          <w:divBdr>
            <w:top w:val="none" w:sz="0" w:space="0" w:color="auto"/>
            <w:left w:val="none" w:sz="0" w:space="0" w:color="auto"/>
            <w:bottom w:val="none" w:sz="0" w:space="0" w:color="auto"/>
            <w:right w:val="none" w:sz="0" w:space="0" w:color="auto"/>
          </w:divBdr>
        </w:div>
        <w:div w:id="2025280746">
          <w:marLeft w:val="0"/>
          <w:marRight w:val="0"/>
          <w:marTop w:val="0"/>
          <w:marBottom w:val="0"/>
          <w:divBdr>
            <w:top w:val="none" w:sz="0" w:space="0" w:color="auto"/>
            <w:left w:val="none" w:sz="0" w:space="0" w:color="auto"/>
            <w:bottom w:val="none" w:sz="0" w:space="0" w:color="auto"/>
            <w:right w:val="none" w:sz="0" w:space="0" w:color="auto"/>
          </w:divBdr>
        </w:div>
        <w:div w:id="642394664">
          <w:marLeft w:val="0"/>
          <w:marRight w:val="0"/>
          <w:marTop w:val="0"/>
          <w:marBottom w:val="0"/>
          <w:divBdr>
            <w:top w:val="none" w:sz="0" w:space="0" w:color="auto"/>
            <w:left w:val="none" w:sz="0" w:space="0" w:color="auto"/>
            <w:bottom w:val="none" w:sz="0" w:space="0" w:color="auto"/>
            <w:right w:val="none" w:sz="0" w:space="0" w:color="auto"/>
          </w:divBdr>
        </w:div>
        <w:div w:id="1168057336">
          <w:marLeft w:val="0"/>
          <w:marRight w:val="0"/>
          <w:marTop w:val="0"/>
          <w:marBottom w:val="0"/>
          <w:divBdr>
            <w:top w:val="none" w:sz="0" w:space="0" w:color="auto"/>
            <w:left w:val="none" w:sz="0" w:space="0" w:color="auto"/>
            <w:bottom w:val="none" w:sz="0" w:space="0" w:color="auto"/>
            <w:right w:val="none" w:sz="0" w:space="0" w:color="auto"/>
          </w:divBdr>
        </w:div>
      </w:divsChild>
    </w:div>
    <w:div w:id="1911622036">
      <w:bodyDiv w:val="1"/>
      <w:marLeft w:val="0"/>
      <w:marRight w:val="0"/>
      <w:marTop w:val="0"/>
      <w:marBottom w:val="0"/>
      <w:divBdr>
        <w:top w:val="none" w:sz="0" w:space="0" w:color="auto"/>
        <w:left w:val="none" w:sz="0" w:space="0" w:color="auto"/>
        <w:bottom w:val="none" w:sz="0" w:space="0" w:color="auto"/>
        <w:right w:val="none" w:sz="0" w:space="0" w:color="auto"/>
      </w:divBdr>
      <w:divsChild>
        <w:div w:id="626080532">
          <w:marLeft w:val="0"/>
          <w:marRight w:val="0"/>
          <w:marTop w:val="0"/>
          <w:marBottom w:val="0"/>
          <w:divBdr>
            <w:top w:val="none" w:sz="0" w:space="0" w:color="auto"/>
            <w:left w:val="none" w:sz="0" w:space="0" w:color="auto"/>
            <w:bottom w:val="none" w:sz="0" w:space="0" w:color="auto"/>
            <w:right w:val="none" w:sz="0" w:space="0" w:color="auto"/>
          </w:divBdr>
        </w:div>
        <w:div w:id="132453092">
          <w:marLeft w:val="0"/>
          <w:marRight w:val="0"/>
          <w:marTop w:val="0"/>
          <w:marBottom w:val="0"/>
          <w:divBdr>
            <w:top w:val="none" w:sz="0" w:space="0" w:color="auto"/>
            <w:left w:val="none" w:sz="0" w:space="0" w:color="auto"/>
            <w:bottom w:val="none" w:sz="0" w:space="0" w:color="auto"/>
            <w:right w:val="none" w:sz="0" w:space="0" w:color="auto"/>
          </w:divBdr>
        </w:div>
        <w:div w:id="1022394270">
          <w:marLeft w:val="0"/>
          <w:marRight w:val="0"/>
          <w:marTop w:val="0"/>
          <w:marBottom w:val="0"/>
          <w:divBdr>
            <w:top w:val="none" w:sz="0" w:space="0" w:color="auto"/>
            <w:left w:val="none" w:sz="0" w:space="0" w:color="auto"/>
            <w:bottom w:val="none" w:sz="0" w:space="0" w:color="auto"/>
            <w:right w:val="none" w:sz="0" w:space="0" w:color="auto"/>
          </w:divBdr>
        </w:div>
        <w:div w:id="1858887642">
          <w:marLeft w:val="0"/>
          <w:marRight w:val="0"/>
          <w:marTop w:val="0"/>
          <w:marBottom w:val="0"/>
          <w:divBdr>
            <w:top w:val="none" w:sz="0" w:space="0" w:color="auto"/>
            <w:left w:val="none" w:sz="0" w:space="0" w:color="auto"/>
            <w:bottom w:val="none" w:sz="0" w:space="0" w:color="auto"/>
            <w:right w:val="none" w:sz="0" w:space="0" w:color="auto"/>
          </w:divBdr>
        </w:div>
        <w:div w:id="1279874332">
          <w:marLeft w:val="0"/>
          <w:marRight w:val="0"/>
          <w:marTop w:val="0"/>
          <w:marBottom w:val="0"/>
          <w:divBdr>
            <w:top w:val="none" w:sz="0" w:space="0" w:color="auto"/>
            <w:left w:val="none" w:sz="0" w:space="0" w:color="auto"/>
            <w:bottom w:val="none" w:sz="0" w:space="0" w:color="auto"/>
            <w:right w:val="none" w:sz="0" w:space="0" w:color="auto"/>
          </w:divBdr>
        </w:div>
        <w:div w:id="60793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C35B-CBBA-4CA8-B562-D5517136B670}">
  <ds:schemaRefs>
    <ds:schemaRef ds:uri="http://schemas.microsoft.com/office/2006/metadata/properties"/>
    <ds:schemaRef ds:uri="http://schemas.microsoft.com/office/infopath/2007/PartnerControls"/>
    <ds:schemaRef ds:uri="80ebbf62-26d2-4670-890b-7f3b0c2a174e"/>
  </ds:schemaRefs>
</ds:datastoreItem>
</file>

<file path=customXml/itemProps2.xml><?xml version="1.0" encoding="utf-8"?>
<ds:datastoreItem xmlns:ds="http://schemas.openxmlformats.org/officeDocument/2006/customXml" ds:itemID="{E8E96554-C466-411F-97F5-900296E870AB}"/>
</file>

<file path=customXml/itemProps3.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4.xml><?xml version="1.0" encoding="utf-8"?>
<ds:datastoreItem xmlns:ds="http://schemas.openxmlformats.org/officeDocument/2006/customXml" ds:itemID="{4FFEE5A8-7A12-49F7-9FCC-D17DEF49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2020-10-28T15:45:00Z</cp:lastPrinted>
  <dcterms:created xsi:type="dcterms:W3CDTF">2021-11-01T10:50:00Z</dcterms:created>
  <dcterms:modified xsi:type="dcterms:W3CDTF">2021-11-01T10:53:00Z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