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E5A6D6" w14:textId="77777777" w:rsidTr="00C97039">
        <w:trPr>
          <w:trHeight w:hRule="exact" w:val="851"/>
        </w:trPr>
        <w:tc>
          <w:tcPr>
            <w:tcW w:w="1276" w:type="dxa"/>
            <w:tcBorders>
              <w:bottom w:val="single" w:sz="4" w:space="0" w:color="auto"/>
            </w:tcBorders>
          </w:tcPr>
          <w:p w14:paraId="6A22C98F" w14:textId="77777777" w:rsidR="00F35BAF" w:rsidRPr="00DB58B5" w:rsidRDefault="00F35BAF" w:rsidP="00E732FB"/>
        </w:tc>
        <w:tc>
          <w:tcPr>
            <w:tcW w:w="2268" w:type="dxa"/>
            <w:tcBorders>
              <w:bottom w:val="single" w:sz="4" w:space="0" w:color="auto"/>
            </w:tcBorders>
            <w:vAlign w:val="bottom"/>
          </w:tcPr>
          <w:p w14:paraId="539B52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C0C8D7" w14:textId="39B8E56C" w:rsidR="00F35BAF" w:rsidRPr="00DB58B5" w:rsidRDefault="00E732FB" w:rsidP="00E732FB">
            <w:pPr>
              <w:jc w:val="right"/>
            </w:pPr>
            <w:r w:rsidRPr="00E732FB">
              <w:rPr>
                <w:sz w:val="40"/>
              </w:rPr>
              <w:t>ECE</w:t>
            </w:r>
            <w:r>
              <w:t>/TRANS/WP.29/GRPE/2022/2</w:t>
            </w:r>
          </w:p>
        </w:tc>
      </w:tr>
      <w:tr w:rsidR="00F35BAF" w:rsidRPr="00DB58B5" w14:paraId="5CBAF42C" w14:textId="77777777" w:rsidTr="00C97039">
        <w:trPr>
          <w:trHeight w:hRule="exact" w:val="2835"/>
        </w:trPr>
        <w:tc>
          <w:tcPr>
            <w:tcW w:w="1276" w:type="dxa"/>
            <w:tcBorders>
              <w:top w:val="single" w:sz="4" w:space="0" w:color="auto"/>
              <w:bottom w:val="single" w:sz="12" w:space="0" w:color="auto"/>
            </w:tcBorders>
          </w:tcPr>
          <w:p w14:paraId="133E4B91" w14:textId="77777777" w:rsidR="00F35BAF" w:rsidRPr="00DB58B5" w:rsidRDefault="00F35BAF" w:rsidP="00C97039">
            <w:pPr>
              <w:spacing w:before="120"/>
              <w:jc w:val="center"/>
            </w:pPr>
            <w:r>
              <w:rPr>
                <w:noProof/>
                <w:lang w:eastAsia="fr-CH"/>
              </w:rPr>
              <w:drawing>
                <wp:inline distT="0" distB="0" distL="0" distR="0" wp14:anchorId="2801FF2D" wp14:editId="6FA722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5BBC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346DE2" w14:textId="77777777" w:rsidR="00F35BAF" w:rsidRDefault="00E732FB" w:rsidP="00C97039">
            <w:pPr>
              <w:spacing w:before="240"/>
            </w:pPr>
            <w:proofErr w:type="spellStart"/>
            <w:r>
              <w:t>Distr</w:t>
            </w:r>
            <w:proofErr w:type="spellEnd"/>
            <w:r>
              <w:t>. générale</w:t>
            </w:r>
          </w:p>
          <w:p w14:paraId="4EE66A20" w14:textId="77777777" w:rsidR="00E732FB" w:rsidRDefault="00E732FB" w:rsidP="00E732FB">
            <w:pPr>
              <w:spacing w:line="240" w:lineRule="exact"/>
            </w:pPr>
            <w:r>
              <w:t>26 octobre 2021</w:t>
            </w:r>
          </w:p>
          <w:p w14:paraId="32711EA5" w14:textId="77777777" w:rsidR="00E732FB" w:rsidRDefault="00E732FB" w:rsidP="00E732FB">
            <w:pPr>
              <w:spacing w:line="240" w:lineRule="exact"/>
            </w:pPr>
            <w:r>
              <w:t>Français</w:t>
            </w:r>
          </w:p>
          <w:p w14:paraId="236109A0" w14:textId="0AD36841" w:rsidR="00E732FB" w:rsidRPr="00DB58B5" w:rsidRDefault="00E732FB" w:rsidP="00E732FB">
            <w:pPr>
              <w:spacing w:line="240" w:lineRule="exact"/>
            </w:pPr>
            <w:r>
              <w:t>Original : anglais</w:t>
            </w:r>
          </w:p>
        </w:tc>
      </w:tr>
    </w:tbl>
    <w:p w14:paraId="0B362CE8" w14:textId="25203592" w:rsidR="007F20FA" w:rsidRPr="000312C0" w:rsidRDefault="007F20FA" w:rsidP="007F20FA">
      <w:pPr>
        <w:spacing w:before="120"/>
        <w:rPr>
          <w:b/>
          <w:sz w:val="28"/>
          <w:szCs w:val="28"/>
        </w:rPr>
      </w:pPr>
      <w:r w:rsidRPr="000312C0">
        <w:rPr>
          <w:b/>
          <w:sz w:val="28"/>
          <w:szCs w:val="28"/>
        </w:rPr>
        <w:t>Commission économique pour l</w:t>
      </w:r>
      <w:r w:rsidR="00E732FB">
        <w:rPr>
          <w:b/>
          <w:sz w:val="28"/>
          <w:szCs w:val="28"/>
        </w:rPr>
        <w:t>’</w:t>
      </w:r>
      <w:r w:rsidRPr="000312C0">
        <w:rPr>
          <w:b/>
          <w:sz w:val="28"/>
          <w:szCs w:val="28"/>
        </w:rPr>
        <w:t>Europe</w:t>
      </w:r>
    </w:p>
    <w:p w14:paraId="3865697E" w14:textId="77777777" w:rsidR="007F20FA" w:rsidRDefault="007F20FA" w:rsidP="007F20FA">
      <w:pPr>
        <w:spacing w:before="120"/>
        <w:rPr>
          <w:sz w:val="28"/>
          <w:szCs w:val="28"/>
        </w:rPr>
      </w:pPr>
      <w:r w:rsidRPr="00685843">
        <w:rPr>
          <w:sz w:val="28"/>
          <w:szCs w:val="28"/>
        </w:rPr>
        <w:t>Comité des transports intérieurs</w:t>
      </w:r>
    </w:p>
    <w:p w14:paraId="724421DE" w14:textId="16349F87" w:rsidR="00E732FB" w:rsidRPr="00BB4BBC" w:rsidRDefault="00E732FB" w:rsidP="00E732FB">
      <w:pPr>
        <w:tabs>
          <w:tab w:val="left" w:pos="567"/>
          <w:tab w:val="left" w:pos="1134"/>
        </w:tabs>
        <w:spacing w:before="120"/>
        <w:ind w:right="4252"/>
        <w:rPr>
          <w:rFonts w:eastAsia="MS Mincho"/>
          <w:sz w:val="28"/>
          <w:szCs w:val="28"/>
        </w:rPr>
      </w:pPr>
      <w:r w:rsidRPr="00FC0DF3">
        <w:rPr>
          <w:b/>
          <w:bCs/>
          <w:sz w:val="24"/>
          <w:szCs w:val="24"/>
          <w:lang w:val="fr-FR"/>
        </w:rPr>
        <w:t>Forum mondial de l</w:t>
      </w:r>
      <w:r>
        <w:rPr>
          <w:b/>
          <w:bCs/>
          <w:sz w:val="24"/>
          <w:szCs w:val="24"/>
          <w:lang w:val="fr-FR"/>
        </w:rPr>
        <w:t>’</w:t>
      </w:r>
      <w:r w:rsidRPr="00FC0DF3">
        <w:rPr>
          <w:b/>
          <w:bCs/>
          <w:sz w:val="24"/>
          <w:szCs w:val="24"/>
          <w:lang w:val="fr-FR"/>
        </w:rPr>
        <w:t>harmonisation des Règlements concernant les véhicules</w:t>
      </w:r>
      <w:r w:rsidRPr="00FC0DF3">
        <w:rPr>
          <w:sz w:val="24"/>
          <w:szCs w:val="24"/>
          <w:lang w:val="fr-FR"/>
        </w:rPr>
        <w:t xml:space="preserve"> </w:t>
      </w:r>
    </w:p>
    <w:p w14:paraId="3AD42C1F" w14:textId="4286B3D8" w:rsidR="00E732FB" w:rsidRPr="00BB4BBC" w:rsidRDefault="00E732FB" w:rsidP="00E732FB">
      <w:pPr>
        <w:tabs>
          <w:tab w:val="left" w:pos="567"/>
          <w:tab w:val="left" w:pos="1134"/>
        </w:tabs>
        <w:spacing w:before="120" w:after="120"/>
        <w:ind w:right="4252"/>
        <w:rPr>
          <w:rFonts w:eastAsia="MS Mincho"/>
          <w:b/>
          <w:bCs/>
        </w:rPr>
      </w:pPr>
      <w:r>
        <w:rPr>
          <w:b/>
          <w:bCs/>
          <w:lang w:val="fr-FR"/>
        </w:rPr>
        <w:t>Groupe de travail de la pollution et de l</w:t>
      </w:r>
      <w:r>
        <w:rPr>
          <w:b/>
          <w:bCs/>
          <w:lang w:val="fr-FR"/>
        </w:rPr>
        <w:t>’</w:t>
      </w:r>
      <w:r>
        <w:rPr>
          <w:b/>
          <w:bCs/>
          <w:lang w:val="fr-FR"/>
        </w:rPr>
        <w:t>énergie</w:t>
      </w:r>
    </w:p>
    <w:p w14:paraId="78AD7F72" w14:textId="77777777" w:rsidR="00E732FB" w:rsidRPr="00BB4BBC" w:rsidRDefault="00E732FB" w:rsidP="00E732FB">
      <w:pPr>
        <w:ind w:right="4252"/>
        <w:rPr>
          <w:rFonts w:eastAsia="MS Mincho"/>
          <w:b/>
        </w:rPr>
      </w:pPr>
      <w:r>
        <w:rPr>
          <w:b/>
          <w:bCs/>
          <w:lang w:val="fr-FR"/>
        </w:rPr>
        <w:t>Quatre-vingt-cinquième session</w:t>
      </w:r>
    </w:p>
    <w:p w14:paraId="32FF1E9E" w14:textId="77777777" w:rsidR="00E732FB" w:rsidRPr="00BB4BBC" w:rsidRDefault="00E732FB" w:rsidP="00E732FB">
      <w:pPr>
        <w:ind w:right="4252"/>
      </w:pPr>
      <w:bookmarkStart w:id="0" w:name="_Hlk80714809"/>
      <w:r>
        <w:rPr>
          <w:lang w:val="fr-FR"/>
        </w:rPr>
        <w:t>Genève, 11-14 janvier 2022</w:t>
      </w:r>
    </w:p>
    <w:p w14:paraId="004663F3" w14:textId="08E91EB4" w:rsidR="00E732FB" w:rsidRPr="00BB4BBC" w:rsidRDefault="00E732FB" w:rsidP="00E732FB">
      <w:pPr>
        <w:ind w:right="4252"/>
      </w:pPr>
      <w:r>
        <w:rPr>
          <w:lang w:val="fr-FR"/>
        </w:rPr>
        <w:t>Point 3 a) de l</w:t>
      </w:r>
      <w:r>
        <w:rPr>
          <w:lang w:val="fr-FR"/>
        </w:rPr>
        <w:t>’</w:t>
      </w:r>
      <w:r>
        <w:rPr>
          <w:lang w:val="fr-FR"/>
        </w:rPr>
        <w:t>ordre du jour provisoire</w:t>
      </w:r>
    </w:p>
    <w:bookmarkEnd w:id="0"/>
    <w:p w14:paraId="27751EDF" w14:textId="4657C13C" w:rsidR="00E732FB" w:rsidRPr="00BB4BBC" w:rsidRDefault="00E732FB" w:rsidP="00E732FB">
      <w:pPr>
        <w:ind w:right="2835"/>
        <w:rPr>
          <w:b/>
          <w:bCs/>
        </w:rPr>
      </w:pPr>
      <w:r>
        <w:rPr>
          <w:b/>
          <w:bCs/>
          <w:lang w:val="fr-FR"/>
        </w:rPr>
        <w:t>Véhicules légers : Règlements ONU n</w:t>
      </w:r>
      <w:r>
        <w:rPr>
          <w:b/>
          <w:bCs/>
          <w:vertAlign w:val="superscript"/>
          <w:lang w:val="fr-FR"/>
        </w:rPr>
        <w:t>os</w:t>
      </w:r>
      <w:r>
        <w:rPr>
          <w:b/>
          <w:bCs/>
          <w:lang w:val="fr-FR"/>
        </w:rPr>
        <w:t xml:space="preserve"> 68 (Mesure de la vitesse </w:t>
      </w:r>
      <w:r>
        <w:rPr>
          <w:b/>
          <w:bCs/>
          <w:lang w:val="fr-FR"/>
        </w:rPr>
        <w:br/>
      </w:r>
      <w:r>
        <w:rPr>
          <w:b/>
          <w:bCs/>
          <w:lang w:val="fr-FR"/>
        </w:rPr>
        <w:t>maximale des</w:t>
      </w:r>
      <w:r>
        <w:rPr>
          <w:b/>
          <w:bCs/>
          <w:lang w:val="fr-FR"/>
        </w:rPr>
        <w:t xml:space="preserve"> </w:t>
      </w:r>
      <w:r>
        <w:rPr>
          <w:b/>
          <w:bCs/>
          <w:lang w:val="fr-FR"/>
        </w:rPr>
        <w:t xml:space="preserve">véhicules à moteur, y compris les véhicules électriques </w:t>
      </w:r>
      <w:r>
        <w:rPr>
          <w:b/>
          <w:bCs/>
          <w:lang w:val="fr-FR"/>
        </w:rPr>
        <w:br/>
      </w:r>
      <w:r>
        <w:rPr>
          <w:b/>
          <w:bCs/>
          <w:lang w:val="fr-FR"/>
        </w:rPr>
        <w:t>purs), 83 (Émissions</w:t>
      </w:r>
      <w:r>
        <w:rPr>
          <w:b/>
          <w:bCs/>
          <w:lang w:val="fr-FR"/>
        </w:rPr>
        <w:t xml:space="preserve"> </w:t>
      </w:r>
      <w:r>
        <w:rPr>
          <w:b/>
          <w:bCs/>
          <w:lang w:val="fr-FR"/>
        </w:rPr>
        <w:t>polluantes des véhicules des</w:t>
      </w:r>
      <w:r>
        <w:rPr>
          <w:b/>
          <w:bCs/>
          <w:lang w:val="fr-FR"/>
        </w:rPr>
        <w:t xml:space="preserve"> </w:t>
      </w:r>
      <w:r>
        <w:rPr>
          <w:b/>
          <w:bCs/>
          <w:lang w:val="fr-FR"/>
        </w:rPr>
        <w:t>catégories M</w:t>
      </w:r>
      <w:r>
        <w:rPr>
          <w:b/>
          <w:bCs/>
          <w:vertAlign w:val="subscript"/>
          <w:lang w:val="fr-FR"/>
        </w:rPr>
        <w:t>1</w:t>
      </w:r>
      <w:r>
        <w:rPr>
          <w:b/>
          <w:bCs/>
          <w:lang w:val="fr-FR"/>
        </w:rPr>
        <w:t xml:space="preserve"> et N</w:t>
      </w:r>
      <w:r>
        <w:rPr>
          <w:b/>
          <w:bCs/>
          <w:vertAlign w:val="subscript"/>
          <w:lang w:val="fr-FR"/>
        </w:rPr>
        <w:t>1</w:t>
      </w:r>
      <w:r>
        <w:rPr>
          <w:b/>
          <w:bCs/>
          <w:lang w:val="fr-FR"/>
        </w:rPr>
        <w:t>), 101 (Émissions</w:t>
      </w:r>
      <w:r>
        <w:rPr>
          <w:b/>
          <w:bCs/>
          <w:lang w:val="fr-FR"/>
        </w:rPr>
        <w:t xml:space="preserve"> </w:t>
      </w:r>
      <w:r>
        <w:rPr>
          <w:b/>
          <w:bCs/>
          <w:lang w:val="fr-FR"/>
        </w:rPr>
        <w:t>de CO</w:t>
      </w:r>
      <w:r>
        <w:rPr>
          <w:b/>
          <w:bCs/>
          <w:vertAlign w:val="subscript"/>
          <w:lang w:val="fr-FR"/>
        </w:rPr>
        <w:t>2</w:t>
      </w:r>
      <w:r>
        <w:rPr>
          <w:b/>
          <w:bCs/>
          <w:lang w:val="fr-FR"/>
        </w:rPr>
        <w:t>/consommation de</w:t>
      </w:r>
      <w:r>
        <w:rPr>
          <w:b/>
          <w:bCs/>
          <w:lang w:val="fr-FR"/>
        </w:rPr>
        <w:t xml:space="preserve"> </w:t>
      </w:r>
      <w:r>
        <w:rPr>
          <w:b/>
          <w:bCs/>
          <w:lang w:val="fr-FR"/>
        </w:rPr>
        <w:t>carburant), 103 (Dispositifs antipollution de remplacement) et</w:t>
      </w:r>
      <w:r>
        <w:rPr>
          <w:b/>
          <w:bCs/>
          <w:lang w:val="fr-FR"/>
        </w:rPr>
        <w:t xml:space="preserve"> </w:t>
      </w:r>
      <w:r>
        <w:rPr>
          <w:b/>
          <w:bCs/>
          <w:lang w:val="fr-FR"/>
        </w:rPr>
        <w:t>154 (Procédure d</w:t>
      </w:r>
      <w:r>
        <w:rPr>
          <w:b/>
          <w:bCs/>
          <w:lang w:val="fr-FR"/>
        </w:rPr>
        <w:t>’</w:t>
      </w:r>
      <w:r>
        <w:rPr>
          <w:b/>
          <w:bCs/>
          <w:lang w:val="fr-FR"/>
        </w:rPr>
        <w:t xml:space="preserve">essai mondiale </w:t>
      </w:r>
      <w:r>
        <w:rPr>
          <w:b/>
          <w:bCs/>
          <w:lang w:val="fr-FR"/>
        </w:rPr>
        <w:br/>
      </w:r>
      <w:r>
        <w:rPr>
          <w:b/>
          <w:bCs/>
          <w:lang w:val="fr-FR"/>
        </w:rPr>
        <w:t xml:space="preserve">harmonisée pour les voitures particulières et les véhicules </w:t>
      </w:r>
      <w:r>
        <w:rPr>
          <w:b/>
          <w:bCs/>
          <w:lang w:val="fr-FR"/>
        </w:rPr>
        <w:br/>
      </w:r>
      <w:r>
        <w:rPr>
          <w:b/>
          <w:bCs/>
          <w:lang w:val="fr-FR"/>
        </w:rPr>
        <w:t>utilitaires légers (WLTP))</w:t>
      </w:r>
    </w:p>
    <w:p w14:paraId="532E1054" w14:textId="4FC3168C" w:rsidR="00E732FB" w:rsidRPr="00BB4BBC" w:rsidRDefault="00E732FB" w:rsidP="00E732FB">
      <w:pPr>
        <w:pStyle w:val="HChG"/>
      </w:pPr>
      <w:r>
        <w:rPr>
          <w:lang w:val="fr-FR"/>
        </w:rPr>
        <w:tab/>
      </w:r>
      <w:r>
        <w:rPr>
          <w:lang w:val="fr-FR"/>
        </w:rPr>
        <w:tab/>
      </w:r>
      <w:r>
        <w:rPr>
          <w:lang w:val="fr-FR"/>
        </w:rPr>
        <w:tab/>
      </w:r>
      <w:r>
        <w:rPr>
          <w:lang w:val="fr-FR"/>
        </w:rPr>
        <w:t>Proposition de nouveau complément aux séries 06 et 07 d</w:t>
      </w:r>
      <w:r>
        <w:rPr>
          <w:lang w:val="fr-FR"/>
        </w:rPr>
        <w:t>’</w:t>
      </w:r>
      <w:r>
        <w:rPr>
          <w:lang w:val="fr-FR"/>
        </w:rPr>
        <w:t>amendements au Règlement ONU n</w:t>
      </w:r>
      <w:r>
        <w:rPr>
          <w:vertAlign w:val="superscript"/>
          <w:lang w:val="fr-FR"/>
        </w:rPr>
        <w:t>o</w:t>
      </w:r>
      <w:r>
        <w:rPr>
          <w:lang w:val="fr-FR"/>
        </w:rPr>
        <w:t xml:space="preserve"> 83 (Émissions polluantes des véhicules des catégories M</w:t>
      </w:r>
      <w:r>
        <w:rPr>
          <w:vertAlign w:val="subscript"/>
          <w:lang w:val="fr-FR"/>
        </w:rPr>
        <w:t>1</w:t>
      </w:r>
      <w:r>
        <w:rPr>
          <w:lang w:val="fr-FR"/>
        </w:rPr>
        <w:t xml:space="preserve"> et N</w:t>
      </w:r>
      <w:r>
        <w:rPr>
          <w:vertAlign w:val="subscript"/>
          <w:lang w:val="fr-FR"/>
        </w:rPr>
        <w:t>1</w:t>
      </w:r>
      <w:r>
        <w:rPr>
          <w:lang w:val="fr-FR"/>
        </w:rPr>
        <w:t>)</w:t>
      </w:r>
    </w:p>
    <w:p w14:paraId="29353B09" w14:textId="5D3EC178" w:rsidR="00E732FB" w:rsidRPr="00BB4BBC" w:rsidRDefault="00E732FB" w:rsidP="00E732FB">
      <w:pPr>
        <w:pStyle w:val="H1G"/>
      </w:pPr>
      <w:r>
        <w:rPr>
          <w:lang w:val="fr-FR"/>
        </w:rPr>
        <w:tab/>
      </w:r>
      <w:r>
        <w:rPr>
          <w:lang w:val="fr-FR"/>
        </w:rPr>
        <w:tab/>
        <w:t>Communication de l</w:t>
      </w:r>
      <w:r>
        <w:rPr>
          <w:lang w:val="fr-FR"/>
        </w:rPr>
        <w:t>’</w:t>
      </w:r>
      <w:r>
        <w:rPr>
          <w:lang w:val="fr-FR"/>
        </w:rPr>
        <w:t>expert de l</w:t>
      </w:r>
      <w:r>
        <w:rPr>
          <w:lang w:val="fr-FR"/>
        </w:rPr>
        <w:t>’</w:t>
      </w:r>
      <w:r>
        <w:rPr>
          <w:lang w:val="fr-FR"/>
        </w:rPr>
        <w:t>Organisation internationale des constructeurs d</w:t>
      </w:r>
      <w:r>
        <w:rPr>
          <w:lang w:val="fr-FR"/>
        </w:rPr>
        <w:t>’</w:t>
      </w:r>
      <w:r>
        <w:rPr>
          <w:lang w:val="fr-FR"/>
        </w:rPr>
        <w:t>automobiles</w:t>
      </w:r>
      <w:r w:rsidRPr="00E732FB">
        <w:rPr>
          <w:b w:val="0"/>
          <w:bCs/>
          <w:szCs w:val="16"/>
          <w:lang w:val="fr-FR"/>
        </w:rPr>
        <w:footnoteReference w:customMarkFollows="1" w:id="2"/>
        <w:t>*</w:t>
      </w:r>
    </w:p>
    <w:p w14:paraId="7A269DE9" w14:textId="05073F9C" w:rsidR="00E732FB" w:rsidRPr="00BB4BBC" w:rsidRDefault="00E732FB" w:rsidP="00E732FB">
      <w:pPr>
        <w:pStyle w:val="SingleTxtG"/>
        <w:ind w:firstLine="567"/>
        <w:rPr>
          <w:bCs/>
        </w:rPr>
      </w:pPr>
      <w:bookmarkStart w:id="1" w:name="_Hlk80714824"/>
      <w:r>
        <w:rPr>
          <w:lang w:val="fr-FR"/>
        </w:rPr>
        <w:t>Le texte ci-après, établi par l</w:t>
      </w:r>
      <w:r>
        <w:rPr>
          <w:lang w:val="fr-FR"/>
        </w:rPr>
        <w:t>’</w:t>
      </w:r>
      <w:r>
        <w:rPr>
          <w:lang w:val="fr-FR"/>
        </w:rPr>
        <w:t>expert de l</w:t>
      </w:r>
      <w:r>
        <w:rPr>
          <w:lang w:val="fr-FR"/>
        </w:rPr>
        <w:t>’</w:t>
      </w:r>
      <w:r>
        <w:rPr>
          <w:lang w:val="fr-FR"/>
        </w:rPr>
        <w:t>Organisation internationale des constructeurs d</w:t>
      </w:r>
      <w:r>
        <w:rPr>
          <w:lang w:val="fr-FR"/>
        </w:rPr>
        <w:t>’</w:t>
      </w:r>
      <w:r>
        <w:rPr>
          <w:lang w:val="fr-FR"/>
        </w:rPr>
        <w:t>automobiles (OICA), tend à intégrer les dispositions relatives aux véhicules à usage spécial</w:t>
      </w:r>
      <w:r w:rsidRPr="00E732FB">
        <w:rPr>
          <w:lang w:val="fr-FR"/>
        </w:rPr>
        <w:t>.</w:t>
      </w:r>
      <w:r>
        <w:rPr>
          <w:lang w:val="fr-FR"/>
        </w:rPr>
        <w:t xml:space="preserve"> Les modifications qu</w:t>
      </w:r>
      <w:r>
        <w:rPr>
          <w:lang w:val="fr-FR"/>
        </w:rPr>
        <w:t>’</w:t>
      </w:r>
      <w:r>
        <w:rPr>
          <w:lang w:val="fr-FR"/>
        </w:rPr>
        <w:t>il est proposé d</w:t>
      </w:r>
      <w:r>
        <w:rPr>
          <w:lang w:val="fr-FR"/>
        </w:rPr>
        <w:t>’</w:t>
      </w:r>
      <w:r>
        <w:rPr>
          <w:lang w:val="fr-FR"/>
        </w:rPr>
        <w:t xml:space="preserve">apporter au texte actuel du Règlement </w:t>
      </w:r>
      <w:r>
        <w:rPr>
          <w:lang w:val="fr-FR"/>
        </w:rPr>
        <w:t xml:space="preserve">ONU </w:t>
      </w:r>
      <w:r>
        <w:rPr>
          <w:lang w:val="fr-FR"/>
        </w:rPr>
        <w:t>n</w:t>
      </w:r>
      <w:r>
        <w:rPr>
          <w:vertAlign w:val="superscript"/>
          <w:lang w:val="fr-FR"/>
        </w:rPr>
        <w:t>o</w:t>
      </w:r>
      <w:r>
        <w:rPr>
          <w:lang w:val="fr-FR"/>
        </w:rPr>
        <w:t> </w:t>
      </w:r>
      <w:r>
        <w:rPr>
          <w:lang w:val="fr-FR"/>
        </w:rPr>
        <w:t>83 figurent en caractères gras pour les ajouts et biffés pour les suppressions</w:t>
      </w:r>
      <w:r w:rsidRPr="00E732FB">
        <w:rPr>
          <w:lang w:val="fr-FR"/>
        </w:rPr>
        <w:t>.</w:t>
      </w:r>
    </w:p>
    <w:bookmarkEnd w:id="1"/>
    <w:p w14:paraId="3684E516" w14:textId="77777777" w:rsidR="00E732FB" w:rsidRPr="00BB4BBC" w:rsidRDefault="00E732FB" w:rsidP="00E732FB">
      <w:pPr>
        <w:pStyle w:val="HChG"/>
        <w:tabs>
          <w:tab w:val="clear" w:pos="851"/>
        </w:tabs>
        <w:ind w:hanging="567"/>
        <w:rPr>
          <w:b w:val="0"/>
          <w:bCs/>
          <w:lang w:eastAsia="en-GB"/>
        </w:rPr>
      </w:pPr>
      <w:r w:rsidRPr="00BB4BBC">
        <w:br w:type="page"/>
      </w:r>
    </w:p>
    <w:p w14:paraId="23555722" w14:textId="1DFA8E42" w:rsidR="00E732FB" w:rsidRPr="00BB4BBC" w:rsidRDefault="00E732FB" w:rsidP="00E732FB">
      <w:pPr>
        <w:pStyle w:val="HChG"/>
      </w:pPr>
      <w:r>
        <w:rPr>
          <w:lang w:val="fr-FR"/>
        </w:rPr>
        <w:lastRenderedPageBreak/>
        <w:tab/>
        <w:t>I</w:t>
      </w:r>
      <w:r w:rsidRPr="00E732FB">
        <w:rPr>
          <w:lang w:val="fr-FR"/>
        </w:rPr>
        <w:t>.</w:t>
      </w:r>
      <w:r>
        <w:rPr>
          <w:lang w:val="fr-FR"/>
        </w:rPr>
        <w:tab/>
        <w:t>Proposition</w:t>
      </w:r>
    </w:p>
    <w:p w14:paraId="1BFC7A89" w14:textId="6B868BF6" w:rsidR="00E732FB" w:rsidRPr="00E732FB" w:rsidRDefault="00E732FB" w:rsidP="00E732FB">
      <w:pPr>
        <w:pStyle w:val="SingleTxtG"/>
        <w:rPr>
          <w:rFonts w:eastAsia="MS Mincho"/>
          <w:i/>
          <w:iCs/>
        </w:rPr>
      </w:pPr>
      <w:r w:rsidRPr="00E732FB">
        <w:rPr>
          <w:i/>
          <w:iCs/>
          <w:lang w:val="fr-FR"/>
        </w:rPr>
        <w:t>Dans les séries 06 et 07 d</w:t>
      </w:r>
      <w:r>
        <w:rPr>
          <w:i/>
          <w:iCs/>
          <w:lang w:val="fr-FR"/>
        </w:rPr>
        <w:t>’</w:t>
      </w:r>
      <w:r w:rsidRPr="00E732FB">
        <w:rPr>
          <w:i/>
          <w:iCs/>
          <w:lang w:val="fr-FR"/>
        </w:rPr>
        <w:t>amendements</w:t>
      </w:r>
    </w:p>
    <w:p w14:paraId="3FF5A2AD" w14:textId="43D69D9C" w:rsidR="00E732FB" w:rsidRPr="00BB4BBC" w:rsidRDefault="00E732FB" w:rsidP="00E732FB">
      <w:pPr>
        <w:spacing w:after="120"/>
        <w:ind w:left="1134" w:right="1134"/>
        <w:rPr>
          <w:rFonts w:eastAsia="MS Mincho"/>
          <w:i/>
        </w:rPr>
      </w:pPr>
      <w:r>
        <w:rPr>
          <w:i/>
          <w:iCs/>
          <w:lang w:val="fr-FR"/>
        </w:rPr>
        <w:t>Paragraphe 1</w:t>
      </w:r>
      <w:r w:rsidRPr="00E732FB">
        <w:rPr>
          <w:i/>
          <w:iCs/>
          <w:lang w:val="fr-FR"/>
        </w:rPr>
        <w:t>.</w:t>
      </w:r>
      <w:r>
        <w:rPr>
          <w:i/>
          <w:iCs/>
          <w:lang w:val="fr-FR"/>
        </w:rPr>
        <w:t>1</w:t>
      </w:r>
      <w:r w:rsidRPr="00E732FB">
        <w:rPr>
          <w:lang w:val="fr-FR"/>
        </w:rPr>
        <w:t>,</w:t>
      </w:r>
      <w:r>
        <w:rPr>
          <w:lang w:val="fr-FR"/>
        </w:rPr>
        <w:t xml:space="preserve"> lire :</w:t>
      </w:r>
    </w:p>
    <w:p w14:paraId="4D6E9692" w14:textId="3A3E0B30" w:rsidR="00E732FB" w:rsidRPr="00BB4BBC" w:rsidRDefault="00E732FB" w:rsidP="00E732FB">
      <w:pPr>
        <w:spacing w:after="120"/>
        <w:ind w:left="2268" w:right="1134" w:hanging="1134"/>
        <w:jc w:val="both"/>
        <w:rPr>
          <w:rFonts w:eastAsia="MS Mincho"/>
        </w:rPr>
      </w:pPr>
      <w:r>
        <w:rPr>
          <w:lang w:val="fr-FR"/>
        </w:rPr>
        <w:t>« 1</w:t>
      </w:r>
      <w:r w:rsidRPr="00E732FB">
        <w:rPr>
          <w:lang w:val="fr-FR"/>
        </w:rPr>
        <w:t>.</w:t>
      </w:r>
      <w:r>
        <w:rPr>
          <w:lang w:val="fr-FR"/>
        </w:rPr>
        <w:t>1</w:t>
      </w:r>
      <w:r>
        <w:rPr>
          <w:lang w:val="fr-FR"/>
        </w:rPr>
        <w:tab/>
        <w:t>Le présent Règlement s</w:t>
      </w:r>
      <w:r>
        <w:rPr>
          <w:lang w:val="fr-FR"/>
        </w:rPr>
        <w:t>’</w:t>
      </w:r>
      <w:r>
        <w:rPr>
          <w:lang w:val="fr-FR"/>
        </w:rPr>
        <w:t>applique aux véhicules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xml:space="preserve"> dont la masse de référence ne dépasse pas 2 610 kg</w:t>
      </w:r>
      <w:r w:rsidRPr="00E732FB">
        <w:rPr>
          <w:sz w:val="18"/>
          <w:szCs w:val="18"/>
          <w:vertAlign w:val="superscript"/>
          <w:lang w:val="fr-FR"/>
        </w:rPr>
        <w:t>1</w:t>
      </w:r>
      <w:r w:rsidRPr="00E732FB">
        <w:rPr>
          <w:lang w:val="fr-FR"/>
        </w:rPr>
        <w:t>.</w:t>
      </w:r>
    </w:p>
    <w:p w14:paraId="26934312" w14:textId="26BD8FA7" w:rsidR="00E732FB" w:rsidRPr="00BB4BBC" w:rsidRDefault="00E732FB" w:rsidP="00E732FB">
      <w:pPr>
        <w:spacing w:after="120"/>
        <w:ind w:left="2268" w:right="1134"/>
        <w:jc w:val="both"/>
        <w:rPr>
          <w:rFonts w:eastAsia="MS Mincho"/>
        </w:rPr>
      </w:pPr>
      <w:r>
        <w:rPr>
          <w:lang w:val="fr-FR"/>
        </w:rPr>
        <w:t>À la demande du constructeur, l</w:t>
      </w:r>
      <w:r>
        <w:rPr>
          <w:lang w:val="fr-FR"/>
        </w:rPr>
        <w:t>’</w:t>
      </w:r>
      <w:r>
        <w:rPr>
          <w:lang w:val="fr-FR"/>
        </w:rPr>
        <w:t>homologation de type accordée en application du présent Règlement peut être étendue des véhicules désignés ci-dessus aux véhicules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xml:space="preserve"> dont la masse de référence ne dépasse pas 2</w:t>
      </w:r>
      <w:r>
        <w:rPr>
          <w:lang w:val="fr-FR"/>
        </w:rPr>
        <w:t> </w:t>
      </w:r>
      <w:r>
        <w:rPr>
          <w:lang w:val="fr-FR"/>
        </w:rPr>
        <w:t>840</w:t>
      </w:r>
      <w:r>
        <w:rPr>
          <w:lang w:val="fr-FR"/>
        </w:rPr>
        <w:t> </w:t>
      </w:r>
      <w:r>
        <w:rPr>
          <w:lang w:val="fr-FR"/>
        </w:rPr>
        <w:t>kg et qui satisfont aux conditions fixées dans le présent Règlement</w:t>
      </w:r>
      <w:r w:rsidRPr="00E732FB">
        <w:rPr>
          <w:lang w:val="fr-FR"/>
        </w:rPr>
        <w:t>.</w:t>
      </w:r>
    </w:p>
    <w:p w14:paraId="7A80CFD2" w14:textId="05CFE085" w:rsidR="00E732FB" w:rsidRPr="00BB4BBC" w:rsidRDefault="00E732FB" w:rsidP="00E732FB">
      <w:pPr>
        <w:spacing w:after="120"/>
        <w:ind w:left="2268" w:right="1134"/>
        <w:jc w:val="both"/>
      </w:pPr>
      <w:r>
        <w:rPr>
          <w:lang w:val="fr-FR"/>
        </w:rPr>
        <w:t>À la demande du constructeur, l</w:t>
      </w:r>
      <w:r>
        <w:rPr>
          <w:lang w:val="fr-FR"/>
        </w:rPr>
        <w:t>’</w:t>
      </w:r>
      <w:r>
        <w:rPr>
          <w:lang w:val="fr-FR"/>
        </w:rPr>
        <w:t xml:space="preserve">homologation de type accordée en vertu du présent Règlement peut être </w:t>
      </w:r>
      <w:r>
        <w:rPr>
          <w:b/>
          <w:bCs/>
          <w:lang w:val="fr-FR"/>
        </w:rPr>
        <w:t xml:space="preserve">accordée </w:t>
      </w:r>
      <w:r>
        <w:rPr>
          <w:strike/>
          <w:lang w:val="fr-FR"/>
        </w:rPr>
        <w:t>étendue des véhicules désignés ci-dessus</w:t>
      </w:r>
      <w:r>
        <w:rPr>
          <w:lang w:val="fr-FR"/>
        </w:rPr>
        <w:t xml:space="preserve"> aux véhicules à usage spécial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quelle que soit leur masse de référence</w:t>
      </w:r>
      <w:r w:rsidRPr="00E732FB">
        <w:rPr>
          <w:lang w:val="fr-FR"/>
        </w:rPr>
        <w:t>.</w:t>
      </w:r>
      <w:r>
        <w:rPr>
          <w:lang w:val="fr-FR"/>
        </w:rPr>
        <w:t xml:space="preserve"> </w:t>
      </w:r>
      <w:r>
        <w:rPr>
          <w:b/>
          <w:bCs/>
          <w:lang w:val="fr-FR"/>
        </w:rPr>
        <w:t xml:space="preserve">Dans ce cas, </w:t>
      </w:r>
      <w:proofErr w:type="spellStart"/>
      <w:r>
        <w:rPr>
          <w:b/>
          <w:bCs/>
          <w:lang w:val="fr-FR"/>
        </w:rPr>
        <w:t>l</w:t>
      </w:r>
      <w:r>
        <w:rPr>
          <w:strike/>
          <w:lang w:val="fr-FR"/>
        </w:rPr>
        <w:t>L</w:t>
      </w:r>
      <w:r>
        <w:rPr>
          <w:lang w:val="fr-FR"/>
        </w:rPr>
        <w:t>e</w:t>
      </w:r>
      <w:proofErr w:type="spellEnd"/>
      <w:r>
        <w:rPr>
          <w:lang w:val="fr-FR"/>
        </w:rPr>
        <w:t xml:space="preserve"> constructeur doit démontrer à l</w:t>
      </w:r>
      <w:r>
        <w:rPr>
          <w:lang w:val="fr-FR"/>
        </w:rPr>
        <w:t>’</w:t>
      </w:r>
      <w:r>
        <w:rPr>
          <w:lang w:val="fr-FR"/>
        </w:rPr>
        <w:t>autorité qui a délivré l</w:t>
      </w:r>
      <w:r>
        <w:rPr>
          <w:lang w:val="fr-FR"/>
        </w:rPr>
        <w:t>’</w:t>
      </w:r>
      <w:r>
        <w:rPr>
          <w:lang w:val="fr-FR"/>
        </w:rPr>
        <w:t>homologation de type que le véhicule en question est un véhicule à usage spécial</w:t>
      </w:r>
      <w:r w:rsidRPr="00E732FB">
        <w:rPr>
          <w:sz w:val="18"/>
          <w:szCs w:val="18"/>
          <w:vertAlign w:val="superscript"/>
          <w:lang w:val="fr-FR"/>
        </w:rPr>
        <w:t>1</w:t>
      </w:r>
      <w:r w:rsidRPr="00E732FB">
        <w:rPr>
          <w:lang w:val="fr-FR"/>
        </w:rPr>
        <w:t>.</w:t>
      </w:r>
      <w:r>
        <w:rPr>
          <w:lang w:val="fr-FR"/>
        </w:rPr>
        <w:t> </w:t>
      </w:r>
      <w:r>
        <w:rPr>
          <w:lang w:val="fr-FR"/>
        </w:rPr>
        <w:t>»</w:t>
      </w:r>
      <w:r w:rsidRPr="00E732FB">
        <w:rPr>
          <w:lang w:val="fr-FR"/>
        </w:rPr>
        <w:t>.</w:t>
      </w:r>
    </w:p>
    <w:p w14:paraId="3AB193AA" w14:textId="774BD15D" w:rsidR="00E732FB" w:rsidRPr="00BB4BBC" w:rsidRDefault="00E732FB" w:rsidP="00E732FB">
      <w:pPr>
        <w:spacing w:after="120"/>
        <w:ind w:left="1134" w:right="1134"/>
        <w:jc w:val="both"/>
        <w:rPr>
          <w:rFonts w:eastAsia="MS Mincho"/>
          <w:i/>
        </w:rPr>
      </w:pPr>
      <w:r>
        <w:rPr>
          <w:i/>
          <w:iCs/>
          <w:lang w:val="fr-FR"/>
        </w:rPr>
        <w:t>Paragraphe 9</w:t>
      </w:r>
      <w:r w:rsidRPr="00E732FB">
        <w:rPr>
          <w:i/>
          <w:iCs/>
          <w:lang w:val="fr-FR"/>
        </w:rPr>
        <w:t>.</w:t>
      </w:r>
      <w:r>
        <w:rPr>
          <w:i/>
          <w:iCs/>
          <w:lang w:val="fr-FR"/>
        </w:rPr>
        <w:t>1</w:t>
      </w:r>
      <w:r>
        <w:rPr>
          <w:lang w:val="fr-FR"/>
        </w:rPr>
        <w:t>, lire :</w:t>
      </w:r>
    </w:p>
    <w:p w14:paraId="497ABBA5" w14:textId="033BCAD6" w:rsidR="00E732FB" w:rsidRPr="00BB4BBC" w:rsidRDefault="00E732FB" w:rsidP="00E732FB">
      <w:pPr>
        <w:spacing w:after="120"/>
        <w:ind w:left="2268" w:right="1134" w:hanging="1134"/>
        <w:jc w:val="both"/>
        <w:rPr>
          <w:rFonts w:eastAsia="MS Mincho"/>
        </w:rPr>
      </w:pPr>
      <w:r>
        <w:rPr>
          <w:lang w:val="fr-FR"/>
        </w:rPr>
        <w:t>« 9</w:t>
      </w:r>
      <w:r w:rsidRPr="00E732FB">
        <w:rPr>
          <w:lang w:val="fr-FR"/>
        </w:rPr>
        <w:t>.</w:t>
      </w:r>
      <w:r>
        <w:rPr>
          <w:lang w:val="fr-FR"/>
        </w:rPr>
        <w:t>1</w:t>
      </w:r>
      <w:r>
        <w:rPr>
          <w:lang w:val="fr-FR"/>
        </w:rPr>
        <w:tab/>
        <w:t>Introduction</w:t>
      </w:r>
    </w:p>
    <w:p w14:paraId="047D8F73" w14:textId="60F2B51F" w:rsidR="00E732FB" w:rsidRPr="00BB4BBC" w:rsidRDefault="00E732FB" w:rsidP="00E732FB">
      <w:pPr>
        <w:spacing w:after="120"/>
        <w:ind w:left="2268" w:right="1134"/>
        <w:jc w:val="both"/>
        <w:rPr>
          <w:rFonts w:eastAsia="MS Mincho"/>
          <w:b/>
          <w:bCs/>
        </w:rPr>
      </w:pPr>
      <w:r>
        <w:rPr>
          <w:lang w:val="fr-FR"/>
        </w:rPr>
        <w:t>Le présent paragraphe énonce, pour les émissions d</w:t>
      </w:r>
      <w:r>
        <w:rPr>
          <w:lang w:val="fr-FR"/>
        </w:rPr>
        <w:t>’</w:t>
      </w:r>
      <w:r>
        <w:rPr>
          <w:lang w:val="fr-FR"/>
        </w:rPr>
        <w:t>échappement et les systèmes OBD (y compris l</w:t>
      </w:r>
      <w:r>
        <w:rPr>
          <w:lang w:val="fr-FR"/>
        </w:rPr>
        <w:t>’</w:t>
      </w:r>
      <w:r>
        <w:rPr>
          <w:lang w:val="fr-FR"/>
        </w:rPr>
        <w:t>IUPR</w:t>
      </w:r>
      <w:r>
        <w:rPr>
          <w:vertAlign w:val="subscript"/>
          <w:lang w:val="fr-FR"/>
        </w:rPr>
        <w:t>M</w:t>
      </w:r>
      <w:r>
        <w:rPr>
          <w:lang w:val="fr-FR"/>
        </w:rPr>
        <w:t>), les prescriptions en matière de conformité en service applicables au type de véhicules homologué conformément au présent Règlement</w:t>
      </w:r>
      <w:r w:rsidRPr="00E732FB">
        <w:rPr>
          <w:lang w:val="fr-FR"/>
        </w:rPr>
        <w:t>.</w:t>
      </w:r>
      <w:r>
        <w:rPr>
          <w:lang w:val="fr-FR"/>
        </w:rPr>
        <w:t xml:space="preserve"> </w:t>
      </w:r>
      <w:r>
        <w:rPr>
          <w:b/>
          <w:bCs/>
          <w:lang w:val="fr-FR"/>
        </w:rPr>
        <w:t>Les véhicules à usage spécial ne sont pas soumis aux dispositions du présent paragraphe si le constructeur démontre que le véhicule ne peut pas satisfaire aux dispositions en matière d</w:t>
      </w:r>
      <w:r>
        <w:rPr>
          <w:b/>
          <w:bCs/>
          <w:lang w:val="fr-FR"/>
        </w:rPr>
        <w:t>’</w:t>
      </w:r>
      <w:r>
        <w:rPr>
          <w:b/>
          <w:bCs/>
          <w:lang w:val="fr-FR"/>
        </w:rPr>
        <w:t>émissions en raison de son usage spécial</w:t>
      </w:r>
      <w:r w:rsidRPr="00E732FB">
        <w:rPr>
          <w:b/>
          <w:bCs/>
          <w:lang w:val="fr-FR"/>
        </w:rPr>
        <w:t>.</w:t>
      </w:r>
      <w:r>
        <w:rPr>
          <w:lang w:val="fr-FR"/>
        </w:rPr>
        <w:t xml:space="preserve"> </w:t>
      </w:r>
      <w:r>
        <w:rPr>
          <w:b/>
          <w:bCs/>
          <w:lang w:val="fr-FR"/>
        </w:rPr>
        <w:t>Les exemptions accordées doivent être décrites sur le certificat d</w:t>
      </w:r>
      <w:r>
        <w:rPr>
          <w:b/>
          <w:bCs/>
          <w:lang w:val="fr-FR"/>
        </w:rPr>
        <w:t>’</w:t>
      </w:r>
      <w:r>
        <w:rPr>
          <w:b/>
          <w:bCs/>
          <w:lang w:val="fr-FR"/>
        </w:rPr>
        <w:t>homologation du véhicule</w:t>
      </w:r>
      <w:r w:rsidRPr="00E732FB">
        <w:rPr>
          <w:b/>
          <w:bCs/>
          <w:lang w:val="fr-FR"/>
        </w:rPr>
        <w:t>.</w:t>
      </w:r>
      <w:r>
        <w:rPr>
          <w:lang w:val="fr-FR"/>
        </w:rPr>
        <w:t> </w:t>
      </w:r>
      <w:r>
        <w:rPr>
          <w:lang w:val="fr-FR"/>
        </w:rPr>
        <w:t>»</w:t>
      </w:r>
      <w:r w:rsidRPr="00E732FB">
        <w:rPr>
          <w:lang w:val="fr-FR"/>
        </w:rPr>
        <w:t>.</w:t>
      </w:r>
    </w:p>
    <w:p w14:paraId="5FF4CE78" w14:textId="59C1D298" w:rsidR="00E732FB" w:rsidRPr="00BB4BBC" w:rsidRDefault="00E732FB" w:rsidP="00E732FB">
      <w:pPr>
        <w:spacing w:after="120"/>
        <w:ind w:left="1134" w:right="1134"/>
        <w:jc w:val="both"/>
        <w:rPr>
          <w:rFonts w:eastAsia="MS Mincho"/>
          <w:i/>
        </w:rPr>
      </w:pPr>
      <w:r>
        <w:rPr>
          <w:i/>
          <w:iCs/>
          <w:lang w:val="fr-FR"/>
        </w:rPr>
        <w:t>Annexe 6, paragraphe 8</w:t>
      </w:r>
      <w:r w:rsidRPr="00E732FB">
        <w:rPr>
          <w:i/>
          <w:iCs/>
          <w:lang w:val="fr-FR"/>
        </w:rPr>
        <w:t>.</w:t>
      </w:r>
      <w:r>
        <w:rPr>
          <w:i/>
          <w:iCs/>
          <w:lang w:val="fr-FR"/>
        </w:rPr>
        <w:t>1</w:t>
      </w:r>
      <w:r w:rsidRPr="00E732FB">
        <w:rPr>
          <w:i/>
          <w:iCs/>
          <w:lang w:val="fr-FR"/>
        </w:rPr>
        <w:t>.</w:t>
      </w:r>
      <w:r>
        <w:rPr>
          <w:i/>
          <w:iCs/>
          <w:lang w:val="fr-FR"/>
        </w:rPr>
        <w:t>1</w:t>
      </w:r>
      <w:r>
        <w:rPr>
          <w:lang w:val="fr-FR"/>
        </w:rPr>
        <w:t>, lire :</w:t>
      </w:r>
    </w:p>
    <w:p w14:paraId="4DA1CB6D" w14:textId="00ED2023" w:rsidR="00E732FB" w:rsidRPr="00BB4BBC" w:rsidRDefault="00E732FB" w:rsidP="00E732FB">
      <w:pPr>
        <w:spacing w:after="120"/>
        <w:ind w:left="2268" w:right="1134" w:hanging="1134"/>
        <w:jc w:val="both"/>
      </w:pPr>
      <w:r>
        <w:rPr>
          <w:lang w:val="fr-FR"/>
        </w:rPr>
        <w:t>« 8</w:t>
      </w:r>
      <w:r w:rsidRPr="00E732FB">
        <w:rPr>
          <w:lang w:val="fr-FR"/>
        </w:rPr>
        <w:t>.</w:t>
      </w:r>
      <w:r>
        <w:rPr>
          <w:lang w:val="fr-FR"/>
        </w:rPr>
        <w:t>1</w:t>
      </w:r>
      <w:r w:rsidRPr="00E732FB">
        <w:rPr>
          <w:lang w:val="fr-FR"/>
        </w:rPr>
        <w:t>.</w:t>
      </w:r>
      <w:r>
        <w:rPr>
          <w:lang w:val="fr-FR"/>
        </w:rPr>
        <w:t>1</w:t>
      </w:r>
      <w:r>
        <w:rPr>
          <w:lang w:val="fr-FR"/>
        </w:rPr>
        <w:tab/>
        <w:t>Cette prescription ne s</w:t>
      </w:r>
      <w:r>
        <w:rPr>
          <w:lang w:val="fr-FR"/>
        </w:rPr>
        <w:t>’</w:t>
      </w:r>
      <w:r>
        <w:rPr>
          <w:lang w:val="fr-FR"/>
        </w:rPr>
        <w:t xml:space="preserve">applique pas aux </w:t>
      </w:r>
      <w:r>
        <w:rPr>
          <w:strike/>
          <w:lang w:val="fr-FR"/>
        </w:rPr>
        <w:t>véhicules conçus et construits pour être utilisés par les services de secours, les forces armées, la protection civile, les pompiers et les forces de maintien de l</w:t>
      </w:r>
      <w:r>
        <w:rPr>
          <w:strike/>
          <w:lang w:val="fr-FR"/>
        </w:rPr>
        <w:t>’</w:t>
      </w:r>
      <w:r>
        <w:rPr>
          <w:strike/>
          <w:lang w:val="fr-FR"/>
        </w:rPr>
        <w:t>ordre</w:t>
      </w:r>
      <w:r>
        <w:rPr>
          <w:b/>
          <w:bCs/>
          <w:lang w:val="fr-FR"/>
        </w:rPr>
        <w:t xml:space="preserve"> ambulances non plus qu</w:t>
      </w:r>
      <w:r>
        <w:rPr>
          <w:b/>
          <w:bCs/>
          <w:lang w:val="fr-FR"/>
        </w:rPr>
        <w:t>’</w:t>
      </w:r>
      <w:r>
        <w:rPr>
          <w:b/>
          <w:bCs/>
          <w:lang w:val="fr-FR"/>
        </w:rPr>
        <w:t>aux véhicules des pouvoirs publics ni aux véhicules à usage spécial</w:t>
      </w:r>
      <w:r w:rsidRPr="00E732FB">
        <w:rPr>
          <w:lang w:val="fr-FR"/>
        </w:rPr>
        <w:t>.</w:t>
      </w:r>
      <w:r>
        <w:rPr>
          <w:lang w:val="fr-FR"/>
        </w:rPr>
        <w:t xml:space="preserve"> La désactivation permanente du système d</w:t>
      </w:r>
      <w:r>
        <w:rPr>
          <w:lang w:val="fr-FR"/>
        </w:rPr>
        <w:t>’</w:t>
      </w:r>
      <w:r>
        <w:rPr>
          <w:lang w:val="fr-FR"/>
        </w:rPr>
        <w:t>incitation du conducteur ne peut être effectuée que par le constructeur du véhicule</w:t>
      </w:r>
      <w:r w:rsidRPr="00E732FB">
        <w:rPr>
          <w:lang w:val="fr-FR"/>
        </w:rPr>
        <w:t>.</w:t>
      </w:r>
      <w:r>
        <w:rPr>
          <w:lang w:val="fr-FR"/>
        </w:rPr>
        <w:t xml:space="preserve"> »</w:t>
      </w:r>
      <w:r w:rsidRPr="00E732FB">
        <w:rPr>
          <w:lang w:val="fr-FR"/>
        </w:rPr>
        <w:t>.</w:t>
      </w:r>
    </w:p>
    <w:p w14:paraId="5305FBC6" w14:textId="447FCA04" w:rsidR="00E732FB" w:rsidRPr="00E732FB" w:rsidRDefault="00E732FB" w:rsidP="00E732FB">
      <w:pPr>
        <w:pStyle w:val="SingleTxtG"/>
        <w:rPr>
          <w:rFonts w:eastAsia="MS Mincho"/>
          <w:i/>
          <w:iCs/>
        </w:rPr>
      </w:pPr>
      <w:r w:rsidRPr="00E732FB">
        <w:rPr>
          <w:i/>
          <w:iCs/>
          <w:lang w:val="fr-FR"/>
        </w:rPr>
        <w:t>Dans la série 06 d</w:t>
      </w:r>
      <w:r w:rsidRPr="00E732FB">
        <w:rPr>
          <w:i/>
          <w:iCs/>
          <w:lang w:val="fr-FR"/>
        </w:rPr>
        <w:t>’</w:t>
      </w:r>
      <w:r w:rsidRPr="00E732FB">
        <w:rPr>
          <w:i/>
          <w:iCs/>
          <w:lang w:val="fr-FR"/>
        </w:rPr>
        <w:t>amendements</w:t>
      </w:r>
    </w:p>
    <w:p w14:paraId="2798B957" w14:textId="45675292" w:rsidR="00E732FB" w:rsidRPr="00BB4BBC" w:rsidRDefault="00E732FB" w:rsidP="00E732FB">
      <w:pPr>
        <w:spacing w:after="120"/>
        <w:ind w:left="1134" w:right="1134"/>
        <w:jc w:val="both"/>
        <w:rPr>
          <w:rFonts w:eastAsia="MS Mincho"/>
          <w:i/>
        </w:rPr>
      </w:pPr>
      <w:r>
        <w:rPr>
          <w:i/>
          <w:iCs/>
          <w:lang w:val="fr-FR"/>
        </w:rPr>
        <w:t>Paragraphe 8</w:t>
      </w:r>
      <w:r w:rsidRPr="00E732FB">
        <w:rPr>
          <w:i/>
          <w:iCs/>
          <w:lang w:val="fr-FR"/>
        </w:rPr>
        <w:t>.</w:t>
      </w:r>
      <w:r>
        <w:rPr>
          <w:i/>
          <w:iCs/>
          <w:lang w:val="fr-FR"/>
        </w:rPr>
        <w:t>1</w:t>
      </w:r>
      <w:r>
        <w:rPr>
          <w:lang w:val="fr-FR"/>
        </w:rPr>
        <w:t>, lire :</w:t>
      </w:r>
    </w:p>
    <w:p w14:paraId="290B135A" w14:textId="6D410A97" w:rsidR="00E732FB" w:rsidRPr="00BB4BBC" w:rsidRDefault="00E732FB" w:rsidP="00E732FB">
      <w:pPr>
        <w:spacing w:after="120"/>
        <w:ind w:left="2268" w:right="1134" w:hanging="1134"/>
        <w:jc w:val="both"/>
        <w:rPr>
          <w:rFonts w:eastAsia="MS Mincho"/>
        </w:rPr>
      </w:pPr>
      <w:r>
        <w:rPr>
          <w:lang w:val="fr-FR"/>
        </w:rPr>
        <w:t>« 8</w:t>
      </w:r>
      <w:r w:rsidRPr="00E732FB">
        <w:rPr>
          <w:lang w:val="fr-FR"/>
        </w:rPr>
        <w:t>.</w:t>
      </w:r>
      <w:r>
        <w:rPr>
          <w:lang w:val="fr-FR"/>
        </w:rPr>
        <w:t>1</w:t>
      </w:r>
      <w:r>
        <w:rPr>
          <w:lang w:val="fr-FR"/>
        </w:rPr>
        <w:tab/>
        <w:t>Tout véhicule portant une marque d</w:t>
      </w:r>
      <w:r>
        <w:rPr>
          <w:lang w:val="fr-FR"/>
        </w:rPr>
        <w:t>’</w:t>
      </w:r>
      <w:r>
        <w:rPr>
          <w:lang w:val="fr-FR"/>
        </w:rPr>
        <w:t>homologation en application du présent Règlement doit être conforme au type de véhicule homologué quant aux éléments influant sur les émissions de gaz et de particules polluants par le moteur, les émissions de gaz de carter et les émissions par évaporation</w:t>
      </w:r>
      <w:r w:rsidRPr="00E732FB">
        <w:rPr>
          <w:lang w:val="fr-FR"/>
        </w:rPr>
        <w:t>.</w:t>
      </w:r>
      <w:r>
        <w:rPr>
          <w:lang w:val="fr-FR"/>
        </w:rPr>
        <w:t xml:space="preserve"> </w:t>
      </w:r>
      <w:r>
        <w:rPr>
          <w:b/>
          <w:bCs/>
          <w:lang w:val="fr-FR"/>
        </w:rPr>
        <w:t>Les véhicules à usage spécial ne sont pas soumis aux dispositions du présent paragraphe si le constructeur démontre que le véhicule ne peut pas satisfaire aux dispositions en matière d</w:t>
      </w:r>
      <w:r>
        <w:rPr>
          <w:b/>
          <w:bCs/>
          <w:lang w:val="fr-FR"/>
        </w:rPr>
        <w:t>’</w:t>
      </w:r>
      <w:r>
        <w:rPr>
          <w:b/>
          <w:bCs/>
          <w:lang w:val="fr-FR"/>
        </w:rPr>
        <w:t>émissions en raison de son usage spécial</w:t>
      </w:r>
      <w:r w:rsidRPr="00E732FB">
        <w:rPr>
          <w:b/>
          <w:bCs/>
          <w:lang w:val="fr-FR"/>
        </w:rPr>
        <w:t>.</w:t>
      </w:r>
      <w:r>
        <w:rPr>
          <w:lang w:val="fr-FR"/>
        </w:rPr>
        <w:t xml:space="preserve"> </w:t>
      </w:r>
      <w:r>
        <w:rPr>
          <w:b/>
          <w:bCs/>
          <w:lang w:val="fr-FR"/>
        </w:rPr>
        <w:t>Les exemptions accordées doivent être décrites sur le certificat d</w:t>
      </w:r>
      <w:r>
        <w:rPr>
          <w:b/>
          <w:bCs/>
          <w:lang w:val="fr-FR"/>
        </w:rPr>
        <w:t>’</w:t>
      </w:r>
      <w:r>
        <w:rPr>
          <w:b/>
          <w:bCs/>
          <w:lang w:val="fr-FR"/>
        </w:rPr>
        <w:t>homologation du véhicule</w:t>
      </w:r>
      <w:r w:rsidRPr="00E732FB">
        <w:rPr>
          <w:b/>
          <w:bCs/>
          <w:lang w:val="fr-FR"/>
        </w:rPr>
        <w:t>.</w:t>
      </w:r>
      <w:r>
        <w:rPr>
          <w:lang w:val="fr-FR"/>
        </w:rPr>
        <w:t xml:space="preserve"> Les procédures de contrôle de la conformité de la production doivent être conformes à celles de l</w:t>
      </w:r>
      <w:r>
        <w:rPr>
          <w:lang w:val="fr-FR"/>
        </w:rPr>
        <w:t>’</w:t>
      </w:r>
      <w:r>
        <w:rPr>
          <w:lang w:val="fr-FR"/>
        </w:rPr>
        <w:t>appendice 2 de l</w:t>
      </w:r>
      <w:r>
        <w:rPr>
          <w:lang w:val="fr-FR"/>
        </w:rPr>
        <w:t>’</w:t>
      </w:r>
      <w:r>
        <w:rPr>
          <w:lang w:val="fr-FR"/>
        </w:rPr>
        <w:t>Accord de 1958 (E/ECE/324-E/ECE/TRANS/505/Rev</w:t>
      </w:r>
      <w:r w:rsidRPr="00E732FB">
        <w:rPr>
          <w:lang w:val="fr-FR"/>
        </w:rPr>
        <w:t>.</w:t>
      </w:r>
      <w:r>
        <w:rPr>
          <w:lang w:val="fr-FR"/>
        </w:rPr>
        <w:t>2), les prescriptions à appliquer étant énoncées dans les paragraphes ci-après</w:t>
      </w:r>
      <w:r w:rsidRPr="00E732FB">
        <w:rPr>
          <w:lang w:val="fr-FR"/>
        </w:rPr>
        <w:t>.</w:t>
      </w:r>
      <w:r>
        <w:rPr>
          <w:lang w:val="fr-FR"/>
        </w:rPr>
        <w:t> </w:t>
      </w:r>
      <w:r>
        <w:rPr>
          <w:lang w:val="fr-FR"/>
        </w:rPr>
        <w:t>»</w:t>
      </w:r>
      <w:r w:rsidRPr="00E732FB">
        <w:rPr>
          <w:lang w:val="fr-FR"/>
        </w:rPr>
        <w:t>.</w:t>
      </w:r>
    </w:p>
    <w:p w14:paraId="28F227E2" w14:textId="3465B14E" w:rsidR="00E732FB" w:rsidRPr="00BB4BBC" w:rsidRDefault="00E732FB" w:rsidP="00E732FB">
      <w:pPr>
        <w:keepNext/>
        <w:spacing w:after="120"/>
        <w:ind w:left="1134" w:right="1134"/>
        <w:jc w:val="both"/>
        <w:rPr>
          <w:rFonts w:eastAsia="MS Mincho"/>
          <w:i/>
        </w:rPr>
      </w:pPr>
      <w:r>
        <w:rPr>
          <w:i/>
          <w:iCs/>
          <w:lang w:val="fr-FR"/>
        </w:rPr>
        <w:lastRenderedPageBreak/>
        <w:t>Dans la série 07 d</w:t>
      </w:r>
      <w:r>
        <w:rPr>
          <w:i/>
          <w:iCs/>
          <w:lang w:val="fr-FR"/>
        </w:rPr>
        <w:t>’</w:t>
      </w:r>
      <w:r>
        <w:rPr>
          <w:i/>
          <w:iCs/>
          <w:lang w:val="fr-FR"/>
        </w:rPr>
        <w:t>amendements</w:t>
      </w:r>
    </w:p>
    <w:p w14:paraId="6CF0C7D0" w14:textId="038D25DF" w:rsidR="00E732FB" w:rsidRPr="00BB4BBC" w:rsidRDefault="00E732FB" w:rsidP="00E732FB">
      <w:pPr>
        <w:keepNext/>
        <w:spacing w:after="120"/>
        <w:ind w:left="1134" w:right="1134"/>
        <w:jc w:val="both"/>
        <w:rPr>
          <w:rFonts w:eastAsia="MS Mincho"/>
          <w:i/>
        </w:rPr>
      </w:pPr>
      <w:r>
        <w:rPr>
          <w:i/>
          <w:iCs/>
          <w:lang w:val="fr-FR"/>
        </w:rPr>
        <w:t>Paragraphe 8</w:t>
      </w:r>
      <w:r w:rsidRPr="00E732FB">
        <w:rPr>
          <w:i/>
          <w:iCs/>
          <w:lang w:val="fr-FR"/>
        </w:rPr>
        <w:t>.</w:t>
      </w:r>
      <w:r>
        <w:rPr>
          <w:i/>
          <w:iCs/>
          <w:lang w:val="fr-FR"/>
        </w:rPr>
        <w:t>1</w:t>
      </w:r>
      <w:r>
        <w:rPr>
          <w:lang w:val="fr-FR"/>
        </w:rPr>
        <w:t>, lire :</w:t>
      </w:r>
    </w:p>
    <w:p w14:paraId="6C2E7809" w14:textId="016C1D08" w:rsidR="00E732FB" w:rsidRPr="00BB4BBC" w:rsidRDefault="00E732FB" w:rsidP="00E732FB">
      <w:pPr>
        <w:spacing w:after="120"/>
        <w:ind w:left="2268" w:right="1134" w:hanging="1134"/>
        <w:jc w:val="both"/>
      </w:pPr>
      <w:r>
        <w:rPr>
          <w:lang w:val="fr-FR"/>
        </w:rPr>
        <w:t>« 8</w:t>
      </w:r>
      <w:r w:rsidRPr="00E732FB">
        <w:rPr>
          <w:lang w:val="fr-FR"/>
        </w:rPr>
        <w:t>.</w:t>
      </w:r>
      <w:r>
        <w:rPr>
          <w:lang w:val="fr-FR"/>
        </w:rPr>
        <w:t>1</w:t>
      </w:r>
      <w:r>
        <w:rPr>
          <w:lang w:val="fr-FR"/>
        </w:rPr>
        <w:tab/>
        <w:t>Tout véhicule portant une marque d</w:t>
      </w:r>
      <w:r>
        <w:rPr>
          <w:lang w:val="fr-FR"/>
        </w:rPr>
        <w:t>’</w:t>
      </w:r>
      <w:r>
        <w:rPr>
          <w:lang w:val="fr-FR"/>
        </w:rPr>
        <w:t>homologation en application du présent Règlement doit être conforme au type de véhicule homologué quant aux éléments influant sur les émissions de gaz et de particules polluants par le moteur, les émissions de gaz de carter et les émissions par évaporation</w:t>
      </w:r>
      <w:r w:rsidRPr="00E732FB">
        <w:rPr>
          <w:lang w:val="fr-FR"/>
        </w:rPr>
        <w:t>.</w:t>
      </w:r>
      <w:r>
        <w:rPr>
          <w:lang w:val="fr-FR"/>
        </w:rPr>
        <w:t xml:space="preserve"> </w:t>
      </w:r>
      <w:r>
        <w:rPr>
          <w:b/>
          <w:bCs/>
          <w:lang w:val="fr-FR"/>
        </w:rPr>
        <w:t>Les véhicules à usage spécial ne sont pas soumis aux dispositions du présent paragraphe si le constructeur démontre que le véhicule ne peut pas satisfaire aux dispositions en matière d</w:t>
      </w:r>
      <w:r>
        <w:rPr>
          <w:b/>
          <w:bCs/>
          <w:lang w:val="fr-FR"/>
        </w:rPr>
        <w:t>’</w:t>
      </w:r>
      <w:r>
        <w:rPr>
          <w:b/>
          <w:bCs/>
          <w:lang w:val="fr-FR"/>
        </w:rPr>
        <w:t>émissions en raison de son usage spécial</w:t>
      </w:r>
      <w:r w:rsidRPr="00E732FB">
        <w:rPr>
          <w:b/>
          <w:bCs/>
          <w:lang w:val="fr-FR"/>
        </w:rPr>
        <w:t>.</w:t>
      </w:r>
      <w:r>
        <w:rPr>
          <w:lang w:val="fr-FR"/>
        </w:rPr>
        <w:t xml:space="preserve"> </w:t>
      </w:r>
      <w:r>
        <w:rPr>
          <w:b/>
          <w:bCs/>
          <w:lang w:val="fr-FR"/>
        </w:rPr>
        <w:t>Les exemptions accordées doivent être décrites sur le certificat d</w:t>
      </w:r>
      <w:r>
        <w:rPr>
          <w:b/>
          <w:bCs/>
          <w:lang w:val="fr-FR"/>
        </w:rPr>
        <w:t>’</w:t>
      </w:r>
      <w:r>
        <w:rPr>
          <w:b/>
          <w:bCs/>
          <w:lang w:val="fr-FR"/>
        </w:rPr>
        <w:t>homologation du véhicule</w:t>
      </w:r>
      <w:r w:rsidRPr="00E732FB">
        <w:rPr>
          <w:b/>
          <w:bCs/>
          <w:lang w:val="fr-FR"/>
        </w:rPr>
        <w:t>.</w:t>
      </w:r>
      <w:r>
        <w:rPr>
          <w:lang w:val="fr-FR"/>
        </w:rPr>
        <w:t xml:space="preserve"> Les procédures de contrôle de la conformité de la production doivent être conformes à celles de l</w:t>
      </w:r>
      <w:r>
        <w:rPr>
          <w:lang w:val="fr-FR"/>
        </w:rPr>
        <w:t>’</w:t>
      </w:r>
      <w:r>
        <w:rPr>
          <w:lang w:val="fr-FR"/>
        </w:rPr>
        <w:t>appendice 2 de l</w:t>
      </w:r>
      <w:r>
        <w:rPr>
          <w:lang w:val="fr-FR"/>
        </w:rPr>
        <w:t>’</w:t>
      </w:r>
      <w:r>
        <w:rPr>
          <w:lang w:val="fr-FR"/>
        </w:rPr>
        <w:t>Accord de 1958 (E/ECE/324-E/ECE/TRANS/505/Rev</w:t>
      </w:r>
      <w:r w:rsidRPr="00E732FB">
        <w:rPr>
          <w:lang w:val="fr-FR"/>
        </w:rPr>
        <w:t>.</w:t>
      </w:r>
      <w:r>
        <w:rPr>
          <w:lang w:val="fr-FR"/>
        </w:rPr>
        <w:t>2), les prescriptions à appliquer étant énoncées dans les paragraphes ci-après</w:t>
      </w:r>
      <w:r w:rsidRPr="00E732FB">
        <w:rPr>
          <w:lang w:val="fr-FR"/>
        </w:rPr>
        <w:t>.</w:t>
      </w:r>
      <w:r>
        <w:rPr>
          <w:lang w:val="fr-FR"/>
        </w:rPr>
        <w:t xml:space="preserve"> »</w:t>
      </w:r>
      <w:r w:rsidRPr="00E732FB">
        <w:rPr>
          <w:lang w:val="fr-FR"/>
        </w:rPr>
        <w:t>.</w:t>
      </w:r>
    </w:p>
    <w:p w14:paraId="4DBFECAD" w14:textId="11A91380" w:rsidR="00E732FB" w:rsidRPr="00BB4BBC" w:rsidRDefault="00E732FB" w:rsidP="00E732FB">
      <w:pPr>
        <w:pStyle w:val="HChG"/>
        <w:rPr>
          <w:rFonts w:eastAsia="MS Mincho"/>
        </w:rPr>
      </w:pPr>
      <w:r>
        <w:rPr>
          <w:lang w:val="fr-FR"/>
        </w:rPr>
        <w:tab/>
        <w:t>II</w:t>
      </w:r>
      <w:r w:rsidRPr="00E732FB">
        <w:rPr>
          <w:lang w:val="fr-FR"/>
        </w:rPr>
        <w:t>.</w:t>
      </w:r>
      <w:r>
        <w:rPr>
          <w:lang w:val="fr-FR"/>
        </w:rPr>
        <w:tab/>
        <w:t>Justification</w:t>
      </w:r>
    </w:p>
    <w:p w14:paraId="56E788FB" w14:textId="0FCCB34C" w:rsidR="00E732FB" w:rsidRPr="00BB4BBC" w:rsidRDefault="00E732FB" w:rsidP="00E732FB">
      <w:pPr>
        <w:spacing w:after="120"/>
        <w:ind w:left="1134" w:right="1134"/>
        <w:jc w:val="both"/>
        <w:rPr>
          <w:rFonts w:eastAsia="MS Mincho"/>
        </w:rPr>
      </w:pPr>
      <w:r>
        <w:rPr>
          <w:lang w:val="fr-FR"/>
        </w:rPr>
        <w:t>1</w:t>
      </w:r>
      <w:r w:rsidRPr="00E732FB">
        <w:rPr>
          <w:lang w:val="fr-FR"/>
        </w:rPr>
        <w:t>.</w:t>
      </w:r>
      <w:r>
        <w:rPr>
          <w:lang w:val="fr-FR"/>
        </w:rPr>
        <w:tab/>
        <w:t>La présente proposition a pour objectif d</w:t>
      </w:r>
      <w:r>
        <w:rPr>
          <w:lang w:val="fr-FR"/>
        </w:rPr>
        <w:t>’</w:t>
      </w:r>
      <w:r>
        <w:rPr>
          <w:lang w:val="fr-FR"/>
        </w:rPr>
        <w:t>intégrer les exemptions accordées aux véhicules à usage spécial dans la réglementation sur les émissions</w:t>
      </w:r>
      <w:r w:rsidRPr="00E732FB">
        <w:rPr>
          <w:lang w:val="fr-FR"/>
        </w:rPr>
        <w:t>.</w:t>
      </w:r>
    </w:p>
    <w:p w14:paraId="0B7EE0C0" w14:textId="1D51BA20" w:rsidR="00E732FB" w:rsidRPr="00BB4BBC" w:rsidRDefault="00E732FB" w:rsidP="00E732FB">
      <w:pPr>
        <w:pStyle w:val="SingleTxtG"/>
        <w:rPr>
          <w:rFonts w:eastAsia="MS Mincho"/>
          <w:color w:val="000000" w:themeColor="text1"/>
        </w:rPr>
      </w:pPr>
      <w:r>
        <w:rPr>
          <w:lang w:val="fr-FR"/>
        </w:rPr>
        <w:tab/>
      </w:r>
      <w:r>
        <w:rPr>
          <w:lang w:val="fr-FR"/>
        </w:rPr>
        <w:tab/>
      </w:r>
      <w:r>
        <w:rPr>
          <w:lang w:val="fr-FR"/>
        </w:rPr>
        <w:t>Si une extension n</w:t>
      </w:r>
      <w:r>
        <w:rPr>
          <w:lang w:val="fr-FR"/>
        </w:rPr>
        <w:t>’</w:t>
      </w:r>
      <w:r>
        <w:rPr>
          <w:lang w:val="fr-FR"/>
        </w:rPr>
        <w:t>est pas possible en raison d</w:t>
      </w:r>
      <w:r>
        <w:rPr>
          <w:lang w:val="fr-FR"/>
        </w:rPr>
        <w:t>’</w:t>
      </w:r>
      <w:r>
        <w:rPr>
          <w:lang w:val="fr-FR"/>
        </w:rPr>
        <w:t>une homologation de type manquante déjà existante, l</w:t>
      </w:r>
      <w:r>
        <w:rPr>
          <w:lang w:val="fr-FR"/>
        </w:rPr>
        <w:t>’</w:t>
      </w:r>
      <w:r>
        <w:rPr>
          <w:lang w:val="fr-FR"/>
        </w:rPr>
        <w:t>octroi d</w:t>
      </w:r>
      <w:r>
        <w:rPr>
          <w:lang w:val="fr-FR"/>
        </w:rPr>
        <w:t>’</w:t>
      </w:r>
      <w:r>
        <w:rPr>
          <w:lang w:val="fr-FR"/>
        </w:rPr>
        <w:t>une homologation de type d</w:t>
      </w:r>
      <w:r>
        <w:rPr>
          <w:lang w:val="fr-FR"/>
        </w:rPr>
        <w:t>’</w:t>
      </w:r>
      <w:r>
        <w:rPr>
          <w:lang w:val="fr-FR"/>
        </w:rPr>
        <w:t>un véhicule à usage spécial doit être possible</w:t>
      </w:r>
      <w:r w:rsidRPr="00E732FB">
        <w:rPr>
          <w:lang w:val="fr-FR"/>
        </w:rPr>
        <w:t>.</w:t>
      </w:r>
    </w:p>
    <w:p w14:paraId="1D80D7E1" w14:textId="2C527224" w:rsidR="00E732FB" w:rsidRPr="00BB4BBC" w:rsidRDefault="00E732FB" w:rsidP="00E732FB">
      <w:pPr>
        <w:pStyle w:val="SingleTxtG"/>
        <w:rPr>
          <w:rFonts w:eastAsia="MS Mincho"/>
        </w:rPr>
      </w:pPr>
      <w:r>
        <w:rPr>
          <w:lang w:val="fr-FR"/>
        </w:rPr>
        <w:tab/>
      </w:r>
      <w:r>
        <w:rPr>
          <w:lang w:val="fr-FR"/>
        </w:rPr>
        <w:tab/>
      </w:r>
      <w:r>
        <w:rPr>
          <w:lang w:val="fr-FR"/>
        </w:rPr>
        <w:t>Toutefois, les véhicules à usage spécial doivent se conformer dans la plus large mesure possible à toute la réglementation relative aux émissions, même lorsque celles-ci ne sont pas limitées en raison de l</w:t>
      </w:r>
      <w:r>
        <w:rPr>
          <w:lang w:val="fr-FR"/>
        </w:rPr>
        <w:t>’</w:t>
      </w:r>
      <w:r>
        <w:rPr>
          <w:lang w:val="fr-FR"/>
        </w:rPr>
        <w:t>usage spécial desdits véhicules</w:t>
      </w:r>
      <w:r w:rsidRPr="00E732FB">
        <w:rPr>
          <w:lang w:val="fr-FR"/>
        </w:rPr>
        <w:t>.</w:t>
      </w:r>
      <w:r>
        <w:rPr>
          <w:lang w:val="fr-FR"/>
        </w:rPr>
        <w:t xml:space="preserve"> </w:t>
      </w:r>
    </w:p>
    <w:p w14:paraId="72E69A11" w14:textId="5F3D6D4A" w:rsidR="00E732FB" w:rsidRPr="00BB4BBC" w:rsidRDefault="00E732FB" w:rsidP="00E732FB">
      <w:pPr>
        <w:pStyle w:val="SingleTxtG"/>
        <w:rPr>
          <w:rFonts w:eastAsia="MS Mincho"/>
        </w:rPr>
      </w:pPr>
      <w:r>
        <w:rPr>
          <w:lang w:val="fr-FR"/>
        </w:rPr>
        <w:tab/>
      </w:r>
      <w:r>
        <w:rPr>
          <w:lang w:val="fr-FR"/>
        </w:rPr>
        <w:tab/>
      </w:r>
      <w:r>
        <w:rPr>
          <w:lang w:val="fr-FR"/>
        </w:rPr>
        <w:t>La définition a été retirée du règlement (UE) 2018/858, et l</w:t>
      </w:r>
      <w:r>
        <w:rPr>
          <w:lang w:val="fr-FR"/>
        </w:rPr>
        <w:t>’</w:t>
      </w:r>
      <w:r>
        <w:rPr>
          <w:lang w:val="fr-FR"/>
        </w:rPr>
        <w:t>expression « dispositions liées aux émissions » a été modifiée pour traiter uniquement les dispositions liées aux émissions des véhicules à usage spécial</w:t>
      </w:r>
      <w:r w:rsidRPr="00E732FB">
        <w:rPr>
          <w:lang w:val="fr-FR"/>
        </w:rPr>
        <w:t>.</w:t>
      </w:r>
    </w:p>
    <w:p w14:paraId="13B17B62" w14:textId="793615F0" w:rsidR="00E732FB" w:rsidRPr="00BB4BBC" w:rsidRDefault="00E732FB" w:rsidP="00E732FB">
      <w:pPr>
        <w:pStyle w:val="SingleTxtG"/>
        <w:rPr>
          <w:rFonts w:eastAsia="MS Mincho"/>
        </w:rPr>
      </w:pPr>
      <w:r>
        <w:rPr>
          <w:lang w:val="fr-FR"/>
        </w:rPr>
        <w:t>2</w:t>
      </w:r>
      <w:r w:rsidRPr="00E732FB">
        <w:rPr>
          <w:lang w:val="fr-FR"/>
        </w:rPr>
        <w:t>.</w:t>
      </w:r>
      <w:r>
        <w:rPr>
          <w:lang w:val="fr-FR"/>
        </w:rPr>
        <w:tab/>
        <w:t>La définition des véhicules conçus et construits pour être utilisés par les services de secours, les forces armées, la protection civile, les pompiers et les forces de maintien de l</w:t>
      </w:r>
      <w:r>
        <w:rPr>
          <w:lang w:val="fr-FR"/>
        </w:rPr>
        <w:t>’</w:t>
      </w:r>
      <w:r>
        <w:rPr>
          <w:lang w:val="fr-FR"/>
        </w:rPr>
        <w:t>ordre n</w:t>
      </w:r>
      <w:r>
        <w:rPr>
          <w:lang w:val="fr-FR"/>
        </w:rPr>
        <w:t>’</w:t>
      </w:r>
      <w:r>
        <w:rPr>
          <w:lang w:val="fr-FR"/>
        </w:rPr>
        <w:t>est pas encore intégrée dans la Résolution n</w:t>
      </w:r>
      <w:r>
        <w:rPr>
          <w:vertAlign w:val="superscript"/>
          <w:lang w:val="fr-FR"/>
        </w:rPr>
        <w:t>o</w:t>
      </w:r>
      <w:r>
        <w:rPr>
          <w:lang w:val="fr-FR"/>
        </w:rPr>
        <w:t xml:space="preserve"> 5 (R</w:t>
      </w:r>
      <w:r w:rsidRPr="00E732FB">
        <w:rPr>
          <w:lang w:val="fr-FR"/>
        </w:rPr>
        <w:t>.</w:t>
      </w:r>
      <w:r>
        <w:rPr>
          <w:lang w:val="fr-FR"/>
        </w:rPr>
        <w:t>E</w:t>
      </w:r>
      <w:r w:rsidRPr="00E732FB">
        <w:rPr>
          <w:lang w:val="fr-FR"/>
        </w:rPr>
        <w:t>.</w:t>
      </w:r>
      <w:r>
        <w:rPr>
          <w:lang w:val="fr-FR"/>
        </w:rPr>
        <w:t>5)</w:t>
      </w:r>
      <w:r w:rsidRPr="00E732FB">
        <w:rPr>
          <w:lang w:val="fr-FR"/>
        </w:rPr>
        <w:t>.</w:t>
      </w:r>
    </w:p>
    <w:p w14:paraId="1AD72629" w14:textId="3C8E2D80" w:rsidR="00E732FB" w:rsidRPr="00BB4BBC" w:rsidRDefault="00E732FB" w:rsidP="00E732FB">
      <w:pPr>
        <w:pStyle w:val="SingleTxtG"/>
        <w:rPr>
          <w:rFonts w:eastAsia="MS Mincho"/>
        </w:rPr>
      </w:pPr>
      <w:r>
        <w:rPr>
          <w:lang w:val="fr-FR"/>
        </w:rPr>
        <w:tab/>
      </w:r>
      <w:r>
        <w:rPr>
          <w:lang w:val="fr-FR"/>
        </w:rPr>
        <w:tab/>
      </w:r>
      <w:r>
        <w:rPr>
          <w:lang w:val="fr-FR"/>
        </w:rPr>
        <w:t>Si des vies sont en jeu, une ambulance doit aussi pouvoir fonctionner, même si son réservoir de réactif est vide</w:t>
      </w:r>
      <w:r w:rsidRPr="00E732FB">
        <w:rPr>
          <w:lang w:val="fr-FR"/>
        </w:rPr>
        <w:t>.</w:t>
      </w:r>
      <w:r>
        <w:rPr>
          <w:lang w:val="fr-FR"/>
        </w:rPr>
        <w:t xml:space="preserve"> </w:t>
      </w:r>
    </w:p>
    <w:p w14:paraId="4ADFB847" w14:textId="034B81F0" w:rsidR="00E732FB" w:rsidRPr="00BB4BBC" w:rsidRDefault="00E732FB" w:rsidP="00E732FB">
      <w:pPr>
        <w:pStyle w:val="SingleTxtG"/>
        <w:rPr>
          <w:rFonts w:eastAsia="MS Mincho"/>
        </w:rPr>
      </w:pPr>
      <w:r>
        <w:rPr>
          <w:lang w:val="fr-FR"/>
        </w:rPr>
        <w:tab/>
      </w:r>
      <w:r>
        <w:rPr>
          <w:lang w:val="fr-FR"/>
        </w:rPr>
        <w:tab/>
      </w:r>
      <w:r>
        <w:rPr>
          <w:lang w:val="fr-FR"/>
        </w:rPr>
        <w:t>L</w:t>
      </w:r>
      <w:r>
        <w:rPr>
          <w:lang w:val="fr-FR"/>
        </w:rPr>
        <w:t>’</w:t>
      </w:r>
      <w:r>
        <w:rPr>
          <w:lang w:val="fr-FR"/>
        </w:rPr>
        <w:t>introduction dans la définition de l</w:t>
      </w:r>
      <w:r>
        <w:rPr>
          <w:lang w:val="fr-FR"/>
        </w:rPr>
        <w:t>’</w:t>
      </w:r>
      <w:r>
        <w:rPr>
          <w:lang w:val="fr-FR"/>
        </w:rPr>
        <w:t>expression « véhicules des pouvoirs publics et véhicules à usage spécial » dans la R</w:t>
      </w:r>
      <w:r w:rsidRPr="00E732FB">
        <w:rPr>
          <w:lang w:val="fr-FR"/>
        </w:rPr>
        <w:t>.</w:t>
      </w:r>
      <w:r>
        <w:rPr>
          <w:lang w:val="fr-FR"/>
        </w:rPr>
        <w:t>E</w:t>
      </w:r>
      <w:r w:rsidRPr="00E732FB">
        <w:rPr>
          <w:lang w:val="fr-FR"/>
        </w:rPr>
        <w:t>.</w:t>
      </w:r>
      <w:r>
        <w:rPr>
          <w:lang w:val="fr-FR"/>
        </w:rPr>
        <w:t>3 permet de simplifier le paragraphe</w:t>
      </w:r>
      <w:r w:rsidRPr="00E732FB">
        <w:rPr>
          <w:lang w:val="fr-FR"/>
        </w:rPr>
        <w:t>.</w:t>
      </w:r>
    </w:p>
    <w:p w14:paraId="03AD5D47" w14:textId="1BCA285F" w:rsidR="00E732FB" w:rsidRPr="00BB4BBC" w:rsidRDefault="00E732FB" w:rsidP="00E732FB">
      <w:pPr>
        <w:pStyle w:val="SingleTxtG"/>
        <w:rPr>
          <w:rFonts w:eastAsia="MS Mincho"/>
        </w:rPr>
      </w:pPr>
      <w:r>
        <w:rPr>
          <w:lang w:val="fr-FR"/>
        </w:rPr>
        <w:t>3</w:t>
      </w:r>
      <w:r w:rsidRPr="00E732FB">
        <w:rPr>
          <w:lang w:val="fr-FR"/>
        </w:rPr>
        <w:t>.</w:t>
      </w:r>
      <w:r>
        <w:rPr>
          <w:lang w:val="fr-FR"/>
        </w:rPr>
        <w:tab/>
        <w:t>En raison de leur usage spécial, les véhicules à usage spécial ne peuvent pas se conformer aux dispositions de la COP ni à celles relatives à la conformité en service</w:t>
      </w:r>
      <w:r w:rsidRPr="00E732FB">
        <w:rPr>
          <w:lang w:val="fr-FR"/>
        </w:rPr>
        <w:t>.</w:t>
      </w:r>
      <w:r>
        <w:rPr>
          <w:lang w:val="fr-FR"/>
        </w:rPr>
        <w:t xml:space="preserve"> Par exemple, un véhicule blindé doté d</w:t>
      </w:r>
      <w:r>
        <w:rPr>
          <w:lang w:val="fr-FR"/>
        </w:rPr>
        <w:t>’</w:t>
      </w:r>
      <w:r>
        <w:rPr>
          <w:lang w:val="fr-FR"/>
        </w:rPr>
        <w:t>un blindage pare-balles ne sera pas en mesure de se conformer aux dispositions relatives aux émissions de gaz et de particules polluants en raison de sa masse de référence élevée</w:t>
      </w:r>
      <w:r w:rsidRPr="00E732FB">
        <w:rPr>
          <w:lang w:val="fr-FR"/>
        </w:rPr>
        <w:t>.</w:t>
      </w:r>
      <w:r>
        <w:rPr>
          <w:lang w:val="fr-FR"/>
        </w:rPr>
        <w:t xml:space="preserve"> Toutefois, l</w:t>
      </w:r>
      <w:r>
        <w:rPr>
          <w:lang w:val="fr-FR"/>
        </w:rPr>
        <w:t>’</w:t>
      </w:r>
      <w:r>
        <w:rPr>
          <w:lang w:val="fr-FR"/>
        </w:rPr>
        <w:t>exemption d</w:t>
      </w:r>
      <w:r>
        <w:rPr>
          <w:lang w:val="fr-FR"/>
        </w:rPr>
        <w:t>’</w:t>
      </w:r>
      <w:r>
        <w:rPr>
          <w:lang w:val="fr-FR"/>
        </w:rPr>
        <w:t>émissions dans la plus grande mesure possible s</w:t>
      </w:r>
      <w:r>
        <w:rPr>
          <w:lang w:val="fr-FR"/>
        </w:rPr>
        <w:t>’</w:t>
      </w:r>
      <w:r>
        <w:rPr>
          <w:lang w:val="fr-FR"/>
        </w:rPr>
        <w:t>applique</w:t>
      </w:r>
      <w:r w:rsidRPr="00E732FB">
        <w:rPr>
          <w:lang w:val="fr-FR"/>
        </w:rPr>
        <w:t>.</w:t>
      </w:r>
    </w:p>
    <w:p w14:paraId="5573C871" w14:textId="52D16CE5" w:rsidR="00F9573C" w:rsidRDefault="00E732FB" w:rsidP="00E732FB">
      <w:pPr>
        <w:pStyle w:val="SingleTxtG"/>
        <w:rPr>
          <w:lang w:val="fr-FR"/>
        </w:rPr>
      </w:pPr>
      <w:r>
        <w:rPr>
          <w:lang w:val="fr-FR"/>
        </w:rPr>
        <w:t>4</w:t>
      </w:r>
      <w:r w:rsidRPr="00E732FB">
        <w:rPr>
          <w:lang w:val="fr-FR"/>
        </w:rPr>
        <w:t>.</w:t>
      </w:r>
      <w:r>
        <w:rPr>
          <w:lang w:val="fr-FR"/>
        </w:rPr>
        <w:tab/>
        <w:t>Les véhicules à usage spécial ne sont pratiquement pas disponibles sur le marché</w:t>
      </w:r>
      <w:r w:rsidRPr="00E732FB">
        <w:rPr>
          <w:lang w:val="fr-FR"/>
        </w:rPr>
        <w:t>.</w:t>
      </w:r>
      <w:r>
        <w:rPr>
          <w:lang w:val="fr-FR"/>
        </w:rPr>
        <w:t xml:space="preserve"> Par conséquent, le contrôle de la conformité en service des véhicules à usage spécial n</w:t>
      </w:r>
      <w:r>
        <w:rPr>
          <w:lang w:val="fr-FR"/>
        </w:rPr>
        <w:t>’</w:t>
      </w:r>
      <w:r>
        <w:rPr>
          <w:lang w:val="fr-FR"/>
        </w:rPr>
        <w:t>a pas de sens</w:t>
      </w:r>
      <w:r w:rsidRPr="00E732FB">
        <w:rPr>
          <w:lang w:val="fr-FR"/>
        </w:rPr>
        <w:t>.</w:t>
      </w:r>
    </w:p>
    <w:p w14:paraId="40E81CFD" w14:textId="4448E247" w:rsidR="00E732FB" w:rsidRPr="00E732FB" w:rsidRDefault="00E732FB" w:rsidP="00E732FB">
      <w:pPr>
        <w:pStyle w:val="SingleTxtG"/>
        <w:spacing w:before="240" w:after="0"/>
        <w:jc w:val="center"/>
        <w:rPr>
          <w:u w:val="single"/>
        </w:rPr>
      </w:pPr>
      <w:r>
        <w:tab/>
      </w:r>
      <w:r>
        <w:rPr>
          <w:u w:val="single"/>
        </w:rPr>
        <w:tab/>
      </w:r>
      <w:r>
        <w:rPr>
          <w:u w:val="single"/>
        </w:rPr>
        <w:tab/>
      </w:r>
      <w:r>
        <w:rPr>
          <w:u w:val="single"/>
        </w:rPr>
        <w:tab/>
      </w:r>
    </w:p>
    <w:sectPr w:rsidR="00E732FB" w:rsidRPr="00E732FB" w:rsidSect="00E732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5A67" w14:textId="77777777" w:rsidR="005C4B74" w:rsidRDefault="005C4B74" w:rsidP="00F95C08">
      <w:pPr>
        <w:spacing w:line="240" w:lineRule="auto"/>
      </w:pPr>
    </w:p>
  </w:endnote>
  <w:endnote w:type="continuationSeparator" w:id="0">
    <w:p w14:paraId="4D1ED81F" w14:textId="77777777" w:rsidR="005C4B74" w:rsidRPr="00AC3823" w:rsidRDefault="005C4B74" w:rsidP="00AC3823">
      <w:pPr>
        <w:pStyle w:val="Pieddepage"/>
      </w:pPr>
    </w:p>
  </w:endnote>
  <w:endnote w:type="continuationNotice" w:id="1">
    <w:p w14:paraId="027A0331" w14:textId="77777777" w:rsidR="005C4B74" w:rsidRDefault="005C4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87EA" w14:textId="5D824207" w:rsidR="00E732FB" w:rsidRPr="00E732FB" w:rsidRDefault="00E732FB" w:rsidP="00E732FB">
    <w:pPr>
      <w:pStyle w:val="Pieddepage"/>
      <w:tabs>
        <w:tab w:val="right" w:pos="9638"/>
      </w:tabs>
    </w:pPr>
    <w:r w:rsidRPr="00E732FB">
      <w:rPr>
        <w:b/>
        <w:sz w:val="18"/>
      </w:rPr>
      <w:fldChar w:fldCharType="begin"/>
    </w:r>
    <w:r w:rsidRPr="00E732FB">
      <w:rPr>
        <w:b/>
        <w:sz w:val="18"/>
      </w:rPr>
      <w:instrText xml:space="preserve"> PAGE  \* MERGEFORMAT </w:instrText>
    </w:r>
    <w:r w:rsidRPr="00E732FB">
      <w:rPr>
        <w:b/>
        <w:sz w:val="18"/>
      </w:rPr>
      <w:fldChar w:fldCharType="separate"/>
    </w:r>
    <w:r w:rsidRPr="00E732FB">
      <w:rPr>
        <w:b/>
        <w:noProof/>
        <w:sz w:val="18"/>
      </w:rPr>
      <w:t>2</w:t>
    </w:r>
    <w:r w:rsidRPr="00E732FB">
      <w:rPr>
        <w:b/>
        <w:sz w:val="18"/>
      </w:rPr>
      <w:fldChar w:fldCharType="end"/>
    </w:r>
    <w:r>
      <w:rPr>
        <w:b/>
        <w:sz w:val="18"/>
      </w:rPr>
      <w:tab/>
    </w:r>
    <w:r>
      <w:t>GE.21-15411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AA4F" w14:textId="690199FA" w:rsidR="00E732FB" w:rsidRPr="00E732FB" w:rsidRDefault="00E732FB" w:rsidP="00E732FB">
    <w:pPr>
      <w:pStyle w:val="Pieddepage"/>
      <w:tabs>
        <w:tab w:val="right" w:pos="9638"/>
      </w:tabs>
      <w:rPr>
        <w:b/>
        <w:sz w:val="18"/>
      </w:rPr>
    </w:pPr>
    <w:r>
      <w:t>GE.21-15411</w:t>
    </w:r>
    <w:r>
      <w:tab/>
    </w:r>
    <w:r w:rsidRPr="00E732FB">
      <w:rPr>
        <w:b/>
        <w:sz w:val="18"/>
      </w:rPr>
      <w:fldChar w:fldCharType="begin"/>
    </w:r>
    <w:r w:rsidRPr="00E732FB">
      <w:rPr>
        <w:b/>
        <w:sz w:val="18"/>
      </w:rPr>
      <w:instrText xml:space="preserve"> PAGE  \* MERGEFORMAT </w:instrText>
    </w:r>
    <w:r w:rsidRPr="00E732FB">
      <w:rPr>
        <w:b/>
        <w:sz w:val="18"/>
      </w:rPr>
      <w:fldChar w:fldCharType="separate"/>
    </w:r>
    <w:r w:rsidRPr="00E732FB">
      <w:rPr>
        <w:b/>
        <w:noProof/>
        <w:sz w:val="18"/>
      </w:rPr>
      <w:t>3</w:t>
    </w:r>
    <w:r w:rsidRPr="00E732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0459" w14:textId="796EFAFB" w:rsidR="007F20FA" w:rsidRPr="00E732FB" w:rsidRDefault="00E732FB" w:rsidP="00E732F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3D31D4" wp14:editId="6A1839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21-15411  (F)</w:t>
    </w:r>
    <w:r>
      <w:rPr>
        <w:noProof/>
        <w:sz w:val="20"/>
      </w:rPr>
      <w:drawing>
        <wp:anchor distT="0" distB="0" distL="114300" distR="114300" simplePos="0" relativeHeight="251660288" behindDoc="0" locked="0" layoutInCell="1" allowOverlap="1" wp14:anchorId="5CA42390" wp14:editId="110BD76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281021    281021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9C86" w14:textId="77777777" w:rsidR="005C4B74" w:rsidRPr="00AC3823" w:rsidRDefault="005C4B74" w:rsidP="00AC3823">
      <w:pPr>
        <w:pStyle w:val="Pieddepage"/>
        <w:tabs>
          <w:tab w:val="right" w:pos="2155"/>
        </w:tabs>
        <w:spacing w:after="80" w:line="240" w:lineRule="atLeast"/>
        <w:ind w:left="680"/>
        <w:rPr>
          <w:u w:val="single"/>
        </w:rPr>
      </w:pPr>
      <w:r>
        <w:rPr>
          <w:u w:val="single"/>
        </w:rPr>
        <w:tab/>
      </w:r>
    </w:p>
  </w:footnote>
  <w:footnote w:type="continuationSeparator" w:id="0">
    <w:p w14:paraId="797DE0D8" w14:textId="77777777" w:rsidR="005C4B74" w:rsidRPr="00AC3823" w:rsidRDefault="005C4B74" w:rsidP="00AC3823">
      <w:pPr>
        <w:pStyle w:val="Pieddepage"/>
        <w:tabs>
          <w:tab w:val="right" w:pos="2155"/>
        </w:tabs>
        <w:spacing w:after="80" w:line="240" w:lineRule="atLeast"/>
        <w:ind w:left="680"/>
        <w:rPr>
          <w:u w:val="single"/>
        </w:rPr>
      </w:pPr>
      <w:r>
        <w:rPr>
          <w:u w:val="single"/>
        </w:rPr>
        <w:tab/>
      </w:r>
    </w:p>
  </w:footnote>
  <w:footnote w:type="continuationNotice" w:id="1">
    <w:p w14:paraId="271E5194" w14:textId="77777777" w:rsidR="005C4B74" w:rsidRPr="00AC3823" w:rsidRDefault="005C4B74">
      <w:pPr>
        <w:spacing w:line="240" w:lineRule="auto"/>
        <w:rPr>
          <w:sz w:val="2"/>
          <w:szCs w:val="2"/>
        </w:rPr>
      </w:pPr>
    </w:p>
  </w:footnote>
  <w:footnote w:id="2">
    <w:p w14:paraId="2F1193EB" w14:textId="05D5E118" w:rsidR="00E732FB" w:rsidRDefault="00E732FB" w:rsidP="00E732FB">
      <w:pPr>
        <w:pStyle w:val="Notedebasdepage"/>
        <w:rPr>
          <w:lang w:val="fr-FR"/>
        </w:rPr>
      </w:pPr>
      <w:r w:rsidRPr="00E732FB">
        <w:rPr>
          <w:sz w:val="20"/>
          <w:lang w:val="fr-FR"/>
        </w:rPr>
        <w:tab/>
        <w:t>*</w:t>
      </w:r>
      <w:r w:rsidRPr="00E732FB">
        <w:rPr>
          <w:sz w:val="20"/>
          <w:lang w:val="fr-FR"/>
        </w:rPr>
        <w:tab/>
      </w:r>
      <w:r>
        <w:rPr>
          <w:lang w:val="fr-FR"/>
        </w:rPr>
        <w:t>Conformément au programme de travail du Comité des transports intérieurs pour 2022 tel qu’il figure dans le projet de budget-programme pour 2022 (A/76/6 (sect</w:t>
      </w:r>
      <w:r w:rsidRPr="00E732FB">
        <w:rPr>
          <w:lang w:val="fr-FR"/>
        </w:rPr>
        <w:t>.</w:t>
      </w:r>
      <w:r>
        <w:rPr>
          <w:lang w:val="fr-FR"/>
        </w:rPr>
        <w:t>20), par</w:t>
      </w:r>
      <w:r w:rsidRPr="00E732FB">
        <w:rPr>
          <w:lang w:val="fr-FR"/>
        </w:rPr>
        <w:t>.</w:t>
      </w:r>
      <w:r>
        <w:rPr>
          <w:lang w:val="fr-FR"/>
        </w:rPr>
        <w:t xml:space="preserve"> 20,76), le Forum mondial a pour mission d’élaborer, d’harmoniser et de mettre à jour les Règlements ONU en vue d’améliorer les caractéristiques fonctionnelles des véhicules</w:t>
      </w:r>
      <w:r w:rsidRPr="00E732FB">
        <w:rPr>
          <w:lang w:val="fr-FR"/>
        </w:rPr>
        <w:t>.</w:t>
      </w:r>
      <w:r>
        <w:rPr>
          <w:lang w:val="fr-FR"/>
        </w:rPr>
        <w:t xml:space="preserve"> Le présent document est soumis en vertu de ce mandat</w:t>
      </w:r>
      <w:r w:rsidRPr="00E732FB">
        <w:rPr>
          <w:lang w:val="fr-FR"/>
        </w:rPr>
        <w:t>.</w:t>
      </w:r>
    </w:p>
    <w:p w14:paraId="66486F64" w14:textId="77777777" w:rsidR="00E732FB" w:rsidRPr="00BB4BBC" w:rsidRDefault="00E732FB" w:rsidP="00E732F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34ED" w14:textId="66796AF0" w:rsidR="00E732FB" w:rsidRPr="00E732FB" w:rsidRDefault="00E732FB">
    <w:pPr>
      <w:pStyle w:val="En-tte"/>
    </w:pPr>
    <w:fldSimple w:instr=" TITLE  \* MERGEFORMAT ">
      <w:r w:rsidR="006C7450">
        <w:t>ECE/TRANS/WP.29/GRPE/2022/2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5472" w14:textId="6ADE9FBC" w:rsidR="00E732FB" w:rsidRPr="00E732FB" w:rsidRDefault="00E732FB" w:rsidP="00E732FB">
    <w:pPr>
      <w:pStyle w:val="En-tte"/>
      <w:jc w:val="right"/>
    </w:pPr>
    <w:fldSimple w:instr=" TITLE  \* MERGEFORMAT ">
      <w:r w:rsidR="006C7450">
        <w:t>ECE/TRANS/WP.29/GRPE/2022/2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7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4B74"/>
    <w:rsid w:val="006C7450"/>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B71CC"/>
    <w:rsid w:val="00C02897"/>
    <w:rsid w:val="00C97039"/>
    <w:rsid w:val="00D3439C"/>
    <w:rsid w:val="00D7622E"/>
    <w:rsid w:val="00DB1831"/>
    <w:rsid w:val="00DD3BFD"/>
    <w:rsid w:val="00DF6678"/>
    <w:rsid w:val="00E0299A"/>
    <w:rsid w:val="00E732FB"/>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BA39E5"/>
  <w15:docId w15:val="{1E9D0AAA-5F18-4373-9520-4E2311F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732FB"/>
    <w:rPr>
      <w:rFonts w:ascii="Times New Roman" w:eastAsiaTheme="minorHAnsi" w:hAnsi="Times New Roman" w:cs="Times New Roman"/>
      <w:sz w:val="20"/>
      <w:szCs w:val="20"/>
      <w:lang w:eastAsia="en-US"/>
    </w:rPr>
  </w:style>
  <w:style w:type="character" w:customStyle="1" w:styleId="HChGChar">
    <w:name w:val="_ H _Ch_G Char"/>
    <w:link w:val="HChG"/>
    <w:rsid w:val="00E732FB"/>
    <w:rPr>
      <w:rFonts w:ascii="Times New Roman" w:eastAsiaTheme="minorHAnsi" w:hAnsi="Times New Roman" w:cs="Times New Roman"/>
      <w:b/>
      <w:sz w:val="28"/>
      <w:szCs w:val="20"/>
      <w:lang w:eastAsia="en-US"/>
    </w:rPr>
  </w:style>
  <w:style w:type="character" w:customStyle="1" w:styleId="H1GChar">
    <w:name w:val="_ H_1_G Char"/>
    <w:link w:val="H1G"/>
    <w:rsid w:val="00E732F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915</Words>
  <Characters>6410</Characters>
  <Application>Microsoft Office Word</Application>
  <DocSecurity>0</DocSecurity>
  <Lines>534</Lines>
  <Paragraphs>292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ECE/TRANS/WP.29/GRPE/2022/2</dc:title>
  <dc:subject/>
  <dc:creator>Maud DARICHE</dc:creator>
  <cp:keywords/>
  <cp:lastModifiedBy>Maud Dariche</cp:lastModifiedBy>
  <cp:revision>3</cp:revision>
  <cp:lastPrinted>2021-10-28T05:54:00Z</cp:lastPrinted>
  <dcterms:created xsi:type="dcterms:W3CDTF">2021-10-28T05:54:00Z</dcterms:created>
  <dcterms:modified xsi:type="dcterms:W3CDTF">2021-10-28T05:54:00Z</dcterms:modified>
</cp:coreProperties>
</file>