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8B6DB" w14:textId="73955FF0" w:rsidR="00FE323D" w:rsidRPr="00ED5454" w:rsidRDefault="00FE323D" w:rsidP="00FE323D">
      <w:pPr>
        <w:keepNext/>
        <w:keepLines/>
        <w:spacing w:before="200"/>
        <w:ind w:left="5245" w:firstLine="0"/>
        <w:outlineLvl w:val="4"/>
        <w:rPr>
          <w:rFonts w:ascii="Arial" w:eastAsia="Arial" w:hAnsi="Arial" w:cs="Arial"/>
          <w:szCs w:val="24"/>
          <w:lang w:eastAsia="de-DE"/>
        </w:rPr>
      </w:pPr>
      <w:r w:rsidRPr="00FE323D">
        <w:rPr>
          <w:rFonts w:ascii="Arial" w:eastAsia="Arial" w:hAnsi="Arial" w:cs="Arial"/>
          <w:noProof/>
          <w:szCs w:val="24"/>
          <w:lang w:eastAsia="de-DE"/>
        </w:rPr>
        <w:drawing>
          <wp:anchor distT="0" distB="0" distL="114300" distR="114300" simplePos="0" relativeHeight="251664384" behindDoc="0" locked="0" layoutInCell="1" allowOverlap="1" wp14:anchorId="360DD9B7" wp14:editId="4C660E22">
            <wp:simplePos x="0" y="0"/>
            <wp:positionH relativeFrom="margin">
              <wp:align>left</wp:align>
            </wp:positionH>
            <wp:positionV relativeFrom="paragraph">
              <wp:posOffset>133373</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ED5454">
        <w:rPr>
          <w:rFonts w:ascii="Arial" w:eastAsia="Arial" w:hAnsi="Arial" w:cs="Arial"/>
          <w:szCs w:val="24"/>
          <w:lang w:eastAsia="de-DE"/>
        </w:rPr>
        <w:t>CCNR-ZKR/ADN/WP.15/AC.2/2022/</w:t>
      </w:r>
      <w:r w:rsidR="001B34EA">
        <w:rPr>
          <w:rFonts w:ascii="Arial" w:eastAsia="Arial" w:hAnsi="Arial" w:cs="Arial"/>
          <w:szCs w:val="24"/>
          <w:lang w:eastAsia="de-DE"/>
        </w:rPr>
        <w:t>21</w:t>
      </w:r>
    </w:p>
    <w:p w14:paraId="791BD5D5" w14:textId="77777777" w:rsidR="00FE323D" w:rsidRPr="00FE323D" w:rsidRDefault="00FE323D" w:rsidP="00FE323D">
      <w:pPr>
        <w:widowControl/>
        <w:tabs>
          <w:tab w:val="left" w:pos="5670"/>
        </w:tabs>
        <w:overflowPunct/>
        <w:autoSpaceDE/>
        <w:autoSpaceDN/>
        <w:adjustRightInd/>
        <w:snapToGrid w:val="0"/>
        <w:ind w:left="5245" w:firstLine="0"/>
        <w:jc w:val="left"/>
        <w:textAlignment w:val="auto"/>
        <w:rPr>
          <w:rFonts w:ascii="Arial" w:hAnsi="Arial" w:cs="Arial"/>
          <w:sz w:val="16"/>
          <w:szCs w:val="24"/>
          <w:lang w:eastAsia="de-DE"/>
        </w:rPr>
      </w:pPr>
      <w:r w:rsidRPr="00FE323D">
        <w:rPr>
          <w:rFonts w:ascii="Arial" w:hAnsi="Arial" w:cs="Arial"/>
          <w:sz w:val="16"/>
          <w:szCs w:val="24"/>
          <w:lang w:eastAsia="de-DE"/>
        </w:rPr>
        <w:t>Allgemeine Verteilung</w:t>
      </w:r>
    </w:p>
    <w:p w14:paraId="3BE74A42" w14:textId="4E5F3CDA" w:rsidR="00FE323D" w:rsidRPr="00FE323D" w:rsidRDefault="001B34EA" w:rsidP="00FE323D">
      <w:pPr>
        <w:widowControl/>
        <w:tabs>
          <w:tab w:val="right" w:pos="3856"/>
          <w:tab w:val="left" w:pos="5670"/>
        </w:tabs>
        <w:overflowPunct/>
        <w:autoSpaceDE/>
        <w:autoSpaceDN/>
        <w:adjustRightInd/>
        <w:snapToGrid w:val="0"/>
        <w:ind w:left="5245" w:firstLine="0"/>
        <w:jc w:val="left"/>
        <w:textAlignment w:val="auto"/>
        <w:rPr>
          <w:rFonts w:ascii="Arial" w:hAnsi="Arial" w:cs="Arial"/>
          <w:szCs w:val="24"/>
          <w:lang w:eastAsia="de-DE"/>
        </w:rPr>
      </w:pPr>
      <w:r>
        <w:rPr>
          <w:rFonts w:ascii="Arial" w:eastAsia="Arial" w:hAnsi="Arial" w:cs="Arial"/>
          <w:szCs w:val="24"/>
          <w:lang w:eastAsia="de-DE"/>
        </w:rPr>
        <w:t>17. November</w:t>
      </w:r>
      <w:r w:rsidR="00FE323D" w:rsidRPr="00FE323D">
        <w:rPr>
          <w:rFonts w:ascii="Arial" w:eastAsia="Arial" w:hAnsi="Arial" w:cs="Arial"/>
          <w:szCs w:val="24"/>
          <w:lang w:eastAsia="de-DE"/>
        </w:rPr>
        <w:t xml:space="preserve"> 2021</w:t>
      </w:r>
    </w:p>
    <w:p w14:paraId="3318A5D0" w14:textId="77777777" w:rsidR="00FE323D" w:rsidRPr="00FE323D" w:rsidRDefault="00FE323D" w:rsidP="00FE323D">
      <w:pPr>
        <w:widowControl/>
        <w:tabs>
          <w:tab w:val="right" w:pos="3856"/>
          <w:tab w:val="left" w:pos="5670"/>
        </w:tabs>
        <w:overflowPunct/>
        <w:autoSpaceDE/>
        <w:autoSpaceDN/>
        <w:adjustRightInd/>
        <w:snapToGrid w:val="0"/>
        <w:ind w:left="5245" w:right="565" w:firstLine="0"/>
        <w:jc w:val="left"/>
        <w:textAlignment w:val="auto"/>
        <w:rPr>
          <w:rFonts w:ascii="Arial" w:eastAsia="Arial" w:hAnsi="Arial" w:cs="Arial"/>
          <w:sz w:val="16"/>
          <w:szCs w:val="24"/>
          <w:lang w:eastAsia="de-DE"/>
        </w:rPr>
      </w:pPr>
      <w:proofErr w:type="spellStart"/>
      <w:r w:rsidRPr="00FE323D">
        <w:rPr>
          <w:rFonts w:ascii="Arial" w:eastAsia="Arial" w:hAnsi="Arial" w:cs="Arial"/>
          <w:sz w:val="16"/>
          <w:szCs w:val="24"/>
          <w:lang w:eastAsia="de-DE"/>
        </w:rPr>
        <w:t>Or</w:t>
      </w:r>
      <w:proofErr w:type="spellEnd"/>
      <w:r w:rsidRPr="00FE323D">
        <w:rPr>
          <w:rFonts w:ascii="Arial" w:eastAsia="Arial" w:hAnsi="Arial" w:cs="Arial"/>
          <w:sz w:val="16"/>
          <w:szCs w:val="24"/>
          <w:lang w:eastAsia="de-DE"/>
        </w:rPr>
        <w:t>. DEUTSCH</w:t>
      </w:r>
    </w:p>
    <w:p w14:paraId="539DDC40" w14:textId="77777777" w:rsidR="00FE323D" w:rsidRPr="00FE323D" w:rsidRDefault="00FE323D" w:rsidP="00FE323D">
      <w:pPr>
        <w:widowControl/>
        <w:overflowPunct/>
        <w:autoSpaceDE/>
        <w:autoSpaceDN/>
        <w:adjustRightInd/>
        <w:snapToGrid w:val="0"/>
        <w:ind w:left="0" w:firstLine="0"/>
        <w:jc w:val="left"/>
        <w:textAlignment w:val="auto"/>
        <w:rPr>
          <w:rFonts w:ascii="Arial" w:hAnsi="Arial" w:cs="Arial"/>
          <w:sz w:val="16"/>
          <w:szCs w:val="24"/>
          <w:lang w:eastAsia="de-DE"/>
        </w:rPr>
      </w:pPr>
    </w:p>
    <w:p w14:paraId="6A176C39" w14:textId="77777777" w:rsidR="00FE323D" w:rsidRPr="00FE323D" w:rsidRDefault="00FE323D" w:rsidP="00FE323D">
      <w:pPr>
        <w:widowControl/>
        <w:overflowPunct/>
        <w:autoSpaceDE/>
        <w:autoSpaceDN/>
        <w:adjustRightInd/>
        <w:snapToGrid w:val="0"/>
        <w:ind w:left="0" w:firstLine="0"/>
        <w:jc w:val="left"/>
        <w:textAlignment w:val="auto"/>
        <w:rPr>
          <w:rFonts w:ascii="Arial" w:hAnsi="Arial" w:cs="Arial"/>
          <w:sz w:val="16"/>
          <w:szCs w:val="24"/>
          <w:lang w:eastAsia="de-DE"/>
        </w:rPr>
      </w:pPr>
    </w:p>
    <w:p w14:paraId="1F9FB2E8" w14:textId="77777777" w:rsidR="00FE323D" w:rsidRPr="00FE323D" w:rsidRDefault="00FE323D" w:rsidP="00FE323D">
      <w:pPr>
        <w:widowControl/>
        <w:tabs>
          <w:tab w:val="left" w:pos="2977"/>
        </w:tabs>
        <w:overflowPunct/>
        <w:autoSpaceDE/>
        <w:autoSpaceDN/>
        <w:adjustRightInd/>
        <w:snapToGrid w:val="0"/>
        <w:ind w:left="3960" w:firstLine="0"/>
        <w:jc w:val="left"/>
        <w:textAlignment w:val="auto"/>
        <w:rPr>
          <w:rFonts w:ascii="Arial" w:hAnsi="Arial"/>
          <w:sz w:val="16"/>
          <w:szCs w:val="24"/>
        </w:rPr>
      </w:pPr>
      <w:r w:rsidRPr="00FE323D">
        <w:rPr>
          <w:rFonts w:ascii="Arial" w:hAnsi="Arial"/>
          <w:noProof/>
          <w:sz w:val="16"/>
          <w:szCs w:val="24"/>
        </w:rPr>
        <w:t xml:space="preserve">GEMEINSAME EXPERTENTAGUNG FÜR DIE DEM ÜBEREINKOMMEN ÜBER DIE INTERNATIONALE BEFÖRDERUNG VON GEFÄHRLICHEN GÜTERN AUF </w:t>
      </w:r>
      <w:r w:rsidRPr="00FE323D">
        <w:rPr>
          <w:rFonts w:ascii="Arial" w:eastAsia="Calibri" w:hAnsi="Arial" w:cs="Arial"/>
          <w:sz w:val="16"/>
          <w:szCs w:val="16"/>
          <w:lang w:eastAsia="en-US"/>
        </w:rPr>
        <w:t xml:space="preserve">BINNENWASSERSTRAẞEN (ADN) </w:t>
      </w:r>
      <w:r w:rsidRPr="00FE323D">
        <w:rPr>
          <w:rFonts w:ascii="Arial" w:hAnsi="Arial"/>
          <w:noProof/>
          <w:sz w:val="16"/>
          <w:szCs w:val="24"/>
        </w:rPr>
        <w:t>BEIGEFÜGTE VERORDNUNG (SICHERHEITSAUSSCHUSS</w:t>
      </w:r>
      <w:r w:rsidRPr="00FE323D">
        <w:rPr>
          <w:rFonts w:ascii="Arial" w:hAnsi="Arial"/>
          <w:sz w:val="16"/>
          <w:szCs w:val="24"/>
        </w:rPr>
        <w:t xml:space="preserve"> (39. Tagung, Genf, 24. bis 28. Januar 2022)</w:t>
      </w:r>
    </w:p>
    <w:p w14:paraId="4C9F2CD9" w14:textId="78E7F9B3" w:rsidR="00FE323D" w:rsidRPr="00FE323D" w:rsidRDefault="00FE323D" w:rsidP="00FE323D">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FE323D">
        <w:rPr>
          <w:rFonts w:ascii="Arial" w:hAnsi="Arial" w:cs="Arial"/>
          <w:sz w:val="16"/>
          <w:szCs w:val="16"/>
          <w:lang w:eastAsia="en-US"/>
        </w:rPr>
        <w:t xml:space="preserve">Punkt </w:t>
      </w:r>
      <w:r w:rsidR="001B34EA">
        <w:rPr>
          <w:rFonts w:ascii="Arial" w:hAnsi="Arial" w:cs="Arial"/>
          <w:sz w:val="16"/>
          <w:szCs w:val="16"/>
          <w:lang w:eastAsia="en-US"/>
        </w:rPr>
        <w:t>5 b)</w:t>
      </w:r>
      <w:r w:rsidRPr="00FE323D">
        <w:rPr>
          <w:rFonts w:ascii="Arial" w:hAnsi="Arial" w:cs="Arial"/>
          <w:sz w:val="16"/>
          <w:szCs w:val="16"/>
          <w:lang w:eastAsia="en-US"/>
        </w:rPr>
        <w:t xml:space="preserve"> zur vorläufigen Tagesordnung</w:t>
      </w:r>
    </w:p>
    <w:p w14:paraId="11884E03" w14:textId="77777777" w:rsidR="00FE323D" w:rsidRPr="00FE323D" w:rsidRDefault="00FE323D" w:rsidP="00FE323D">
      <w:pPr>
        <w:tabs>
          <w:tab w:val="left" w:pos="2977"/>
        </w:tabs>
        <w:ind w:left="3958" w:firstLine="11"/>
        <w:rPr>
          <w:rFonts w:ascii="Arial" w:hAnsi="Arial" w:cs="Arial"/>
          <w:b/>
          <w:sz w:val="16"/>
          <w:szCs w:val="16"/>
          <w:lang w:eastAsia="en-US"/>
        </w:rPr>
      </w:pPr>
      <w:r w:rsidRPr="00FE323D">
        <w:rPr>
          <w:rFonts w:ascii="Arial" w:hAnsi="Arial" w:cs="Arial"/>
          <w:b/>
          <w:sz w:val="16"/>
          <w:szCs w:val="16"/>
          <w:lang w:eastAsia="en-US"/>
        </w:rPr>
        <w:t>Vorschläge für Änderungen der dem ADN beigefügten Verordnung:</w:t>
      </w:r>
    </w:p>
    <w:p w14:paraId="35258003" w14:textId="77777777" w:rsidR="00FE323D" w:rsidRPr="00FE323D" w:rsidRDefault="00FE323D" w:rsidP="00FE323D">
      <w:pPr>
        <w:tabs>
          <w:tab w:val="left" w:pos="2977"/>
        </w:tabs>
        <w:ind w:left="3958" w:firstLine="11"/>
        <w:rPr>
          <w:rFonts w:ascii="Arial" w:hAnsi="Arial" w:cs="Arial"/>
          <w:b/>
          <w:sz w:val="16"/>
          <w:szCs w:val="16"/>
          <w:lang w:eastAsia="en-US"/>
        </w:rPr>
      </w:pPr>
      <w:r w:rsidRPr="00FE323D">
        <w:rPr>
          <w:rFonts w:ascii="Arial" w:hAnsi="Arial" w:cs="Arial"/>
          <w:b/>
          <w:sz w:val="16"/>
          <w:szCs w:val="16"/>
          <w:lang w:eastAsia="en-US"/>
        </w:rPr>
        <w:t>Weitere Vorschläge</w:t>
      </w:r>
    </w:p>
    <w:p w14:paraId="7AACD265" w14:textId="77777777" w:rsidR="00FE323D" w:rsidRPr="00FE323D" w:rsidRDefault="00FE323D" w:rsidP="00FE323D">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53106EB1" w14:textId="77777777" w:rsidR="00FE323D" w:rsidRPr="00FE323D" w:rsidRDefault="00FE323D" w:rsidP="00FE323D">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3AB8635D" w14:textId="77777777" w:rsidR="00FE323D" w:rsidRDefault="00FE323D" w:rsidP="00FE323D">
      <w:pPr>
        <w:pStyle w:val="HChG"/>
        <w:keepNext w:val="0"/>
        <w:keepLines w:val="0"/>
        <w:tabs>
          <w:tab w:val="clear" w:pos="851"/>
        </w:tabs>
        <w:spacing w:before="0" w:after="0" w:line="240" w:lineRule="auto"/>
        <w:ind w:right="0" w:firstLine="0"/>
        <w:jc w:val="both"/>
        <w:rPr>
          <w:bCs/>
          <w:szCs w:val="24"/>
          <w:lang w:val="de-DE"/>
        </w:rPr>
      </w:pPr>
    </w:p>
    <w:p w14:paraId="0E7741E9" w14:textId="65D6734E" w:rsidR="00FE323D" w:rsidRPr="00B041A6" w:rsidRDefault="00FE323D" w:rsidP="00FE323D">
      <w:pPr>
        <w:pStyle w:val="HChG"/>
        <w:keepNext w:val="0"/>
        <w:keepLines w:val="0"/>
        <w:tabs>
          <w:tab w:val="clear" w:pos="851"/>
        </w:tabs>
        <w:spacing w:before="0" w:after="0" w:line="240" w:lineRule="auto"/>
        <w:ind w:right="0" w:firstLine="0"/>
        <w:jc w:val="both"/>
        <w:rPr>
          <w:bCs/>
          <w:szCs w:val="24"/>
          <w:lang w:val="de-DE"/>
        </w:rPr>
      </w:pPr>
      <w:r w:rsidRPr="0039084A">
        <w:rPr>
          <w:bCs/>
          <w:szCs w:val="24"/>
          <w:lang w:val="de-DE"/>
        </w:rPr>
        <w:t>Fest installierte Feuerlöscheinrichtung</w:t>
      </w:r>
      <w:r>
        <w:rPr>
          <w:bCs/>
          <w:szCs w:val="24"/>
          <w:lang w:val="de-DE"/>
        </w:rPr>
        <w:t>en</w:t>
      </w:r>
      <w:r w:rsidRPr="0039084A">
        <w:rPr>
          <w:bCs/>
          <w:szCs w:val="24"/>
          <w:lang w:val="de-DE"/>
        </w:rPr>
        <w:t xml:space="preserve"> für den Objektschutz – Absätze 9.1.0.40.2.16,</w:t>
      </w:r>
      <w:r>
        <w:rPr>
          <w:bCs/>
          <w:szCs w:val="24"/>
          <w:lang w:val="de-DE"/>
        </w:rPr>
        <w:t xml:space="preserve"> </w:t>
      </w:r>
      <w:r w:rsidRPr="0039084A">
        <w:rPr>
          <w:bCs/>
          <w:szCs w:val="24"/>
          <w:lang w:val="de-DE"/>
        </w:rPr>
        <w:t>9.3.1.40.2.16, 9.3.2.40.2.16</w:t>
      </w:r>
      <w:r w:rsidR="008A40AB">
        <w:rPr>
          <w:bCs/>
          <w:szCs w:val="24"/>
          <w:lang w:val="de-DE"/>
        </w:rPr>
        <w:t xml:space="preserve"> und</w:t>
      </w:r>
      <w:r w:rsidRPr="0039084A">
        <w:rPr>
          <w:bCs/>
          <w:szCs w:val="24"/>
          <w:lang w:val="de-DE"/>
        </w:rPr>
        <w:t xml:space="preserve"> 9.3.3.40.</w:t>
      </w:r>
      <w:r w:rsidR="003A29A8">
        <w:rPr>
          <w:bCs/>
          <w:szCs w:val="24"/>
          <w:lang w:val="de-DE"/>
        </w:rPr>
        <w:t xml:space="preserve">2.16 </w:t>
      </w:r>
      <w:r>
        <w:rPr>
          <w:bCs/>
          <w:szCs w:val="24"/>
          <w:lang w:val="de-DE"/>
        </w:rPr>
        <w:t>ADN</w:t>
      </w:r>
    </w:p>
    <w:p w14:paraId="04BF32D5" w14:textId="77777777" w:rsidR="00FE323D" w:rsidRPr="00FE323D" w:rsidRDefault="00FE323D" w:rsidP="00FE323D">
      <w:pPr>
        <w:keepNext/>
        <w:keepLines/>
        <w:widowControl/>
        <w:suppressAutoHyphens/>
        <w:overflowPunct/>
        <w:autoSpaceDE/>
        <w:autoSpaceDN/>
        <w:adjustRightInd/>
        <w:snapToGrid w:val="0"/>
        <w:spacing w:before="360" w:after="240" w:line="270" w:lineRule="exact"/>
        <w:ind w:right="567" w:firstLine="0"/>
        <w:jc w:val="left"/>
        <w:textAlignment w:val="auto"/>
        <w:rPr>
          <w:b/>
          <w:sz w:val="18"/>
          <w:vertAlign w:val="superscript"/>
        </w:rPr>
      </w:pPr>
      <w:r w:rsidRPr="00FE323D">
        <w:rPr>
          <w:b/>
          <w:sz w:val="24"/>
        </w:rPr>
        <w:t>Vorgelegt von Deutschland</w:t>
      </w:r>
      <w:r w:rsidRPr="00FE323D">
        <w:rPr>
          <w:b/>
          <w:sz w:val="18"/>
          <w:vertAlign w:val="superscript"/>
        </w:rPr>
        <w:footnoteReference w:id="1"/>
      </w:r>
      <w:r w:rsidRPr="00FE323D">
        <w:rPr>
          <w:b/>
          <w:sz w:val="18"/>
          <w:vertAlign w:val="superscript"/>
        </w:rPr>
        <w:t>,</w:t>
      </w:r>
      <w:r w:rsidRPr="00FE323D">
        <w:rPr>
          <w:b/>
          <w:sz w:val="18"/>
          <w:vertAlign w:val="superscript"/>
        </w:rPr>
        <w:footnoteReference w:id="2"/>
      </w:r>
    </w:p>
    <w:p w14:paraId="00F0F947" w14:textId="77777777" w:rsidR="003B1F08" w:rsidRDefault="003B1F08" w:rsidP="00582B60">
      <w:pPr>
        <w:spacing w:line="276" w:lineRule="auto"/>
        <w:jc w:val="center"/>
        <w:rPr>
          <w:noProof/>
          <w:sz w:val="22"/>
          <w:szCs w:val="24"/>
        </w:rPr>
      </w:pPr>
    </w:p>
    <w:p w14:paraId="40975B23" w14:textId="37DD608B" w:rsidR="009767E1" w:rsidRPr="00FF2510" w:rsidRDefault="0039084A" w:rsidP="00402559">
      <w:pPr>
        <w:tabs>
          <w:tab w:val="left" w:pos="567"/>
          <w:tab w:val="left" w:pos="1701"/>
        </w:tabs>
        <w:spacing w:after="120" w:line="240" w:lineRule="atLeast"/>
        <w:ind w:firstLine="0"/>
        <w:rPr>
          <w:b/>
          <w:sz w:val="24"/>
          <w:szCs w:val="18"/>
        </w:rPr>
      </w:pPr>
      <w:r w:rsidRPr="00FF2510">
        <w:rPr>
          <w:b/>
          <w:sz w:val="24"/>
          <w:szCs w:val="18"/>
        </w:rPr>
        <w:t>Einleitung</w:t>
      </w:r>
    </w:p>
    <w:p w14:paraId="09902FA6" w14:textId="77777777" w:rsidR="0039084A" w:rsidRDefault="0039084A" w:rsidP="00FE323D">
      <w:pPr>
        <w:tabs>
          <w:tab w:val="left" w:pos="567"/>
          <w:tab w:val="left" w:pos="1701"/>
        </w:tabs>
        <w:spacing w:line="240" w:lineRule="atLeast"/>
        <w:rPr>
          <w:rFonts w:cs="Arial"/>
          <w:sz w:val="22"/>
        </w:rPr>
      </w:pPr>
    </w:p>
    <w:p w14:paraId="7B80B64A" w14:textId="541A7C2B" w:rsidR="0039084A" w:rsidRPr="00FE323D" w:rsidRDefault="0039084A" w:rsidP="00FE323D">
      <w:pPr>
        <w:tabs>
          <w:tab w:val="left" w:pos="567"/>
          <w:tab w:val="left" w:pos="1701"/>
        </w:tabs>
        <w:spacing w:line="240" w:lineRule="atLeast"/>
        <w:ind w:firstLine="0"/>
      </w:pPr>
      <w:r w:rsidRPr="00FE323D">
        <w:t xml:space="preserve">1. </w:t>
      </w:r>
      <w:r w:rsidR="00FF2510" w:rsidRPr="00FE323D">
        <w:tab/>
      </w:r>
      <w:r w:rsidRPr="00FE323D">
        <w:t>Die Absätze 9.1.0.40.2.16, 9.3.1.40.2.16, 9.3.2.40.2.16, 9.3.3.40.</w:t>
      </w:r>
      <w:r w:rsidR="00F04BE3">
        <w:t>2.16</w:t>
      </w:r>
      <w:r w:rsidRPr="00FE323D">
        <w:t xml:space="preserve"> ADN schreiben vor, dass festinstallierte Feuerlöschanlagen für den Objektschutz an Bord von Binnenschiffen, die gefährliche Güter befördern, nur in Maschinen-, Kessel- und Pumpenräumen und nur auf Grund von Empfehlungen des Verwaltungsausschusses zulässig sind.</w:t>
      </w:r>
    </w:p>
    <w:p w14:paraId="13DE1D90" w14:textId="77777777" w:rsidR="0039084A" w:rsidRPr="00FE323D" w:rsidRDefault="0039084A" w:rsidP="00FE323D">
      <w:pPr>
        <w:tabs>
          <w:tab w:val="left" w:pos="567"/>
          <w:tab w:val="left" w:pos="1701"/>
        </w:tabs>
        <w:spacing w:line="240" w:lineRule="atLeast"/>
        <w:ind w:firstLine="0"/>
      </w:pPr>
    </w:p>
    <w:p w14:paraId="4B20C759" w14:textId="77777777" w:rsidR="0039084A" w:rsidRPr="00FE323D" w:rsidRDefault="0039084A" w:rsidP="00FE323D">
      <w:pPr>
        <w:widowControl/>
        <w:tabs>
          <w:tab w:val="left" w:pos="1701"/>
        </w:tabs>
        <w:overflowPunct/>
        <w:ind w:firstLine="0"/>
        <w:textAlignment w:val="auto"/>
      </w:pPr>
      <w:r w:rsidRPr="00FE323D">
        <w:t xml:space="preserve">2. </w:t>
      </w:r>
      <w:r w:rsidR="00FF2510" w:rsidRPr="00FE323D">
        <w:tab/>
      </w:r>
      <w:r w:rsidRPr="00FE323D">
        <w:t>Der Europäische Standard der Technischen Vorschriften für Binnenschiffe (ES-TRIN 2021, herausgegeben vom Europäische</w:t>
      </w:r>
      <w:r w:rsidR="00FF2510" w:rsidRPr="00FE323D">
        <w:t xml:space="preserve">n </w:t>
      </w:r>
      <w:r w:rsidRPr="00FE323D">
        <w:t xml:space="preserve">Ausschuss für die Ausarbeitung von Standards im Bereich der Binnenschifffahrt „CESNI“) verbietet in Artikel 13.06 </w:t>
      </w:r>
      <w:bookmarkStart w:id="0" w:name="_Hlk84330442"/>
      <w:r w:rsidRPr="00FE323D">
        <w:t xml:space="preserve">festinstallierte </w:t>
      </w:r>
      <w:bookmarkEnd w:id="0"/>
      <w:r w:rsidRPr="00FE323D">
        <w:t xml:space="preserve">Feuerlöschanlagen für den Objektschutz generell. </w:t>
      </w:r>
      <w:r w:rsidR="00FF2510" w:rsidRPr="00FE323D">
        <w:t xml:space="preserve">Nach Artikel 10.11 </w:t>
      </w:r>
      <w:r w:rsidR="00FF2510" w:rsidRPr="00FE323D">
        <w:rPr>
          <w:b/>
          <w:bCs/>
          <w:i/>
          <w:iCs/>
          <w:lang w:eastAsia="de-DE"/>
        </w:rPr>
        <w:t>Batterien, Akkumulatoren und deren Ladeeinrichtungen</w:t>
      </w:r>
      <w:r w:rsidR="00FF2510" w:rsidRPr="00FE323D">
        <w:t>, Absatz 17, kann für</w:t>
      </w:r>
      <w:r w:rsidRPr="00FE323D">
        <w:t xml:space="preserve"> Räume, in denen Lithium-Ionen-Akkumulatoren untergebracht werden, </w:t>
      </w:r>
      <w:r w:rsidR="00F60BAE" w:rsidRPr="00FE323D">
        <w:t xml:space="preserve">auf </w:t>
      </w:r>
      <w:r w:rsidRPr="00FE323D">
        <w:t xml:space="preserve">ein gesondertes Brandschutzkonzept verzichtet werden, wenn diese in einem Brandsicheren Gehäuse untergebracht sind, das unter anderem abweichend von Artikel 13.06, mit einer geeigneten fest installierten Feuerlöschanlage für den Objektschutz </w:t>
      </w:r>
      <w:r w:rsidR="00F60BAE" w:rsidRPr="00FE323D">
        <w:t>ausgestattet ist</w:t>
      </w:r>
      <w:r w:rsidRPr="00FE323D">
        <w:t>.</w:t>
      </w:r>
    </w:p>
    <w:p w14:paraId="438C775A" w14:textId="77777777" w:rsidR="00FF2510" w:rsidRPr="00FE323D" w:rsidRDefault="00FF2510" w:rsidP="00FE323D">
      <w:pPr>
        <w:widowControl/>
        <w:tabs>
          <w:tab w:val="left" w:pos="1701"/>
        </w:tabs>
        <w:overflowPunct/>
        <w:ind w:firstLine="0"/>
        <w:textAlignment w:val="auto"/>
      </w:pPr>
    </w:p>
    <w:p w14:paraId="7ECB7F40" w14:textId="70EDC5ED" w:rsidR="0039084A" w:rsidRPr="00FE323D" w:rsidRDefault="00FF2510" w:rsidP="00FE323D">
      <w:pPr>
        <w:tabs>
          <w:tab w:val="left" w:pos="567"/>
          <w:tab w:val="left" w:pos="1701"/>
        </w:tabs>
        <w:spacing w:line="240" w:lineRule="atLeast"/>
        <w:ind w:firstLine="0"/>
        <w:rPr>
          <w:lang w:eastAsia="de-DE"/>
        </w:rPr>
      </w:pPr>
      <w:r w:rsidRPr="00FE323D">
        <w:t>3.</w:t>
      </w:r>
      <w:r w:rsidRPr="00FE323D">
        <w:tab/>
        <w:t xml:space="preserve">Schon heute besteht ein Widerspruch zwischen beiden Regelwerken, das am Aufstellungsort von Lithium-Ionen-Akkumulatoren auf Schiffen, die gefährliche Güter </w:t>
      </w:r>
      <w:r w:rsidR="00F60BAE" w:rsidRPr="00FE323D">
        <w:t>befördern</w:t>
      </w:r>
      <w:r w:rsidRPr="00FE323D">
        <w:t xml:space="preserve">, auch der Verwaltungsausschuss keine Feuerlöscheinrichtung zum Objektschutz zulassen kann, wenn diese </w:t>
      </w:r>
      <w:r w:rsidR="00402559" w:rsidRPr="00FE323D">
        <w:t>außerhalb</w:t>
      </w:r>
      <w:r w:rsidRPr="00FE323D">
        <w:t xml:space="preserve"> von Maschinen-, Kessel- und Pumpenräumen aufgestellt sind.</w:t>
      </w:r>
    </w:p>
    <w:p w14:paraId="5FDDA5FF" w14:textId="77777777" w:rsidR="00FF2510" w:rsidRPr="00FE323D" w:rsidRDefault="00FF2510" w:rsidP="00FE323D">
      <w:pPr>
        <w:tabs>
          <w:tab w:val="left" w:pos="567"/>
          <w:tab w:val="left" w:pos="1701"/>
        </w:tabs>
        <w:spacing w:line="240" w:lineRule="atLeast"/>
        <w:ind w:firstLine="0"/>
      </w:pPr>
    </w:p>
    <w:p w14:paraId="74A97F53" w14:textId="77777777" w:rsidR="006A0A95" w:rsidRDefault="006A0A95">
      <w:pPr>
        <w:widowControl/>
        <w:overflowPunct/>
        <w:autoSpaceDE/>
        <w:autoSpaceDN/>
        <w:adjustRightInd/>
        <w:ind w:left="0" w:firstLine="0"/>
        <w:jc w:val="left"/>
        <w:textAlignment w:val="auto"/>
      </w:pPr>
      <w:r>
        <w:br w:type="page"/>
      </w:r>
    </w:p>
    <w:p w14:paraId="55360944" w14:textId="6139777A" w:rsidR="0039084A" w:rsidRPr="00FE323D" w:rsidRDefault="00FF2510" w:rsidP="00FE323D">
      <w:pPr>
        <w:tabs>
          <w:tab w:val="left" w:pos="567"/>
          <w:tab w:val="left" w:pos="1701"/>
        </w:tabs>
        <w:spacing w:line="240" w:lineRule="atLeast"/>
        <w:ind w:firstLine="0"/>
      </w:pPr>
      <w:r w:rsidRPr="00FE323D">
        <w:lastRenderedPageBreak/>
        <w:t>4.</w:t>
      </w:r>
      <w:r w:rsidRPr="00FE323D">
        <w:tab/>
        <w:t>Für den ES-TRIN 2023 liegt bei CESNI</w:t>
      </w:r>
      <w:r w:rsidR="00473505" w:rsidRPr="00FE323D">
        <w:t>, Arbeitsgruppe für Technische Angelegenheiten</w:t>
      </w:r>
      <w:r w:rsidRPr="00FE323D">
        <w:t xml:space="preserve"> ein </w:t>
      </w:r>
      <w:r w:rsidRPr="00A634E8">
        <w:t>Antrag</w:t>
      </w:r>
      <w:r w:rsidR="00ED5454" w:rsidRPr="00A634E8">
        <w:rPr>
          <w:rStyle w:val="FootnoteReference"/>
        </w:rPr>
        <w:footnoteReference w:id="3"/>
      </w:r>
      <w:r w:rsidR="00ED5454" w:rsidRPr="00A634E8">
        <w:t xml:space="preserve"> </w:t>
      </w:r>
      <w:r w:rsidRPr="00A634E8">
        <w:t>vor</w:t>
      </w:r>
      <w:r w:rsidRPr="00FE323D">
        <w:t xml:space="preserve">, </w:t>
      </w:r>
      <w:r w:rsidR="0063034E" w:rsidRPr="00FE323D">
        <w:t>fest</w:t>
      </w:r>
      <w:r w:rsidR="00F04BE3">
        <w:t xml:space="preserve"> </w:t>
      </w:r>
      <w:r w:rsidR="0063034E" w:rsidRPr="00FE323D">
        <w:t xml:space="preserve">installierte </w:t>
      </w:r>
      <w:bookmarkStart w:id="1" w:name="_Hlk84330555"/>
      <w:r w:rsidRPr="00FE323D">
        <w:t xml:space="preserve">Feuerlöschanlagen </w:t>
      </w:r>
      <w:bookmarkEnd w:id="1"/>
      <w:r w:rsidRPr="00FE323D">
        <w:t>für den Objektschutz unter definierten Bedingungen zuzulassen.</w:t>
      </w:r>
    </w:p>
    <w:p w14:paraId="150E698C" w14:textId="5C887E23" w:rsidR="00A634E8" w:rsidRDefault="00A634E8">
      <w:pPr>
        <w:widowControl/>
        <w:overflowPunct/>
        <w:autoSpaceDE/>
        <w:autoSpaceDN/>
        <w:adjustRightInd/>
        <w:ind w:left="0" w:firstLine="0"/>
        <w:jc w:val="left"/>
        <w:textAlignment w:val="auto"/>
      </w:pPr>
    </w:p>
    <w:p w14:paraId="63B03ACD" w14:textId="77777777" w:rsidR="00A634E8" w:rsidRDefault="00FF2510" w:rsidP="002476C4">
      <w:pPr>
        <w:tabs>
          <w:tab w:val="left" w:pos="567"/>
          <w:tab w:val="left" w:pos="1701"/>
        </w:tabs>
        <w:spacing w:line="240" w:lineRule="atLeast"/>
        <w:ind w:firstLine="0"/>
      </w:pPr>
      <w:r w:rsidRPr="00FE323D">
        <w:t>5.</w:t>
      </w:r>
      <w:r w:rsidRPr="00FE323D">
        <w:tab/>
        <w:t>Die Arbeitsgruppe der nach ADN empfohlenen Klassifikationsgesellschaften wurde vom ADN-Sicherheitsausschuss gebeten zu prüfen, ob über den ES-TRIN hinaus bei Schiffen, die gefährliche Güter befördern, zusätzliche Sicherheitsvorschriften bei der Platzierung von Lithium-Batterien in der Nähe von gefährlichen Gütern erforderlich sind.</w:t>
      </w:r>
    </w:p>
    <w:p w14:paraId="424640A3" w14:textId="1BC1F4F5" w:rsidR="00FE323D" w:rsidRDefault="00FE323D" w:rsidP="002476C4">
      <w:pPr>
        <w:tabs>
          <w:tab w:val="left" w:pos="567"/>
          <w:tab w:val="left" w:pos="1701"/>
        </w:tabs>
        <w:spacing w:line="240" w:lineRule="atLeast"/>
        <w:ind w:firstLine="0"/>
        <w:rPr>
          <w:b/>
        </w:rPr>
      </w:pPr>
    </w:p>
    <w:p w14:paraId="7ADF0CFA" w14:textId="77777777" w:rsidR="00A634E8" w:rsidRDefault="00A634E8" w:rsidP="002476C4">
      <w:pPr>
        <w:tabs>
          <w:tab w:val="left" w:pos="567"/>
          <w:tab w:val="left" w:pos="1701"/>
        </w:tabs>
        <w:spacing w:line="240" w:lineRule="atLeast"/>
        <w:ind w:firstLine="0"/>
        <w:rPr>
          <w:b/>
        </w:rPr>
      </w:pPr>
    </w:p>
    <w:p w14:paraId="77F12811" w14:textId="42CD7802" w:rsidR="00B041A6" w:rsidRPr="001F043C" w:rsidRDefault="00FF2510" w:rsidP="00F43BF2">
      <w:pPr>
        <w:tabs>
          <w:tab w:val="left" w:pos="567"/>
          <w:tab w:val="left" w:pos="1701"/>
        </w:tabs>
        <w:spacing w:line="240" w:lineRule="atLeast"/>
        <w:ind w:firstLine="0"/>
        <w:rPr>
          <w:b/>
          <w:sz w:val="24"/>
          <w:szCs w:val="24"/>
        </w:rPr>
      </w:pPr>
      <w:r w:rsidRPr="001F043C">
        <w:rPr>
          <w:b/>
          <w:sz w:val="24"/>
          <w:szCs w:val="24"/>
        </w:rPr>
        <w:t>I</w:t>
      </w:r>
      <w:r w:rsidR="00B041A6" w:rsidRPr="001F043C">
        <w:rPr>
          <w:b/>
          <w:sz w:val="24"/>
          <w:szCs w:val="24"/>
        </w:rPr>
        <w:t>.</w:t>
      </w:r>
      <w:r w:rsidR="00B041A6" w:rsidRPr="001F043C">
        <w:rPr>
          <w:b/>
          <w:sz w:val="24"/>
          <w:szCs w:val="24"/>
        </w:rPr>
        <w:tab/>
        <w:t>Antr</w:t>
      </w:r>
      <w:r w:rsidR="00DA312C" w:rsidRPr="001F043C">
        <w:rPr>
          <w:b/>
          <w:sz w:val="24"/>
          <w:szCs w:val="24"/>
        </w:rPr>
        <w:t>ag</w:t>
      </w:r>
    </w:p>
    <w:p w14:paraId="799B17AC" w14:textId="77777777" w:rsidR="00361725" w:rsidRPr="001F043C" w:rsidRDefault="00361725" w:rsidP="001F043C">
      <w:pPr>
        <w:tabs>
          <w:tab w:val="left" w:pos="567"/>
        </w:tabs>
        <w:spacing w:line="240" w:lineRule="atLeast"/>
        <w:ind w:firstLine="0"/>
      </w:pPr>
    </w:p>
    <w:p w14:paraId="4DE8194B" w14:textId="071EAF71" w:rsidR="00FF2510" w:rsidRPr="00D43A1A" w:rsidRDefault="001F7670" w:rsidP="001F043C">
      <w:pPr>
        <w:tabs>
          <w:tab w:val="left" w:pos="567"/>
          <w:tab w:val="left" w:pos="1701"/>
        </w:tabs>
        <w:spacing w:line="240" w:lineRule="atLeast"/>
        <w:ind w:firstLine="0"/>
      </w:pPr>
      <w:r w:rsidRPr="001F043C">
        <w:t>6.</w:t>
      </w:r>
      <w:r w:rsidRPr="001F043C">
        <w:tab/>
        <w:t>Die Absätze 9.1.0.40.2.16, 9.3.1.40.2.16, 9.3.2.40.2.16</w:t>
      </w:r>
      <w:r w:rsidRPr="00D43A1A">
        <w:t>, 9.3.3.40.</w:t>
      </w:r>
      <w:r w:rsidR="00453A3F" w:rsidRPr="00D43A1A">
        <w:t xml:space="preserve">2.16 </w:t>
      </w:r>
      <w:r w:rsidRPr="00D43A1A">
        <w:t>ADN erhalten folgende Fassung:</w:t>
      </w:r>
    </w:p>
    <w:p w14:paraId="27795E66" w14:textId="4DC00B72" w:rsidR="00453A3F" w:rsidRPr="00D43A1A" w:rsidRDefault="00453A3F" w:rsidP="001F043C">
      <w:pPr>
        <w:tabs>
          <w:tab w:val="left" w:pos="567"/>
        </w:tabs>
        <w:spacing w:line="240" w:lineRule="atLeast"/>
        <w:ind w:firstLine="0"/>
      </w:pPr>
    </w:p>
    <w:p w14:paraId="783B0C96" w14:textId="5F81B174" w:rsidR="00453A3F" w:rsidRPr="00D43A1A" w:rsidRDefault="00257EEB" w:rsidP="006A0A95">
      <w:pPr>
        <w:tabs>
          <w:tab w:val="left" w:pos="567"/>
        </w:tabs>
        <w:spacing w:line="240" w:lineRule="atLeast"/>
        <w:ind w:left="1701" w:firstLine="0"/>
        <w:rPr>
          <w:b/>
        </w:rPr>
      </w:pPr>
      <w:r>
        <w:rPr>
          <w:b/>
        </w:rPr>
        <w:t>„</w:t>
      </w:r>
      <w:r w:rsidR="00453A3F" w:rsidRPr="00D43A1A">
        <w:rPr>
          <w:b/>
        </w:rPr>
        <w:t>Fest installierte Feuerlöschanlagen für den Objektschutz</w:t>
      </w:r>
    </w:p>
    <w:p w14:paraId="5ADC999B" w14:textId="77777777" w:rsidR="00453A3F" w:rsidRPr="00D43A1A" w:rsidRDefault="00453A3F" w:rsidP="001F043C">
      <w:pPr>
        <w:tabs>
          <w:tab w:val="left" w:pos="567"/>
        </w:tabs>
        <w:spacing w:line="240" w:lineRule="atLeast"/>
        <w:ind w:firstLine="0"/>
      </w:pPr>
    </w:p>
    <w:p w14:paraId="5B3AB82A" w14:textId="76274059" w:rsidR="00113DEE" w:rsidRPr="00D43A1A" w:rsidRDefault="00A72A85" w:rsidP="007E36B5">
      <w:pPr>
        <w:tabs>
          <w:tab w:val="left" w:pos="567"/>
        </w:tabs>
        <w:spacing w:line="240" w:lineRule="atLeast"/>
        <w:ind w:left="1701" w:firstLine="0"/>
      </w:pPr>
      <w:r w:rsidRPr="00D43A1A">
        <w:t>Fest installierte Feuerlösch</w:t>
      </w:r>
      <w:r w:rsidR="006C3B18" w:rsidRPr="00D43A1A">
        <w:t>anlagen</w:t>
      </w:r>
      <w:r w:rsidRPr="00D43A1A">
        <w:t xml:space="preserve"> für den Objektschutz</w:t>
      </w:r>
      <w:r w:rsidR="001F7670" w:rsidRPr="00D43A1A">
        <w:t xml:space="preserve"> </w:t>
      </w:r>
      <w:r w:rsidRPr="00D43A1A">
        <w:t>dürfen für den Schutz von Anlagen und Einrichtungen verwendet werden</w:t>
      </w:r>
      <w:r w:rsidR="001F7670" w:rsidRPr="00D43A1A">
        <w:t xml:space="preserve">, wenn </w:t>
      </w:r>
      <w:r w:rsidR="00113DEE" w:rsidRPr="00D43A1A">
        <w:t>sie</w:t>
      </w:r>
      <w:r w:rsidR="001F7670" w:rsidRPr="00D43A1A">
        <w:t xml:space="preserve"> den Anforderungen des Artikels 13.06 des Europäischen Standards der technischen Vorschriften für Binnenschiffe (ES-TRIN) in der jeweils geltenden Fassung</w:t>
      </w:r>
      <w:r w:rsidR="00113DEE" w:rsidRPr="00D43A1A">
        <w:t>*</w:t>
      </w:r>
      <w:r w:rsidR="001F7670" w:rsidRPr="00D43A1A">
        <w:t xml:space="preserve"> entsprechen.“</w:t>
      </w:r>
      <w:r w:rsidRPr="00D43A1A">
        <w:t>.</w:t>
      </w:r>
    </w:p>
    <w:p w14:paraId="76B807E2" w14:textId="77777777" w:rsidR="00113DEE" w:rsidRPr="00D43A1A" w:rsidRDefault="00113DEE" w:rsidP="007E36B5">
      <w:pPr>
        <w:tabs>
          <w:tab w:val="left" w:pos="567"/>
        </w:tabs>
        <w:spacing w:line="240" w:lineRule="atLeast"/>
        <w:ind w:left="1701" w:firstLine="0"/>
      </w:pPr>
    </w:p>
    <w:p w14:paraId="0D136722" w14:textId="0D8188FC" w:rsidR="001F7670" w:rsidRPr="00D43A1A" w:rsidRDefault="00113DEE" w:rsidP="007E36B5">
      <w:pPr>
        <w:tabs>
          <w:tab w:val="left" w:pos="567"/>
        </w:tabs>
        <w:spacing w:line="240" w:lineRule="atLeast"/>
        <w:ind w:left="1701" w:firstLine="0"/>
      </w:pPr>
      <w:r w:rsidRPr="00D43A1A">
        <w:t xml:space="preserve">„* </w:t>
      </w:r>
      <w:proofErr w:type="gramStart"/>
      <w:r w:rsidRPr="00D43A1A">
        <w:t>Erhältlich</w:t>
      </w:r>
      <w:proofErr w:type="gramEnd"/>
      <w:r w:rsidRPr="00D43A1A">
        <w:t xml:space="preserve"> auf der Website des Europäischen Ausschusses zur Ausarbeitung von Standards in der Binnenschifffahrt (CESNI), </w:t>
      </w:r>
      <w:hyperlink r:id="rId9" w:history="1">
        <w:r w:rsidRPr="00D43A1A">
          <w:rPr>
            <w:rStyle w:val="Hyperlink"/>
            <w:rFonts w:ascii="Times New Roman" w:hAnsi="Times New Roman" w:cs="Times New Roman"/>
            <w:sz w:val="20"/>
            <w:shd w:val="clear" w:color="auto" w:fill="FFFFFF"/>
          </w:rPr>
          <w:t>https://www.cesni.eu/de/documents/es-trin/</w:t>
        </w:r>
      </w:hyperlink>
      <w:r w:rsidRPr="00D43A1A">
        <w:rPr>
          <w:rStyle w:val="Hyperlink"/>
          <w:rFonts w:ascii="Times New Roman" w:hAnsi="Times New Roman" w:cs="Times New Roman"/>
          <w:sz w:val="20"/>
          <w:shd w:val="clear" w:color="auto" w:fill="FFFFFF"/>
        </w:rPr>
        <w:t>.</w:t>
      </w:r>
      <w:r w:rsidRPr="00D43A1A">
        <w:t>“</w:t>
      </w:r>
    </w:p>
    <w:p w14:paraId="3C684AE9" w14:textId="77777777" w:rsidR="00A72A85" w:rsidRPr="00D43A1A" w:rsidRDefault="00A72A85" w:rsidP="001F043C">
      <w:pPr>
        <w:tabs>
          <w:tab w:val="left" w:pos="567"/>
        </w:tabs>
        <w:spacing w:line="240" w:lineRule="atLeast"/>
        <w:ind w:firstLine="0"/>
      </w:pPr>
    </w:p>
    <w:p w14:paraId="080E9208" w14:textId="77777777" w:rsidR="00F60BAE" w:rsidRPr="001F043C" w:rsidRDefault="00F60BAE" w:rsidP="001F043C">
      <w:pPr>
        <w:tabs>
          <w:tab w:val="left" w:pos="567"/>
        </w:tabs>
        <w:spacing w:line="240" w:lineRule="atLeast"/>
        <w:ind w:firstLine="0"/>
      </w:pPr>
      <w:r w:rsidRPr="00D43A1A">
        <w:t>oder</w:t>
      </w:r>
    </w:p>
    <w:p w14:paraId="3204F807" w14:textId="77777777" w:rsidR="00113DEE" w:rsidRPr="001F043C" w:rsidRDefault="00113DEE" w:rsidP="001F043C">
      <w:pPr>
        <w:tabs>
          <w:tab w:val="left" w:pos="567"/>
        </w:tabs>
        <w:spacing w:line="240" w:lineRule="atLeast"/>
        <w:ind w:firstLine="0"/>
      </w:pPr>
    </w:p>
    <w:p w14:paraId="054AD64D" w14:textId="3D70D6DB" w:rsidR="00453A3F" w:rsidRPr="001F043C" w:rsidRDefault="008A40AB" w:rsidP="006A0A95">
      <w:pPr>
        <w:tabs>
          <w:tab w:val="left" w:pos="567"/>
        </w:tabs>
        <w:spacing w:line="240" w:lineRule="atLeast"/>
        <w:ind w:left="1701" w:firstLine="0"/>
        <w:rPr>
          <w:b/>
        </w:rPr>
      </w:pPr>
      <w:bookmarkStart w:id="2" w:name="_Hlk85442873"/>
      <w:r>
        <w:t>„</w:t>
      </w:r>
      <w:r w:rsidR="00453A3F" w:rsidRPr="00D43A1A">
        <w:rPr>
          <w:b/>
        </w:rPr>
        <w:t xml:space="preserve">Fest installierte Feuerlöschanlagen </w:t>
      </w:r>
      <w:bookmarkStart w:id="3" w:name="_Hlk84330573"/>
      <w:r w:rsidR="00453A3F" w:rsidRPr="00D43A1A">
        <w:rPr>
          <w:b/>
        </w:rPr>
        <w:t>für den Objektschutz</w:t>
      </w:r>
      <w:bookmarkEnd w:id="3"/>
    </w:p>
    <w:p w14:paraId="2C9EA501" w14:textId="230BED10" w:rsidR="00453A3F" w:rsidRDefault="00453A3F" w:rsidP="001F043C">
      <w:pPr>
        <w:tabs>
          <w:tab w:val="left" w:pos="567"/>
          <w:tab w:val="left" w:pos="1701"/>
        </w:tabs>
        <w:spacing w:line="240" w:lineRule="atLeast"/>
        <w:ind w:left="1701" w:hanging="567"/>
      </w:pPr>
    </w:p>
    <w:p w14:paraId="03ABE416" w14:textId="0C5ED1AE" w:rsidR="00113DEE" w:rsidRPr="001F043C" w:rsidRDefault="00113DEE" w:rsidP="007E36B5">
      <w:pPr>
        <w:tabs>
          <w:tab w:val="left" w:pos="567"/>
        </w:tabs>
        <w:spacing w:line="240" w:lineRule="atLeast"/>
        <w:ind w:left="2268" w:hanging="567"/>
      </w:pPr>
      <w:r w:rsidRPr="001F043C">
        <w:t>a)</w:t>
      </w:r>
      <w:r w:rsidRPr="001F043C">
        <w:tab/>
        <w:t>Fest installierte Feuerlöschanlagen für den Objektschutz dürfen für den Schutz von Anlagen und Einrichtungen verwendet werden.</w:t>
      </w:r>
    </w:p>
    <w:p w14:paraId="7459D4AA" w14:textId="77777777" w:rsidR="00113DEE" w:rsidRPr="001F043C" w:rsidRDefault="00113DEE" w:rsidP="007E36B5">
      <w:pPr>
        <w:tabs>
          <w:tab w:val="left" w:pos="567"/>
        </w:tabs>
        <w:spacing w:line="240" w:lineRule="atLeast"/>
        <w:ind w:left="2268" w:firstLine="0"/>
      </w:pPr>
    </w:p>
    <w:p w14:paraId="35407233" w14:textId="1E541569" w:rsidR="00113DEE" w:rsidRPr="006B0E00" w:rsidRDefault="00113DEE" w:rsidP="007E36B5">
      <w:pPr>
        <w:tabs>
          <w:tab w:val="left" w:pos="567"/>
        </w:tabs>
        <w:spacing w:line="240" w:lineRule="atLeast"/>
        <w:ind w:left="2268" w:firstLine="0"/>
      </w:pPr>
      <w:r w:rsidRPr="006B0E00">
        <w:t>Die Wirkung der Feuerlöschanlagen muss unmittelbar auf die zu schützenden Objekte ausgerichtet sein. Der Wirkungsbereich der Feuerlöschanlagen kann durch bauliche Maßnahmen räumlich begrenzt sein.</w:t>
      </w:r>
    </w:p>
    <w:p w14:paraId="0469CC7F" w14:textId="77777777" w:rsidR="00113DEE" w:rsidRPr="006B0E00" w:rsidRDefault="00113DEE" w:rsidP="007E36B5">
      <w:pPr>
        <w:tabs>
          <w:tab w:val="left" w:pos="567"/>
        </w:tabs>
        <w:spacing w:line="240" w:lineRule="atLeast"/>
        <w:ind w:left="2268" w:firstLine="0"/>
      </w:pPr>
    </w:p>
    <w:p w14:paraId="69D6DFED" w14:textId="5CCCEF4B" w:rsidR="00113DEE" w:rsidRPr="006B0E00" w:rsidRDefault="00113DEE" w:rsidP="007E36B5">
      <w:pPr>
        <w:tabs>
          <w:tab w:val="left" w:pos="567"/>
        </w:tabs>
        <w:spacing w:line="240" w:lineRule="atLeast"/>
        <w:ind w:left="2268" w:firstLine="0"/>
      </w:pPr>
      <w:r w:rsidRPr="006B0E00">
        <w:t>Feuerlöschanlagen für den Objektschutz können bereits in die jeweiligen Objekte baulich integriert sein.</w:t>
      </w:r>
    </w:p>
    <w:p w14:paraId="73598559" w14:textId="77777777" w:rsidR="00113DEE" w:rsidRPr="006B0E00" w:rsidRDefault="00113DEE" w:rsidP="007E36B5">
      <w:pPr>
        <w:tabs>
          <w:tab w:val="left" w:pos="567"/>
        </w:tabs>
        <w:spacing w:line="240" w:lineRule="atLeast"/>
        <w:ind w:left="2268" w:firstLine="0"/>
      </w:pPr>
    </w:p>
    <w:p w14:paraId="4C5DAA02" w14:textId="77777777" w:rsidR="00113DEE" w:rsidRPr="006B0E00" w:rsidRDefault="00113DEE" w:rsidP="007E36B5">
      <w:pPr>
        <w:tabs>
          <w:tab w:val="left" w:pos="567"/>
        </w:tabs>
        <w:spacing w:line="240" w:lineRule="atLeast"/>
        <w:ind w:left="2268" w:firstLine="0"/>
      </w:pPr>
      <w:bookmarkStart w:id="4" w:name="_Hlk64612817"/>
      <w:r w:rsidRPr="006B0E00">
        <w:t>Fest installierte Feuerlöschanlagen für den Objektschutz müssen hinsichtlich ihrer Beschickung mit Löschmittel von Anlagen nach den Absätzen 9.x.x.40.2.2 bis 9.x.x.40.2.16 unabhängig sein.</w:t>
      </w:r>
      <w:bookmarkEnd w:id="4"/>
    </w:p>
    <w:p w14:paraId="404FE02D" w14:textId="77777777" w:rsidR="00113DEE" w:rsidRPr="006B0E00" w:rsidRDefault="00113DEE" w:rsidP="007E36B5">
      <w:pPr>
        <w:tabs>
          <w:tab w:val="left" w:pos="567"/>
        </w:tabs>
        <w:spacing w:line="240" w:lineRule="atLeast"/>
        <w:ind w:left="2268" w:firstLine="0"/>
      </w:pPr>
    </w:p>
    <w:p w14:paraId="5357E2D5" w14:textId="58693054" w:rsidR="00113DEE" w:rsidRPr="006B0E00" w:rsidRDefault="00113DEE" w:rsidP="007E36B5">
      <w:pPr>
        <w:tabs>
          <w:tab w:val="left" w:pos="567"/>
        </w:tabs>
        <w:spacing w:line="240" w:lineRule="atLeast"/>
        <w:ind w:left="2268" w:hanging="567"/>
      </w:pPr>
      <w:r w:rsidRPr="006B0E00">
        <w:t>b)</w:t>
      </w:r>
      <w:r w:rsidRPr="006B0E00">
        <w:tab/>
      </w:r>
      <w:bookmarkStart w:id="5" w:name="_Hlk63689545"/>
      <w:r w:rsidRPr="006B0E00">
        <w:t xml:space="preserve">Die folgenden Anforderungen gelten für </w:t>
      </w:r>
      <w:bookmarkEnd w:id="5"/>
      <w:r w:rsidR="00535E11">
        <w:t>fest</w:t>
      </w:r>
      <w:r w:rsidR="004C6C87">
        <w:t xml:space="preserve"> </w:t>
      </w:r>
      <w:r w:rsidR="00535E11">
        <w:t xml:space="preserve">installierte </w:t>
      </w:r>
      <w:r w:rsidRPr="006B0E00">
        <w:t xml:space="preserve">Feuerlöschanlagen für den Objektschutz </w:t>
      </w:r>
    </w:p>
    <w:p w14:paraId="6DA5DFF7" w14:textId="7CD1BC0A" w:rsidR="00113DEE" w:rsidRPr="001F043C" w:rsidRDefault="00113DEE" w:rsidP="007E36B5">
      <w:pPr>
        <w:tabs>
          <w:tab w:val="left" w:pos="2694"/>
        </w:tabs>
        <w:spacing w:before="60" w:line="240" w:lineRule="atLeast"/>
        <w:ind w:left="2694" w:hanging="426"/>
      </w:pPr>
      <w:r w:rsidRPr="006B0E00">
        <w:t>i)</w:t>
      </w:r>
      <w:r w:rsidRPr="006B0E00">
        <w:tab/>
        <w:t>Absatz 9.x.x.40.2.2, wenn das eingesetzte Löschmittel eine Einschränkung des Wirkungsbereichs durch bauliche Maßnahmen erfordert;</w:t>
      </w:r>
    </w:p>
    <w:p w14:paraId="0F8DF7BA" w14:textId="77777777" w:rsidR="00113DEE" w:rsidRPr="001F043C" w:rsidRDefault="00113DEE" w:rsidP="007E36B5">
      <w:pPr>
        <w:tabs>
          <w:tab w:val="left" w:pos="2694"/>
        </w:tabs>
        <w:spacing w:before="60" w:line="240" w:lineRule="atLeast"/>
        <w:ind w:left="2694" w:hanging="426"/>
      </w:pPr>
      <w:r w:rsidRPr="001F043C">
        <w:t>ii)</w:t>
      </w:r>
      <w:r w:rsidRPr="001F043C">
        <w:tab/>
        <w:t>Absatz 9.x.x.40.2.3 und Absatz 9.x.x.40.2.4;</w:t>
      </w:r>
    </w:p>
    <w:p w14:paraId="54654AC0" w14:textId="48F157D7" w:rsidR="00113DEE" w:rsidRPr="001F043C" w:rsidRDefault="00113DEE" w:rsidP="007E36B5">
      <w:pPr>
        <w:tabs>
          <w:tab w:val="left" w:pos="2694"/>
        </w:tabs>
        <w:spacing w:before="60" w:line="240" w:lineRule="atLeast"/>
        <w:ind w:left="2694" w:hanging="426"/>
      </w:pPr>
      <w:r w:rsidRPr="001F043C">
        <w:t>iii)</w:t>
      </w:r>
      <w:r w:rsidRPr="001F043C">
        <w:tab/>
      </w:r>
      <w:bookmarkStart w:id="6" w:name="_Hlk64613697"/>
      <w:r w:rsidRPr="001F043C">
        <w:t xml:space="preserve">Absatz 9.x.x.40.2.5 Buchstaben b bis c, zusätzlich zu den Bestimmungen von </w:t>
      </w:r>
      <w:r w:rsidR="006B0E00">
        <w:t>Buchstabe c)</w:t>
      </w:r>
      <w:r w:rsidRPr="001F043C">
        <w:t xml:space="preserve"> dieses Absatzes;</w:t>
      </w:r>
      <w:bookmarkEnd w:id="6"/>
    </w:p>
    <w:p w14:paraId="4CF179B9" w14:textId="0114BFE4" w:rsidR="00113DEE" w:rsidRPr="001F043C" w:rsidRDefault="00113DEE" w:rsidP="007E36B5">
      <w:pPr>
        <w:tabs>
          <w:tab w:val="left" w:pos="2694"/>
        </w:tabs>
        <w:spacing w:before="60" w:line="240" w:lineRule="atLeast"/>
        <w:ind w:left="2694" w:hanging="426"/>
      </w:pPr>
      <w:r w:rsidRPr="001F043C">
        <w:t>iv)</w:t>
      </w:r>
      <w:r w:rsidR="001F043C">
        <w:tab/>
      </w:r>
      <w:r w:rsidRPr="001F043C">
        <w:t xml:space="preserve">Absatz 9.x.x.40.2.6 Buchstabe a bis e, und an jedem Eingang eines Raums oder in direkter Nähe zu einem eingeschlossenen Objekt muss deutlich sichtbar ein geeigneter Hinweis auf die Feuerlöschanlage für den Objektschutz angebracht sein; </w:t>
      </w:r>
    </w:p>
    <w:p w14:paraId="66D77D1B" w14:textId="77777777" w:rsidR="00113DEE" w:rsidRPr="001F043C" w:rsidRDefault="00113DEE" w:rsidP="007E36B5">
      <w:pPr>
        <w:tabs>
          <w:tab w:val="left" w:pos="2694"/>
        </w:tabs>
        <w:spacing w:before="60" w:line="240" w:lineRule="atLeast"/>
        <w:ind w:left="2694" w:hanging="426"/>
      </w:pPr>
      <w:r w:rsidRPr="001F043C">
        <w:t>v)</w:t>
      </w:r>
      <w:r w:rsidRPr="001F043C">
        <w:tab/>
        <w:t>Absatz 9.x.x.40.2.7 bis Absatz 9.x.x.40.2.13;</w:t>
      </w:r>
    </w:p>
    <w:p w14:paraId="73E758E9" w14:textId="1D9C2547" w:rsidR="00113DEE" w:rsidRPr="001F043C" w:rsidRDefault="00113DEE" w:rsidP="007E36B5">
      <w:pPr>
        <w:tabs>
          <w:tab w:val="left" w:pos="2694"/>
        </w:tabs>
        <w:spacing w:before="60" w:line="240" w:lineRule="atLeast"/>
        <w:ind w:left="2694" w:hanging="426"/>
      </w:pPr>
      <w:r w:rsidRPr="001F043C">
        <w:lastRenderedPageBreak/>
        <w:t xml:space="preserve">vi) </w:t>
      </w:r>
      <w:r w:rsidR="001F043C">
        <w:tab/>
      </w:r>
      <w:r w:rsidRPr="001F043C">
        <w:t>Absatz 9.x.x.40.2.14 Buchstabe b bis g, wobei eine Energiequelle ausreichend ist, und Buchstabe i und j;</w:t>
      </w:r>
    </w:p>
    <w:p w14:paraId="0B0A864F" w14:textId="6F53C31C" w:rsidR="00113DEE" w:rsidRPr="001F043C" w:rsidRDefault="00113DEE" w:rsidP="007E36B5">
      <w:pPr>
        <w:tabs>
          <w:tab w:val="left" w:pos="2694"/>
        </w:tabs>
        <w:spacing w:before="60" w:line="240" w:lineRule="atLeast"/>
        <w:ind w:left="2694" w:hanging="426"/>
        <w:rPr>
          <w:highlight w:val="lightGray"/>
        </w:rPr>
      </w:pPr>
      <w:r w:rsidRPr="001F043C">
        <w:t>vii)</w:t>
      </w:r>
      <w:r w:rsidR="001F043C">
        <w:tab/>
      </w:r>
      <w:r w:rsidRPr="001F043C">
        <w:t>Absatz 9.x.x.40.2.15 Buchstabe b bis e.</w:t>
      </w:r>
    </w:p>
    <w:p w14:paraId="7FF7C4B8" w14:textId="585B4CF7" w:rsidR="00257EEB" w:rsidRDefault="00257EEB">
      <w:pPr>
        <w:widowControl/>
        <w:overflowPunct/>
        <w:autoSpaceDE/>
        <w:autoSpaceDN/>
        <w:adjustRightInd/>
        <w:ind w:left="0" w:firstLine="0"/>
        <w:jc w:val="left"/>
        <w:textAlignment w:val="auto"/>
      </w:pPr>
    </w:p>
    <w:p w14:paraId="2DCF407E" w14:textId="3D27CA3B" w:rsidR="00113DEE" w:rsidRPr="001F043C" w:rsidRDefault="007E36B5" w:rsidP="007E36B5">
      <w:pPr>
        <w:tabs>
          <w:tab w:val="left" w:pos="567"/>
        </w:tabs>
        <w:spacing w:line="240" w:lineRule="atLeast"/>
        <w:ind w:left="2268" w:hanging="567"/>
      </w:pPr>
      <w:r>
        <w:tab/>
      </w:r>
      <w:r w:rsidR="00113DEE" w:rsidRPr="001F043C">
        <w:t xml:space="preserve">In Feuerlöschanlagen für den Objektschutz dürfen nur Löschmittel verwendet werden, die zum Löschen eines Brandes am oder im zu schützenden Objekt geeignet sind und welche im Absatz 9.x.x.40.2.1 aufgeführt sind. </w:t>
      </w:r>
    </w:p>
    <w:p w14:paraId="02E9F9AB" w14:textId="77777777" w:rsidR="00113DEE" w:rsidRPr="001F043C" w:rsidRDefault="00113DEE" w:rsidP="007E36B5">
      <w:pPr>
        <w:tabs>
          <w:tab w:val="left" w:pos="567"/>
        </w:tabs>
        <w:spacing w:line="240" w:lineRule="atLeast"/>
        <w:ind w:left="2268" w:hanging="567"/>
      </w:pPr>
    </w:p>
    <w:p w14:paraId="158A1474" w14:textId="3A860AA8" w:rsidR="00EB27FA" w:rsidRDefault="007E36B5" w:rsidP="007E36B5">
      <w:pPr>
        <w:tabs>
          <w:tab w:val="left" w:pos="567"/>
        </w:tabs>
        <w:spacing w:line="240" w:lineRule="atLeast"/>
        <w:ind w:left="2268" w:hanging="567"/>
      </w:pPr>
      <w:r>
        <w:tab/>
      </w:r>
      <w:r w:rsidR="00113DEE" w:rsidRPr="001F043C">
        <w:t>Für fest installierte Feuerlöschanlagen für den Objektschutz, die auf Basis eines Brandschutzkonzeptes beruhen, kann die zuständige Behörde Abweichungen betreffend das Löschmittel zulassen.</w:t>
      </w:r>
    </w:p>
    <w:p w14:paraId="2E8ABAF8" w14:textId="6D3F6C92" w:rsidR="001F043C" w:rsidRDefault="001F043C" w:rsidP="007E36B5">
      <w:pPr>
        <w:tabs>
          <w:tab w:val="left" w:pos="567"/>
        </w:tabs>
        <w:spacing w:line="240" w:lineRule="atLeast"/>
        <w:ind w:left="2268" w:hanging="567"/>
      </w:pPr>
    </w:p>
    <w:p w14:paraId="19F8BF66" w14:textId="0CDDA835" w:rsidR="00113DEE" w:rsidRPr="001F043C" w:rsidRDefault="00113DEE" w:rsidP="007E36B5">
      <w:pPr>
        <w:tabs>
          <w:tab w:val="left" w:pos="567"/>
        </w:tabs>
        <w:spacing w:line="240" w:lineRule="atLeast"/>
        <w:ind w:left="2268" w:hanging="567"/>
      </w:pPr>
      <w:r w:rsidRPr="001F043C">
        <w:t>c)</w:t>
      </w:r>
      <w:r w:rsidRPr="001F043C">
        <w:tab/>
        <w:t>Fest installierte Feuerlöschanlagen für den Objektschutz müssen manuell ausgelöst werden können. Die manuelle Auslösung muss in direkter Nähe des zu schützenden Objekts möglich sein. Sie können automatisch ausgelöst werden, wenn das Auslösesignal von zwei Brandmeldern unterschiedlicher Erkennungsmethode ausgelöst wird. Die Auslösung muss ohne Verzögerung erfolgen. Ist die Feuerlöschanlage zum Schutz mehrerer Objekte vorgesehen, so müssen die Auslöseeinrichtungen für jedes Objekt getrennt und deutlich gekennzeichnet sein.</w:t>
      </w:r>
    </w:p>
    <w:p w14:paraId="76D37DA6" w14:textId="77777777" w:rsidR="00113DEE" w:rsidRPr="001F043C" w:rsidRDefault="00113DEE" w:rsidP="007E36B5">
      <w:pPr>
        <w:spacing w:line="240" w:lineRule="atLeast"/>
        <w:ind w:left="2268" w:hanging="567"/>
        <w:rPr>
          <w:highlight w:val="lightGray"/>
        </w:rPr>
      </w:pPr>
    </w:p>
    <w:p w14:paraId="2A884217" w14:textId="405A4FA8" w:rsidR="00113DEE" w:rsidRPr="001F043C" w:rsidRDefault="001F043C" w:rsidP="007E36B5">
      <w:pPr>
        <w:tabs>
          <w:tab w:val="left" w:pos="567"/>
        </w:tabs>
        <w:spacing w:line="240" w:lineRule="atLeast"/>
        <w:ind w:left="2268" w:hanging="567"/>
      </w:pPr>
      <w:r>
        <w:tab/>
      </w:r>
      <w:r w:rsidR="00113DEE" w:rsidRPr="001F043C">
        <w:t xml:space="preserve">Die Auslösung der Feuerlöschanlage muss im Steuerhaus und am Eingang des Raums, in dem sich das zu schützende Objekt befindet, angezeigt werden. Bei umschlossenen Objekten kann die Anzeige am Eingang des Raums entfallen, wenn eine Anzeige am Objekt selbst angebracht ist. </w:t>
      </w:r>
    </w:p>
    <w:p w14:paraId="485C3EB4" w14:textId="77777777" w:rsidR="00113DEE" w:rsidRPr="001F043C" w:rsidRDefault="00113DEE" w:rsidP="007E36B5">
      <w:pPr>
        <w:tabs>
          <w:tab w:val="left" w:pos="567"/>
        </w:tabs>
        <w:spacing w:line="240" w:lineRule="atLeast"/>
        <w:ind w:left="2268" w:hanging="567"/>
      </w:pPr>
    </w:p>
    <w:p w14:paraId="15DE4AC5" w14:textId="63AEBC31" w:rsidR="00113DEE" w:rsidRPr="001F043C" w:rsidRDefault="001F043C" w:rsidP="007E36B5">
      <w:pPr>
        <w:tabs>
          <w:tab w:val="left" w:pos="567"/>
        </w:tabs>
        <w:spacing w:line="240" w:lineRule="atLeast"/>
        <w:ind w:left="2268" w:hanging="567"/>
      </w:pPr>
      <w:r>
        <w:tab/>
      </w:r>
      <w:r w:rsidR="00113DEE" w:rsidRPr="001F043C">
        <w:t>Für die manuelle Auslösung muss bei jeder Auslöseeinrichtung eine Bedienungsanweisung gemäß Absatz 9.x.x.40.2.5 Buchstabe e angebracht sein, unter Berücksichtigung der Position und der Beschaffenheit des Objekts.</w:t>
      </w:r>
    </w:p>
    <w:p w14:paraId="0BE73712" w14:textId="77777777" w:rsidR="00113DEE" w:rsidRPr="001F043C" w:rsidRDefault="00113DEE" w:rsidP="007E36B5">
      <w:pPr>
        <w:tabs>
          <w:tab w:val="left" w:pos="567"/>
        </w:tabs>
        <w:spacing w:line="240" w:lineRule="atLeast"/>
        <w:ind w:left="2268" w:hanging="567"/>
      </w:pPr>
    </w:p>
    <w:p w14:paraId="4038564D" w14:textId="77777777" w:rsidR="00113DEE" w:rsidRPr="001F043C" w:rsidRDefault="00113DEE" w:rsidP="007E36B5">
      <w:pPr>
        <w:spacing w:line="240" w:lineRule="atLeast"/>
        <w:ind w:left="2268" w:hanging="567"/>
      </w:pPr>
      <w:r w:rsidRPr="001F043C">
        <w:t>d)</w:t>
      </w:r>
      <w:r w:rsidRPr="001F043C">
        <w:tab/>
        <w:t>Im Schiffszeugnis sind der Typ und der Aufstellungsort fest installierter Feuerlöschanlagen für den Objektschutz einzutragen.</w:t>
      </w:r>
    </w:p>
    <w:p w14:paraId="4C539A9E" w14:textId="77777777" w:rsidR="00113DEE" w:rsidRPr="001F043C" w:rsidRDefault="00113DEE" w:rsidP="007E36B5">
      <w:pPr>
        <w:spacing w:line="240" w:lineRule="atLeast"/>
        <w:ind w:left="2268" w:hanging="567"/>
        <w:rPr>
          <w:highlight w:val="lightGray"/>
        </w:rPr>
      </w:pPr>
    </w:p>
    <w:p w14:paraId="3E5F86A6" w14:textId="3FDA8F5C" w:rsidR="00113DEE" w:rsidRPr="001F043C" w:rsidDel="00076216" w:rsidRDefault="00113DEE" w:rsidP="007E36B5">
      <w:pPr>
        <w:spacing w:line="240" w:lineRule="atLeast"/>
        <w:ind w:left="2268" w:hanging="567"/>
      </w:pPr>
      <w:r w:rsidRPr="001F043C">
        <w:t>e)</w:t>
      </w:r>
      <w:r w:rsidRPr="001F043C">
        <w:tab/>
        <w:t xml:space="preserve">Die Bestimmungen dieses </w:t>
      </w:r>
      <w:r w:rsidR="00D43A1A">
        <w:t>Absatzes</w:t>
      </w:r>
      <w:r w:rsidR="00D43A1A" w:rsidRPr="001F043C">
        <w:t xml:space="preserve"> </w:t>
      </w:r>
      <w:r w:rsidRPr="001F043C">
        <w:t>gelten nicht für Berieselungsanlagen gemäß Unterabschnitt 9.3.1.28, 9.3.2.28 und 9.3.3.28 ADN.</w:t>
      </w:r>
      <w:r w:rsidR="00472D9F">
        <w:t>“</w:t>
      </w:r>
      <w:r w:rsidRPr="001F043C">
        <w:t>.</w:t>
      </w:r>
    </w:p>
    <w:p w14:paraId="0C0BD133" w14:textId="77777777" w:rsidR="00113DEE" w:rsidRPr="001F043C" w:rsidRDefault="00113DEE" w:rsidP="001F043C">
      <w:pPr>
        <w:tabs>
          <w:tab w:val="left" w:pos="567"/>
        </w:tabs>
        <w:spacing w:line="240" w:lineRule="atLeast"/>
        <w:ind w:firstLine="0"/>
      </w:pPr>
    </w:p>
    <w:p w14:paraId="3C655616" w14:textId="77777777" w:rsidR="001F7670" w:rsidRPr="001F043C" w:rsidRDefault="001F7670" w:rsidP="001F043C">
      <w:pPr>
        <w:tabs>
          <w:tab w:val="left" w:pos="567"/>
          <w:tab w:val="left" w:pos="1701"/>
        </w:tabs>
        <w:spacing w:line="240" w:lineRule="atLeast"/>
        <w:ind w:firstLine="0"/>
      </w:pPr>
      <w:r w:rsidRPr="001F043C">
        <w:t>7.</w:t>
      </w:r>
      <w:r w:rsidRPr="001F043C">
        <w:tab/>
        <w:t>Aufgrund des Ergebnisses der besonderen Prüfung für Lithium-Ionen-Akkumulatoren, die von der Arbeitsgruppe der nach ADN empfohlenen Klassifikationsgesellschaften durchgeführt wird, kann eine Folgeänderung erforderlich werden.</w:t>
      </w:r>
    </w:p>
    <w:p w14:paraId="16A46B8D" w14:textId="77777777" w:rsidR="009767E1" w:rsidRPr="001F043C" w:rsidRDefault="009767E1" w:rsidP="001F043C">
      <w:pPr>
        <w:tabs>
          <w:tab w:val="left" w:pos="567"/>
        </w:tabs>
        <w:spacing w:line="240" w:lineRule="atLeast"/>
        <w:ind w:firstLine="0"/>
      </w:pPr>
    </w:p>
    <w:p w14:paraId="3CBEC6BB" w14:textId="77777777" w:rsidR="001F7670" w:rsidRPr="001F043C" w:rsidRDefault="001F7670" w:rsidP="001F043C">
      <w:pPr>
        <w:tabs>
          <w:tab w:val="left" w:pos="567"/>
        </w:tabs>
        <w:spacing w:line="240" w:lineRule="atLeast"/>
        <w:ind w:firstLine="0"/>
      </w:pPr>
    </w:p>
    <w:bookmarkEnd w:id="2"/>
    <w:p w14:paraId="7DDACAD9" w14:textId="3FC15037" w:rsidR="00B041A6" w:rsidRPr="001F043C" w:rsidRDefault="00113DEE" w:rsidP="00F97A40">
      <w:pPr>
        <w:tabs>
          <w:tab w:val="left" w:pos="567"/>
          <w:tab w:val="left" w:pos="1701"/>
        </w:tabs>
        <w:spacing w:after="120" w:line="240" w:lineRule="atLeast"/>
        <w:ind w:firstLine="0"/>
        <w:rPr>
          <w:b/>
          <w:sz w:val="24"/>
          <w:szCs w:val="24"/>
        </w:rPr>
      </w:pPr>
      <w:r w:rsidRPr="001F043C">
        <w:rPr>
          <w:b/>
          <w:sz w:val="24"/>
          <w:szCs w:val="24"/>
        </w:rPr>
        <w:t>I</w:t>
      </w:r>
      <w:r w:rsidR="00C96029" w:rsidRPr="001F043C">
        <w:rPr>
          <w:b/>
          <w:sz w:val="24"/>
          <w:szCs w:val="24"/>
        </w:rPr>
        <w:t>I</w:t>
      </w:r>
      <w:r w:rsidR="00B041A6" w:rsidRPr="001F043C">
        <w:rPr>
          <w:b/>
          <w:sz w:val="24"/>
          <w:szCs w:val="24"/>
        </w:rPr>
        <w:t>.</w:t>
      </w:r>
      <w:r w:rsidR="006A0A95">
        <w:rPr>
          <w:b/>
          <w:sz w:val="24"/>
          <w:szCs w:val="24"/>
        </w:rPr>
        <w:tab/>
      </w:r>
      <w:r w:rsidR="004A0752" w:rsidRPr="001F043C">
        <w:rPr>
          <w:b/>
          <w:sz w:val="24"/>
          <w:szCs w:val="24"/>
        </w:rPr>
        <w:t>Begründung</w:t>
      </w:r>
    </w:p>
    <w:p w14:paraId="4DA4DBA5" w14:textId="77777777" w:rsidR="00B041A6" w:rsidRPr="001F043C" w:rsidRDefault="00B041A6" w:rsidP="001F043C">
      <w:pPr>
        <w:pStyle w:val="CommentText"/>
        <w:spacing w:line="240" w:lineRule="atLeast"/>
        <w:ind w:firstLine="0"/>
        <w:contextualSpacing/>
      </w:pPr>
    </w:p>
    <w:p w14:paraId="488B29AC" w14:textId="122CEAE1" w:rsidR="00113DEE" w:rsidRPr="001F043C" w:rsidRDefault="00A72A85" w:rsidP="001F043C">
      <w:pPr>
        <w:widowControl/>
        <w:tabs>
          <w:tab w:val="left" w:pos="1701"/>
        </w:tabs>
        <w:overflowPunct/>
        <w:autoSpaceDE/>
        <w:autoSpaceDN/>
        <w:adjustRightInd/>
        <w:spacing w:line="240" w:lineRule="atLeast"/>
        <w:ind w:firstLine="0"/>
        <w:contextualSpacing/>
        <w:textAlignment w:val="auto"/>
      </w:pPr>
      <w:r w:rsidRPr="001F043C">
        <w:t>8</w:t>
      </w:r>
      <w:r w:rsidR="00C96029" w:rsidRPr="001F043C">
        <w:t>.</w:t>
      </w:r>
      <w:r w:rsidR="00BB2346" w:rsidRPr="001F043C">
        <w:tab/>
      </w:r>
      <w:r w:rsidR="00113DEE" w:rsidRPr="001F043C">
        <w:t>Deutschland hält beide Möglichkeiten für geeignet</w:t>
      </w:r>
      <w:r w:rsidR="00E400BC" w:rsidRPr="001F043C">
        <w:t>:</w:t>
      </w:r>
      <w:r w:rsidR="00113DEE" w:rsidRPr="001F043C">
        <w:t xml:space="preserve"> entweder wie schon in den Absätzen 7.1.3.31 und 7.2.3.31.1 ADN </w:t>
      </w:r>
      <w:r w:rsidR="00E400BC" w:rsidRPr="001F043C">
        <w:t>nur auf den anwendbaren Artikel des ES-TRIN zu verweisen oder wie in Teil 9 bei den übrigen Vorschriften zu Feuerlöscheinrichtungen den schon in ES-TRIN vorhandenen Vorschriftentext wortgleich in das ADN zu übernehmen.</w:t>
      </w:r>
    </w:p>
    <w:p w14:paraId="1DCA986F" w14:textId="77777777" w:rsidR="00113DEE" w:rsidRPr="001F043C" w:rsidRDefault="00113DEE" w:rsidP="001F043C">
      <w:pPr>
        <w:widowControl/>
        <w:tabs>
          <w:tab w:val="left" w:pos="1701"/>
        </w:tabs>
        <w:overflowPunct/>
        <w:autoSpaceDE/>
        <w:autoSpaceDN/>
        <w:adjustRightInd/>
        <w:spacing w:line="240" w:lineRule="atLeast"/>
        <w:ind w:firstLine="0"/>
        <w:contextualSpacing/>
        <w:textAlignment w:val="auto"/>
      </w:pPr>
    </w:p>
    <w:p w14:paraId="004691DA" w14:textId="63FD6C54" w:rsidR="00B041A6" w:rsidRPr="001F043C" w:rsidRDefault="00E400BC" w:rsidP="001F043C">
      <w:pPr>
        <w:widowControl/>
        <w:tabs>
          <w:tab w:val="left" w:pos="1701"/>
        </w:tabs>
        <w:overflowPunct/>
        <w:autoSpaceDE/>
        <w:autoSpaceDN/>
        <w:adjustRightInd/>
        <w:spacing w:line="240" w:lineRule="atLeast"/>
        <w:ind w:firstLine="0"/>
        <w:contextualSpacing/>
        <w:textAlignment w:val="auto"/>
      </w:pPr>
      <w:r w:rsidRPr="001F043C">
        <w:t>9.</w:t>
      </w:r>
      <w:r w:rsidRPr="001F043C">
        <w:tab/>
        <w:t xml:space="preserve">Die Einschränkung auf „Maschinen-, Kessel- und Pumpenräume“ kann entfallen. Insbesondere </w:t>
      </w:r>
      <w:r w:rsidR="00A72A85" w:rsidRPr="001F043C">
        <w:t xml:space="preserve">werden </w:t>
      </w:r>
      <w:r w:rsidRPr="001F043C">
        <w:t xml:space="preserve">„Kesselräume“ </w:t>
      </w:r>
      <w:r w:rsidR="00A72A85" w:rsidRPr="001F043C">
        <w:t>im ADN 2021 ausschließlich in den Absätzen über die Feuerlöscheinrichtungen angesprochen. Es schein</w:t>
      </w:r>
      <w:r w:rsidR="00F60BAE" w:rsidRPr="001F043C">
        <w:t>t</w:t>
      </w:r>
      <w:r w:rsidR="00A72A85" w:rsidRPr="001F043C">
        <w:t xml:space="preserve"> sich hier um alte, aus dem ADNR übernommene Vorschriften zu handeln. Auf den heute in Betrieb befindlichen Schiffen sind keine Kesselräume (für die Dampferzeugung) mehr vorhanden.</w:t>
      </w:r>
      <w:r w:rsidRPr="001F043C">
        <w:t xml:space="preserve"> Auch sonst ist kein Grund erkennbar, warum Objekte </w:t>
      </w:r>
      <w:r w:rsidR="00676963" w:rsidRPr="001F043C">
        <w:t>außerhalb</w:t>
      </w:r>
      <w:r w:rsidRPr="001F043C">
        <w:t xml:space="preserve"> von Maschinen und Pumpenräumen </w:t>
      </w:r>
      <w:r w:rsidRPr="001F043C">
        <w:rPr>
          <w:b/>
        </w:rPr>
        <w:t>nicht</w:t>
      </w:r>
      <w:r w:rsidRPr="001F043C">
        <w:t xml:space="preserve"> mit einer Feuerlöscheinrichtung geschützt werden sollten.</w:t>
      </w:r>
    </w:p>
    <w:p w14:paraId="2E55FC2A" w14:textId="77777777" w:rsidR="006C3B18" w:rsidRPr="001F043C" w:rsidRDefault="006C3B18" w:rsidP="001F043C">
      <w:pPr>
        <w:widowControl/>
        <w:tabs>
          <w:tab w:val="left" w:pos="1701"/>
        </w:tabs>
        <w:overflowPunct/>
        <w:autoSpaceDE/>
        <w:autoSpaceDN/>
        <w:adjustRightInd/>
        <w:spacing w:line="240" w:lineRule="atLeast"/>
        <w:ind w:firstLine="0"/>
        <w:contextualSpacing/>
        <w:textAlignment w:val="auto"/>
      </w:pPr>
    </w:p>
    <w:p w14:paraId="246621F1" w14:textId="1E7BD8C6" w:rsidR="009767E1" w:rsidRPr="001F043C" w:rsidRDefault="006C3B18" w:rsidP="001F043C">
      <w:pPr>
        <w:widowControl/>
        <w:tabs>
          <w:tab w:val="left" w:pos="1701"/>
        </w:tabs>
        <w:overflowPunct/>
        <w:autoSpaceDE/>
        <w:autoSpaceDN/>
        <w:adjustRightInd/>
        <w:spacing w:line="240" w:lineRule="atLeast"/>
        <w:ind w:firstLine="0"/>
        <w:contextualSpacing/>
        <w:textAlignment w:val="auto"/>
      </w:pPr>
      <w:r w:rsidRPr="001F043C">
        <w:lastRenderedPageBreak/>
        <w:t>10.</w:t>
      </w:r>
      <w:r w:rsidRPr="001F043C">
        <w:tab/>
        <w:t>Die Überschriften werden an den Text der Überschriften im ES-TRIN angepasst. In der deutschen Übersetzung des ADN wird ebenfalls zur Anpassung an die Wortwahl im ES-TRIN „Feuerlöscheinrichtung“ durch „Feuerlöschanlage“ ersetzt.</w:t>
      </w:r>
    </w:p>
    <w:p w14:paraId="47A4F5F0" w14:textId="2A377BFD" w:rsidR="00257EEB" w:rsidRDefault="00257EEB">
      <w:pPr>
        <w:widowControl/>
        <w:overflowPunct/>
        <w:autoSpaceDE/>
        <w:autoSpaceDN/>
        <w:adjustRightInd/>
        <w:ind w:left="0" w:firstLine="0"/>
        <w:jc w:val="left"/>
        <w:textAlignment w:val="auto"/>
      </w:pPr>
    </w:p>
    <w:p w14:paraId="7D30E327" w14:textId="2067C2B2" w:rsidR="009767E1" w:rsidRPr="001F043C" w:rsidRDefault="006C3B18" w:rsidP="001F043C">
      <w:pPr>
        <w:widowControl/>
        <w:tabs>
          <w:tab w:val="left" w:pos="1701"/>
        </w:tabs>
        <w:overflowPunct/>
        <w:autoSpaceDE/>
        <w:autoSpaceDN/>
        <w:adjustRightInd/>
        <w:spacing w:line="240" w:lineRule="atLeast"/>
        <w:ind w:firstLine="0"/>
        <w:contextualSpacing/>
        <w:textAlignment w:val="auto"/>
      </w:pPr>
      <w:r w:rsidRPr="001F043C">
        <w:t>11</w:t>
      </w:r>
      <w:r w:rsidR="009767E1" w:rsidRPr="001F043C">
        <w:t>.</w:t>
      </w:r>
      <w:r w:rsidR="009767E1" w:rsidRPr="001F043C">
        <w:tab/>
      </w:r>
      <w:r w:rsidR="00E400BC" w:rsidRPr="001F043C">
        <w:t>Der allgemeine Objektschutz zur Verhinderung von Bränden an Bord der Schiffe steht</w:t>
      </w:r>
      <w:r w:rsidR="00A72A85" w:rsidRPr="001F043C">
        <w:t xml:space="preserve"> in keinem unmittelbaren </w:t>
      </w:r>
      <w:r w:rsidR="00E400BC" w:rsidRPr="001F043C">
        <w:t>Zusammenhang</w:t>
      </w:r>
      <w:r w:rsidR="00A72A85" w:rsidRPr="001F043C">
        <w:t xml:space="preserve"> mit beförderten gefährlichen Gütern, sodass hier im ADN bei </w:t>
      </w:r>
      <w:r w:rsidR="0063034E" w:rsidRPr="0063034E">
        <w:t>fest</w:t>
      </w:r>
      <w:r w:rsidR="00F04BE3">
        <w:t xml:space="preserve"> </w:t>
      </w:r>
      <w:r w:rsidR="0063034E" w:rsidRPr="0063034E">
        <w:t xml:space="preserve">installierten </w:t>
      </w:r>
      <w:r w:rsidR="00AA020D" w:rsidRPr="001F043C">
        <w:t>Feuerlöschanlagen</w:t>
      </w:r>
      <w:r w:rsidR="0063034E">
        <w:t xml:space="preserve"> für den Objektschutz </w:t>
      </w:r>
      <w:r w:rsidR="00A72A85" w:rsidRPr="001F043C">
        <w:t xml:space="preserve">gegenüber den allgemeinen Bauvorschriften </w:t>
      </w:r>
      <w:r w:rsidR="00E400BC" w:rsidRPr="001F043C">
        <w:t xml:space="preserve">des ES-TRIN </w:t>
      </w:r>
      <w:r w:rsidR="00A72A85" w:rsidRPr="001F043C">
        <w:t>keine weitergehenden Anforderungen erforderlich sind.</w:t>
      </w:r>
    </w:p>
    <w:p w14:paraId="57874FBE" w14:textId="77777777" w:rsidR="00A72A85" w:rsidRPr="001F043C" w:rsidRDefault="00A72A85" w:rsidP="001F043C">
      <w:pPr>
        <w:widowControl/>
        <w:tabs>
          <w:tab w:val="left" w:pos="1701"/>
        </w:tabs>
        <w:overflowPunct/>
        <w:autoSpaceDE/>
        <w:autoSpaceDN/>
        <w:adjustRightInd/>
        <w:spacing w:line="240" w:lineRule="atLeast"/>
        <w:ind w:firstLine="0"/>
        <w:contextualSpacing/>
        <w:textAlignment w:val="auto"/>
      </w:pPr>
    </w:p>
    <w:p w14:paraId="7D0B2089" w14:textId="77777777" w:rsidR="00A72A85" w:rsidRPr="001F043C" w:rsidRDefault="006C3B18" w:rsidP="001F043C">
      <w:pPr>
        <w:widowControl/>
        <w:tabs>
          <w:tab w:val="left" w:pos="1701"/>
        </w:tabs>
        <w:overflowPunct/>
        <w:autoSpaceDE/>
        <w:autoSpaceDN/>
        <w:adjustRightInd/>
        <w:spacing w:line="240" w:lineRule="atLeast"/>
        <w:ind w:firstLine="0"/>
        <w:contextualSpacing/>
        <w:textAlignment w:val="auto"/>
      </w:pPr>
      <w:r w:rsidRPr="001F043C">
        <w:t>12</w:t>
      </w:r>
      <w:r w:rsidR="00A72A85" w:rsidRPr="001F043C">
        <w:t>.</w:t>
      </w:r>
      <w:r w:rsidR="00A72A85" w:rsidRPr="001F043C">
        <w:tab/>
        <w:t xml:space="preserve">Die Forderung nach einer </w:t>
      </w:r>
      <w:r w:rsidR="00E400BC" w:rsidRPr="001F043C">
        <w:t xml:space="preserve">zusätzlichen </w:t>
      </w:r>
      <w:r w:rsidR="00A72A85" w:rsidRPr="001F043C">
        <w:t>Empfehlung des Verwaltungsausschusses stellt in diesem Fall für den Eigner bzw. Bauherrn eines Schiffes einen nicht erforderlichen zusätzlichen bürokratischen Aufwand dar.</w:t>
      </w:r>
    </w:p>
    <w:p w14:paraId="2EEC12EB" w14:textId="50343657" w:rsidR="00741D8D" w:rsidRDefault="00741D8D" w:rsidP="001F043C">
      <w:pPr>
        <w:widowControl/>
        <w:overflowPunct/>
        <w:autoSpaceDE/>
        <w:autoSpaceDN/>
        <w:adjustRightInd/>
        <w:spacing w:line="240" w:lineRule="atLeast"/>
        <w:ind w:firstLine="0"/>
        <w:contextualSpacing/>
        <w:textAlignment w:val="auto"/>
      </w:pPr>
    </w:p>
    <w:p w14:paraId="7E158EDA" w14:textId="77777777" w:rsidR="00EB27FA" w:rsidRPr="001F043C" w:rsidRDefault="00EB27FA" w:rsidP="001F043C">
      <w:pPr>
        <w:widowControl/>
        <w:overflowPunct/>
        <w:autoSpaceDE/>
        <w:autoSpaceDN/>
        <w:adjustRightInd/>
        <w:spacing w:line="240" w:lineRule="atLeast"/>
        <w:ind w:firstLine="0"/>
        <w:contextualSpacing/>
        <w:textAlignment w:val="auto"/>
      </w:pPr>
    </w:p>
    <w:p w14:paraId="2B4548D8" w14:textId="6B2F38A0" w:rsidR="00E400BC" w:rsidRPr="001F043C" w:rsidRDefault="00986A8A" w:rsidP="001F043C">
      <w:pPr>
        <w:tabs>
          <w:tab w:val="left" w:pos="567"/>
          <w:tab w:val="left" w:pos="1701"/>
        </w:tabs>
        <w:spacing w:line="240" w:lineRule="atLeast"/>
        <w:ind w:firstLine="0"/>
        <w:rPr>
          <w:b/>
          <w:sz w:val="24"/>
          <w:szCs w:val="24"/>
        </w:rPr>
      </w:pPr>
      <w:r>
        <w:rPr>
          <w:b/>
          <w:sz w:val="24"/>
          <w:szCs w:val="24"/>
        </w:rPr>
        <w:t>II</w:t>
      </w:r>
      <w:r w:rsidR="00E400BC" w:rsidRPr="001F043C">
        <w:rPr>
          <w:b/>
          <w:sz w:val="24"/>
          <w:szCs w:val="24"/>
        </w:rPr>
        <w:t>I.</w:t>
      </w:r>
      <w:r w:rsidR="00E400BC" w:rsidRPr="001F043C">
        <w:rPr>
          <w:b/>
          <w:sz w:val="24"/>
          <w:szCs w:val="24"/>
        </w:rPr>
        <w:tab/>
        <w:t>Sicherheit</w:t>
      </w:r>
    </w:p>
    <w:p w14:paraId="1C085645" w14:textId="77777777" w:rsidR="00E400BC" w:rsidRPr="001F043C" w:rsidRDefault="00E400BC" w:rsidP="001F043C">
      <w:pPr>
        <w:tabs>
          <w:tab w:val="left" w:pos="567"/>
          <w:tab w:val="left" w:pos="1701"/>
        </w:tabs>
        <w:spacing w:line="240" w:lineRule="atLeast"/>
        <w:ind w:firstLine="0"/>
        <w:rPr>
          <w:b/>
        </w:rPr>
      </w:pPr>
    </w:p>
    <w:p w14:paraId="06E259B4" w14:textId="77777777" w:rsidR="00E400BC" w:rsidRPr="001F043C" w:rsidRDefault="006C3B18" w:rsidP="001F043C">
      <w:pPr>
        <w:widowControl/>
        <w:tabs>
          <w:tab w:val="left" w:pos="1701"/>
        </w:tabs>
        <w:overflowPunct/>
        <w:autoSpaceDE/>
        <w:autoSpaceDN/>
        <w:adjustRightInd/>
        <w:spacing w:line="240" w:lineRule="atLeast"/>
        <w:ind w:firstLine="0"/>
        <w:contextualSpacing/>
        <w:textAlignment w:val="auto"/>
      </w:pPr>
      <w:r w:rsidRPr="001F043C">
        <w:t>13</w:t>
      </w:r>
      <w:r w:rsidR="00E400BC" w:rsidRPr="001F043C">
        <w:t>.</w:t>
      </w:r>
      <w:r w:rsidR="00E400BC" w:rsidRPr="001F043C">
        <w:tab/>
        <w:t>Die Änderung hat keinen nachteiligen Einfluss auf die Sicherheit bei der Beförderung gefährlicher Güter. Es wird nicht erwartet, dass eine gesonderte Empfehlung des Verwaltungsausschusses strengere Vorschriften als im ES-TRIN enthalten würde.</w:t>
      </w:r>
    </w:p>
    <w:p w14:paraId="3498108E" w14:textId="77777777" w:rsidR="00E400BC" w:rsidRPr="001F043C" w:rsidRDefault="00E400BC" w:rsidP="001F043C">
      <w:pPr>
        <w:tabs>
          <w:tab w:val="left" w:pos="567"/>
          <w:tab w:val="left" w:pos="1701"/>
        </w:tabs>
        <w:spacing w:line="240" w:lineRule="atLeast"/>
        <w:ind w:firstLine="0"/>
        <w:rPr>
          <w:b/>
        </w:rPr>
      </w:pPr>
    </w:p>
    <w:p w14:paraId="48BFD9F9" w14:textId="77777777" w:rsidR="006C3B18" w:rsidRPr="001F043C" w:rsidRDefault="006C3B18" w:rsidP="001F043C">
      <w:pPr>
        <w:tabs>
          <w:tab w:val="left" w:pos="567"/>
          <w:tab w:val="left" w:pos="1701"/>
        </w:tabs>
        <w:spacing w:line="240" w:lineRule="atLeast"/>
        <w:ind w:firstLine="0"/>
        <w:rPr>
          <w:b/>
        </w:rPr>
      </w:pPr>
    </w:p>
    <w:p w14:paraId="0319FCC1" w14:textId="0D9C48E4" w:rsidR="00E400BC" w:rsidRPr="001F043C" w:rsidRDefault="00986A8A" w:rsidP="001F043C">
      <w:pPr>
        <w:tabs>
          <w:tab w:val="left" w:pos="567"/>
          <w:tab w:val="left" w:pos="1701"/>
        </w:tabs>
        <w:spacing w:line="240" w:lineRule="atLeast"/>
        <w:ind w:firstLine="0"/>
        <w:rPr>
          <w:b/>
          <w:sz w:val="24"/>
          <w:szCs w:val="24"/>
        </w:rPr>
      </w:pPr>
      <w:r>
        <w:rPr>
          <w:b/>
          <w:sz w:val="24"/>
          <w:szCs w:val="24"/>
        </w:rPr>
        <w:t>I</w:t>
      </w:r>
      <w:r w:rsidR="00E400BC" w:rsidRPr="001F043C">
        <w:rPr>
          <w:b/>
          <w:sz w:val="24"/>
          <w:szCs w:val="24"/>
        </w:rPr>
        <w:t>V.</w:t>
      </w:r>
      <w:r w:rsidR="001F043C">
        <w:rPr>
          <w:b/>
          <w:sz w:val="24"/>
          <w:szCs w:val="24"/>
        </w:rPr>
        <w:tab/>
      </w:r>
      <w:r w:rsidR="00E400BC" w:rsidRPr="001F043C">
        <w:rPr>
          <w:b/>
          <w:sz w:val="24"/>
          <w:szCs w:val="24"/>
        </w:rPr>
        <w:t>Umsetzbarkeit</w:t>
      </w:r>
    </w:p>
    <w:p w14:paraId="17021CAE" w14:textId="77777777" w:rsidR="00E400BC" w:rsidRPr="001F043C" w:rsidRDefault="00E400BC" w:rsidP="001F043C">
      <w:pPr>
        <w:widowControl/>
        <w:tabs>
          <w:tab w:val="left" w:pos="1701"/>
        </w:tabs>
        <w:overflowPunct/>
        <w:autoSpaceDE/>
        <w:autoSpaceDN/>
        <w:adjustRightInd/>
        <w:spacing w:line="240" w:lineRule="atLeast"/>
        <w:ind w:firstLine="0"/>
        <w:contextualSpacing/>
        <w:textAlignment w:val="auto"/>
      </w:pPr>
    </w:p>
    <w:p w14:paraId="47130B44" w14:textId="66B67C2A" w:rsidR="00E400BC" w:rsidRPr="001F043C" w:rsidRDefault="006C3B18" w:rsidP="001F043C">
      <w:pPr>
        <w:widowControl/>
        <w:tabs>
          <w:tab w:val="left" w:pos="1701"/>
        </w:tabs>
        <w:overflowPunct/>
        <w:autoSpaceDE/>
        <w:autoSpaceDN/>
        <w:adjustRightInd/>
        <w:spacing w:line="240" w:lineRule="atLeast"/>
        <w:ind w:firstLine="0"/>
        <w:contextualSpacing/>
        <w:textAlignment w:val="auto"/>
      </w:pPr>
      <w:r w:rsidRPr="001F043C">
        <w:t>14</w:t>
      </w:r>
      <w:r w:rsidR="00E400BC" w:rsidRPr="001F043C">
        <w:t>.</w:t>
      </w:r>
      <w:r w:rsidR="00E400BC" w:rsidRPr="001F043C">
        <w:tab/>
        <w:t xml:space="preserve">Es sind keine </w:t>
      </w:r>
      <w:r w:rsidR="00E400BC" w:rsidRPr="001F043C">
        <w:rPr>
          <w:b/>
        </w:rPr>
        <w:t>verpflichtenden</w:t>
      </w:r>
      <w:r w:rsidR="00E400BC" w:rsidRPr="001F043C">
        <w:t xml:space="preserve"> Baumaßnahmen auf den Schiffen erforderlich. Die Eigner können für sich entscheiden, ob sie </w:t>
      </w:r>
      <w:r w:rsidR="004717B9">
        <w:t xml:space="preserve">fest installierte </w:t>
      </w:r>
      <w:r w:rsidR="00E400BC" w:rsidRPr="001F043C">
        <w:t>Feuerlösch</w:t>
      </w:r>
      <w:r w:rsidR="00A30250">
        <w:t>anlagen</w:t>
      </w:r>
      <w:r w:rsidR="00E400BC" w:rsidRPr="001F043C">
        <w:t xml:space="preserve"> </w:t>
      </w:r>
      <w:r w:rsidR="006B0E00">
        <w:t>für den</w:t>
      </w:r>
      <w:r w:rsidR="006B0E00" w:rsidRPr="001F043C">
        <w:t xml:space="preserve"> </w:t>
      </w:r>
      <w:r w:rsidR="00E400BC" w:rsidRPr="001F043C">
        <w:t>Objektschutz anbringen wollen oder nicht. Wenn sie sich dafür entscheiden, werden sie durch das ADN gegenüber den allgemeinen Bauvorschriften des ES-TRIN nicht zusätzlich belastet.</w:t>
      </w:r>
    </w:p>
    <w:p w14:paraId="40A40832" w14:textId="77777777" w:rsidR="00E400BC" w:rsidRPr="001F043C" w:rsidRDefault="00E400BC" w:rsidP="001F043C">
      <w:pPr>
        <w:tabs>
          <w:tab w:val="left" w:pos="567"/>
        </w:tabs>
        <w:spacing w:line="240" w:lineRule="atLeast"/>
        <w:ind w:firstLine="0"/>
        <w:rPr>
          <w:b/>
        </w:rPr>
      </w:pPr>
    </w:p>
    <w:p w14:paraId="6FDB2D7E" w14:textId="77777777" w:rsidR="00751575" w:rsidRPr="001F043C" w:rsidRDefault="00B041A6" w:rsidP="001F043C">
      <w:pPr>
        <w:tabs>
          <w:tab w:val="left" w:pos="567"/>
          <w:tab w:val="left" w:pos="1418"/>
        </w:tabs>
        <w:spacing w:line="240" w:lineRule="atLeast"/>
        <w:ind w:firstLine="0"/>
        <w:contextualSpacing/>
        <w:jc w:val="center"/>
      </w:pPr>
      <w:r w:rsidRPr="001F043C">
        <w:t>***</w:t>
      </w:r>
    </w:p>
    <w:sectPr w:rsidR="00751575" w:rsidRPr="001F043C" w:rsidSect="00596953">
      <w:headerReference w:type="even" r:id="rId10"/>
      <w:headerReference w:type="default" r:id="rId11"/>
      <w:footerReference w:type="even" r:id="rId12"/>
      <w:footerReference w:type="default" r:id="rId13"/>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71522" w14:textId="77777777" w:rsidR="00853526" w:rsidRDefault="00853526" w:rsidP="0011702A">
      <w:r>
        <w:separator/>
      </w:r>
    </w:p>
  </w:endnote>
  <w:endnote w:type="continuationSeparator" w:id="0">
    <w:p w14:paraId="109C9598" w14:textId="77777777" w:rsidR="00853526" w:rsidRDefault="00853526"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3B0B" w14:textId="183E0D89" w:rsidR="001F043C" w:rsidRDefault="001F043C" w:rsidP="001F043C">
    <w:pPr>
      <w:widowControl/>
      <w:suppressAutoHyphens/>
      <w:overflowPunct/>
      <w:autoSpaceDE/>
      <w:autoSpaceDN/>
      <w:adjustRightInd/>
      <w:ind w:left="0" w:firstLine="0"/>
      <w:jc w:val="right"/>
      <w:textAlignment w:val="auto"/>
    </w:pPr>
    <w:r>
      <w:rPr>
        <w:rFonts w:ascii="Arial" w:hAnsi="Arial"/>
        <w:noProof/>
        <w:snapToGrid w:val="0"/>
        <w:sz w:val="12"/>
        <w:szCs w:val="24"/>
        <w:lang w:val="fr-FR"/>
      </w:rPr>
      <w:t>m</w:t>
    </w:r>
    <w:r w:rsidRPr="000671E2">
      <w:rPr>
        <w:rFonts w:ascii="Arial" w:hAnsi="Arial"/>
        <w:noProof/>
        <w:snapToGrid w:val="0"/>
        <w:sz w:val="12"/>
        <w:szCs w:val="24"/>
        <w:lang w:val="fr-FR"/>
      </w:rPr>
      <w:t>m/adn_wp15_ac2_202</w:t>
    </w:r>
    <w:r>
      <w:rPr>
        <w:rFonts w:ascii="Arial" w:hAnsi="Arial"/>
        <w:noProof/>
        <w:snapToGrid w:val="0"/>
        <w:sz w:val="12"/>
        <w:szCs w:val="24"/>
        <w:lang w:val="fr-FR"/>
      </w:rPr>
      <w:t>2</w:t>
    </w:r>
    <w:r w:rsidRPr="000671E2">
      <w:rPr>
        <w:rFonts w:ascii="Arial" w:hAnsi="Arial"/>
        <w:noProof/>
        <w:snapToGrid w:val="0"/>
        <w:sz w:val="12"/>
        <w:szCs w:val="24"/>
        <w:lang w:val="fr-FR"/>
      </w:rPr>
      <w:t>_</w:t>
    </w:r>
    <w:r w:rsidR="001B34EA">
      <w:rPr>
        <w:rFonts w:ascii="Arial" w:hAnsi="Arial"/>
        <w:noProof/>
        <w:snapToGrid w:val="0"/>
        <w:sz w:val="12"/>
        <w:szCs w:val="24"/>
        <w:lang w:val="fr-FR"/>
      </w:rPr>
      <w:t>21</w:t>
    </w:r>
    <w:r w:rsidRPr="000671E2">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BA7F" w14:textId="77777777" w:rsidR="001164BC" w:rsidRDefault="001164BC" w:rsidP="001164BC">
    <w:pPr>
      <w:widowControl/>
      <w:suppressAutoHyphens/>
      <w:overflowPunct/>
      <w:autoSpaceDE/>
      <w:autoSpaceDN/>
      <w:adjustRightInd/>
      <w:ind w:left="0" w:firstLine="0"/>
      <w:jc w:val="right"/>
      <w:textAlignment w:val="auto"/>
    </w:pPr>
    <w:r>
      <w:rPr>
        <w:rFonts w:ascii="Arial" w:hAnsi="Arial"/>
        <w:noProof/>
        <w:snapToGrid w:val="0"/>
        <w:sz w:val="12"/>
        <w:szCs w:val="24"/>
        <w:lang w:val="fr-FR"/>
      </w:rPr>
      <w:t>m</w:t>
    </w:r>
    <w:r w:rsidRPr="000671E2">
      <w:rPr>
        <w:rFonts w:ascii="Arial" w:hAnsi="Arial"/>
        <w:noProof/>
        <w:snapToGrid w:val="0"/>
        <w:sz w:val="12"/>
        <w:szCs w:val="24"/>
        <w:lang w:val="fr-FR"/>
      </w:rPr>
      <w:t>m/adn_wp15_ac2_202</w:t>
    </w:r>
    <w:r>
      <w:rPr>
        <w:rFonts w:ascii="Arial" w:hAnsi="Arial"/>
        <w:noProof/>
        <w:snapToGrid w:val="0"/>
        <w:sz w:val="12"/>
        <w:szCs w:val="24"/>
        <w:lang w:val="fr-FR"/>
      </w:rPr>
      <w:t>2</w:t>
    </w:r>
    <w:r w:rsidRPr="000671E2">
      <w:rPr>
        <w:rFonts w:ascii="Arial" w:hAnsi="Arial"/>
        <w:noProof/>
        <w:snapToGrid w:val="0"/>
        <w:sz w:val="12"/>
        <w:szCs w:val="24"/>
        <w:lang w:val="fr-FR"/>
      </w:rPr>
      <w:t>_</w:t>
    </w:r>
    <w:r>
      <w:rPr>
        <w:rFonts w:ascii="Arial" w:hAnsi="Arial"/>
        <w:noProof/>
        <w:snapToGrid w:val="0"/>
        <w:sz w:val="12"/>
        <w:szCs w:val="24"/>
        <w:lang w:val="fr-FR"/>
      </w:rPr>
      <w:t>21</w:t>
    </w:r>
    <w:r w:rsidRPr="000671E2">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C5030" w14:textId="77777777" w:rsidR="00853526" w:rsidRDefault="00853526" w:rsidP="0011702A">
      <w:r>
        <w:separator/>
      </w:r>
    </w:p>
  </w:footnote>
  <w:footnote w:type="continuationSeparator" w:id="0">
    <w:p w14:paraId="6FF45D4B" w14:textId="77777777" w:rsidR="00853526" w:rsidRDefault="00853526" w:rsidP="0011702A">
      <w:r>
        <w:continuationSeparator/>
      </w:r>
    </w:p>
  </w:footnote>
  <w:footnote w:id="1">
    <w:p w14:paraId="0239013A" w14:textId="16B7518F" w:rsidR="00FE323D" w:rsidRPr="00B041A6" w:rsidRDefault="00FE323D" w:rsidP="00FE323D">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w:t>
      </w:r>
      <w:r>
        <w:rPr>
          <w:sz w:val="16"/>
          <w:szCs w:val="16"/>
        </w:rPr>
        <w:t>2022/</w:t>
      </w:r>
      <w:r w:rsidR="001B34EA">
        <w:rPr>
          <w:sz w:val="16"/>
          <w:szCs w:val="16"/>
        </w:rPr>
        <w:t>21</w:t>
      </w:r>
      <w:r w:rsidRPr="00B041A6">
        <w:rPr>
          <w:sz w:val="16"/>
          <w:szCs w:val="16"/>
        </w:rPr>
        <w:t xml:space="preserve"> verteilt.</w:t>
      </w:r>
    </w:p>
  </w:footnote>
  <w:footnote w:id="2">
    <w:p w14:paraId="5FF0BD80" w14:textId="77777777" w:rsidR="00FE323D" w:rsidRPr="00B041A6" w:rsidRDefault="00FE323D" w:rsidP="00FE323D">
      <w:pPr>
        <w:pStyle w:val="FootnoteText"/>
        <w:tabs>
          <w:tab w:val="left" w:pos="284"/>
        </w:tabs>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Pr="00066CC2">
        <w:rPr>
          <w:sz w:val="16"/>
          <w:szCs w:val="16"/>
        </w:rPr>
        <w:t>Entsprechend dem Arbeitsprogramm des Binnenverkehrsausschusses für 2021 gemäß dem Entwurf des Programmhaushalts für 2021 (A/75/6 (Kap. .20), Abs. 20.51).</w:t>
      </w:r>
    </w:p>
  </w:footnote>
  <w:footnote w:id="3">
    <w:p w14:paraId="3A3178CD" w14:textId="77777777" w:rsidR="00ED5454" w:rsidRPr="00ED5454" w:rsidRDefault="00ED5454" w:rsidP="00ED5454">
      <w:pPr>
        <w:pStyle w:val="FootnoteText"/>
        <w:tabs>
          <w:tab w:val="left" w:pos="284"/>
        </w:tabs>
        <w:rPr>
          <w:sz w:val="16"/>
          <w:szCs w:val="16"/>
          <w:lang w:val="fr-FR"/>
        </w:rPr>
      </w:pPr>
      <w:r>
        <w:rPr>
          <w:rStyle w:val="FootnoteReference"/>
        </w:rPr>
        <w:footnoteRef/>
      </w:r>
      <w:r>
        <w:t xml:space="preserve"> </w:t>
      </w:r>
      <w:r>
        <w:tab/>
      </w:r>
      <w:r w:rsidRPr="00ED5454">
        <w:rPr>
          <w:sz w:val="16"/>
          <w:szCs w:val="16"/>
        </w:rPr>
        <w:t>Dokument CESNI/PT (20) 84 rev.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6DC3" w14:textId="56E0A533" w:rsidR="00DA541A" w:rsidRPr="003C0CEA" w:rsidRDefault="00DA541A" w:rsidP="00B041A6">
    <w:pPr>
      <w:widowControl/>
      <w:suppressAutoHyphens/>
      <w:overflowPunct/>
      <w:autoSpaceDE/>
      <w:autoSpaceDN/>
      <w:adjustRightInd/>
      <w:ind w:left="0" w:firstLine="0"/>
      <w:jc w:val="left"/>
      <w:textAlignment w:val="auto"/>
      <w:rPr>
        <w:rFonts w:ascii="Arial" w:hAnsi="Arial"/>
        <w:snapToGrid w:val="0"/>
        <w:sz w:val="16"/>
        <w:szCs w:val="16"/>
        <w:lang w:val="fr-FR"/>
      </w:rPr>
    </w:pPr>
    <w:r w:rsidRPr="003C0CEA">
      <w:rPr>
        <w:rFonts w:ascii="Arial" w:hAnsi="Arial"/>
        <w:snapToGrid w:val="0"/>
        <w:sz w:val="16"/>
        <w:szCs w:val="16"/>
        <w:lang w:val="fr-FR"/>
      </w:rPr>
      <w:t>CCNR-ZKR/ADN/WP.15/AC.2/202</w:t>
    </w:r>
    <w:r w:rsidR="00FE323D">
      <w:rPr>
        <w:rFonts w:ascii="Arial" w:hAnsi="Arial"/>
        <w:snapToGrid w:val="0"/>
        <w:sz w:val="16"/>
        <w:szCs w:val="16"/>
        <w:lang w:val="fr-FR"/>
      </w:rPr>
      <w:t>2</w:t>
    </w:r>
    <w:r w:rsidRPr="003C0CEA">
      <w:rPr>
        <w:rFonts w:ascii="Arial" w:hAnsi="Arial"/>
        <w:snapToGrid w:val="0"/>
        <w:sz w:val="16"/>
        <w:szCs w:val="16"/>
        <w:lang w:val="fr-FR"/>
      </w:rPr>
      <w:t>/</w:t>
    </w:r>
    <w:r w:rsidR="001B34EA">
      <w:rPr>
        <w:rFonts w:ascii="Arial" w:hAnsi="Arial"/>
        <w:snapToGrid w:val="0"/>
        <w:sz w:val="16"/>
        <w:szCs w:val="16"/>
        <w:lang w:val="fr-FR"/>
      </w:rPr>
      <w:t>21</w:t>
    </w:r>
  </w:p>
  <w:p w14:paraId="4188C49A" w14:textId="77777777" w:rsidR="00DA541A" w:rsidRPr="00B041A6" w:rsidRDefault="00DA541A" w:rsidP="00B041A6">
    <w:pPr>
      <w:widowControl/>
      <w:suppressAutoHyphens/>
      <w:overflowPunct/>
      <w:autoSpaceDE/>
      <w:autoSpaceDN/>
      <w:adjustRightInd/>
      <w:ind w:left="0" w:firstLine="0"/>
      <w:jc w:val="left"/>
      <w:textAlignment w:val="auto"/>
      <w:rPr>
        <w:rFonts w:ascii="Arial" w:hAnsi="Arial"/>
        <w:snapToGrid w:val="0"/>
        <w:sz w:val="16"/>
        <w:szCs w:val="16"/>
      </w:rPr>
    </w:pPr>
    <w:proofErr w:type="spellStart"/>
    <w:r w:rsidRPr="00B041A6">
      <w:rPr>
        <w:rFonts w:ascii="Arial" w:hAnsi="Arial"/>
        <w:snapToGrid w:val="0"/>
        <w:sz w:val="16"/>
        <w:szCs w:val="16"/>
        <w:lang w:val="en-GB"/>
      </w:rPr>
      <w:t>Seite</w:t>
    </w:r>
    <w:proofErr w:type="spellEnd"/>
    <w:r w:rsidRPr="00B041A6">
      <w:rPr>
        <w:rFonts w:ascii="Arial" w:hAnsi="Arial"/>
        <w:snapToGrid w:val="0"/>
        <w:sz w:val="16"/>
        <w:szCs w:val="16"/>
        <w:lang w:val="en-GB"/>
      </w:rPr>
      <w:t xml:space="preserve"> </w:t>
    </w:r>
    <w:r w:rsidRPr="00B041A6">
      <w:rPr>
        <w:rFonts w:ascii="Arial" w:hAnsi="Arial"/>
        <w:snapToGrid w:val="0"/>
        <w:sz w:val="16"/>
        <w:szCs w:val="16"/>
        <w:lang w:val="en-GB"/>
      </w:rPr>
      <w:fldChar w:fldCharType="begin"/>
    </w:r>
    <w:r w:rsidRPr="00B041A6">
      <w:rPr>
        <w:rFonts w:ascii="Arial" w:hAnsi="Arial"/>
        <w:snapToGrid w:val="0"/>
        <w:sz w:val="16"/>
        <w:szCs w:val="16"/>
        <w:lang w:val="en-GB"/>
      </w:rPr>
      <w:instrText xml:space="preserve"> PAGE  \* MERGEFORMAT </w:instrText>
    </w:r>
    <w:r w:rsidRPr="00B041A6">
      <w:rPr>
        <w:rFonts w:ascii="Arial" w:hAnsi="Arial"/>
        <w:snapToGrid w:val="0"/>
        <w:sz w:val="16"/>
        <w:szCs w:val="16"/>
        <w:lang w:val="en-GB"/>
      </w:rPr>
      <w:fldChar w:fldCharType="separate"/>
    </w:r>
    <w:r w:rsidR="000C3E21" w:rsidRPr="000C3E21">
      <w:rPr>
        <w:rFonts w:ascii="Arial" w:hAnsi="Arial"/>
        <w:noProof/>
        <w:snapToGrid w:val="0"/>
        <w:sz w:val="16"/>
        <w:szCs w:val="16"/>
      </w:rPr>
      <w:t>2</w:t>
    </w:r>
    <w:r w:rsidRPr="00B041A6">
      <w:rPr>
        <w:rFonts w:ascii="Arial" w:hAnsi="Arial"/>
        <w:snapToGrid w:val="0"/>
        <w:sz w:val="16"/>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59B3" w14:textId="37AE8E40" w:rsidR="00DA541A" w:rsidRPr="003C0CEA" w:rsidRDefault="00DA541A" w:rsidP="00B041A6">
    <w:pPr>
      <w:widowControl/>
      <w:suppressAutoHyphens/>
      <w:overflowPunct/>
      <w:autoSpaceDE/>
      <w:autoSpaceDN/>
      <w:adjustRightInd/>
      <w:ind w:left="0" w:firstLine="0"/>
      <w:jc w:val="right"/>
      <w:textAlignment w:val="auto"/>
      <w:rPr>
        <w:rFonts w:ascii="Arial" w:hAnsi="Arial"/>
        <w:snapToGrid w:val="0"/>
        <w:sz w:val="16"/>
        <w:szCs w:val="16"/>
        <w:lang w:val="fr-FR"/>
      </w:rPr>
    </w:pPr>
    <w:r w:rsidRPr="003C0CEA">
      <w:rPr>
        <w:rFonts w:ascii="Arial" w:hAnsi="Arial"/>
        <w:snapToGrid w:val="0"/>
        <w:sz w:val="16"/>
        <w:szCs w:val="16"/>
        <w:lang w:val="fr-FR"/>
      </w:rPr>
      <w:t>CCNR-ZKR/ADN/WP.15/AC.2/</w:t>
    </w:r>
    <w:r w:rsidR="00FE323D">
      <w:rPr>
        <w:rFonts w:ascii="Arial" w:hAnsi="Arial"/>
        <w:snapToGrid w:val="0"/>
        <w:sz w:val="16"/>
        <w:szCs w:val="16"/>
        <w:lang w:val="fr-FR"/>
      </w:rPr>
      <w:t>2022</w:t>
    </w:r>
    <w:r w:rsidRPr="003C0CEA">
      <w:rPr>
        <w:rFonts w:ascii="Arial" w:hAnsi="Arial"/>
        <w:snapToGrid w:val="0"/>
        <w:sz w:val="16"/>
        <w:szCs w:val="16"/>
        <w:lang w:val="fr-FR"/>
      </w:rPr>
      <w:t>/</w:t>
    </w:r>
    <w:r w:rsidR="001B34EA">
      <w:rPr>
        <w:rFonts w:ascii="Arial" w:hAnsi="Arial"/>
        <w:snapToGrid w:val="0"/>
        <w:sz w:val="16"/>
        <w:szCs w:val="16"/>
        <w:lang w:val="fr-FR"/>
      </w:rPr>
      <w:t>21</w:t>
    </w:r>
  </w:p>
  <w:p w14:paraId="4F2E19B1" w14:textId="77777777" w:rsidR="00DA541A" w:rsidRPr="00B041A6" w:rsidRDefault="00DA541A" w:rsidP="00B041A6">
    <w:pPr>
      <w:widowControl/>
      <w:suppressAutoHyphens/>
      <w:overflowPunct/>
      <w:autoSpaceDE/>
      <w:autoSpaceDN/>
      <w:adjustRightInd/>
      <w:ind w:left="0" w:firstLine="0"/>
      <w:jc w:val="right"/>
      <w:textAlignment w:val="auto"/>
      <w:rPr>
        <w:rFonts w:ascii="Arial" w:hAnsi="Arial"/>
        <w:snapToGrid w:val="0"/>
        <w:sz w:val="16"/>
        <w:szCs w:val="16"/>
      </w:rPr>
    </w:pPr>
    <w:proofErr w:type="spellStart"/>
    <w:r w:rsidRPr="00B041A6">
      <w:rPr>
        <w:rFonts w:ascii="Arial" w:hAnsi="Arial"/>
        <w:snapToGrid w:val="0"/>
        <w:sz w:val="16"/>
        <w:szCs w:val="16"/>
        <w:lang w:val="en-GB"/>
      </w:rPr>
      <w:t>Seite</w:t>
    </w:r>
    <w:proofErr w:type="spellEnd"/>
    <w:r w:rsidRPr="00B041A6">
      <w:rPr>
        <w:rFonts w:ascii="Arial" w:hAnsi="Arial"/>
        <w:snapToGrid w:val="0"/>
        <w:sz w:val="16"/>
        <w:szCs w:val="16"/>
        <w:lang w:val="en-GB"/>
      </w:rPr>
      <w:t xml:space="preserve"> </w:t>
    </w:r>
    <w:r w:rsidRPr="00B041A6">
      <w:rPr>
        <w:rFonts w:ascii="Arial" w:hAnsi="Arial"/>
        <w:snapToGrid w:val="0"/>
        <w:sz w:val="16"/>
        <w:szCs w:val="16"/>
        <w:lang w:val="en-GB"/>
      </w:rPr>
      <w:fldChar w:fldCharType="begin"/>
    </w:r>
    <w:r w:rsidRPr="00B041A6">
      <w:rPr>
        <w:rFonts w:ascii="Arial" w:hAnsi="Arial"/>
        <w:snapToGrid w:val="0"/>
        <w:sz w:val="16"/>
        <w:szCs w:val="16"/>
        <w:lang w:val="en-GB"/>
      </w:rPr>
      <w:instrText xml:space="preserve"> PAGE  \* MERGEFORMAT </w:instrText>
    </w:r>
    <w:r w:rsidRPr="00B041A6">
      <w:rPr>
        <w:rFonts w:ascii="Arial" w:hAnsi="Arial"/>
        <w:snapToGrid w:val="0"/>
        <w:sz w:val="16"/>
        <w:szCs w:val="16"/>
        <w:lang w:val="en-GB"/>
      </w:rPr>
      <w:fldChar w:fldCharType="separate"/>
    </w:r>
    <w:r w:rsidR="000C3E21" w:rsidRPr="000C3E21">
      <w:rPr>
        <w:rFonts w:ascii="Arial" w:hAnsi="Arial"/>
        <w:noProof/>
        <w:snapToGrid w:val="0"/>
        <w:sz w:val="16"/>
        <w:szCs w:val="16"/>
      </w:rPr>
      <w:t>3</w:t>
    </w:r>
    <w:r w:rsidRPr="00B041A6">
      <w:rPr>
        <w:rFonts w:ascii="Arial" w:hAnsi="Arial"/>
        <w:snapToGrid w:val="0"/>
        <w:sz w:val="16"/>
        <w:szCs w:val="16"/>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D2379"/>
    <w:multiLevelType w:val="hybridMultilevel"/>
    <w:tmpl w:val="C07CEBA2"/>
    <w:lvl w:ilvl="0" w:tplc="BAAAB5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3F7E31"/>
    <w:multiLevelType w:val="hybridMultilevel"/>
    <w:tmpl w:val="5C046182"/>
    <w:lvl w:ilvl="0" w:tplc="1ACA0A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0206"/>
    <w:rsid w:val="000143A3"/>
    <w:rsid w:val="00014D4F"/>
    <w:rsid w:val="00016593"/>
    <w:rsid w:val="00017B2F"/>
    <w:rsid w:val="00025C95"/>
    <w:rsid w:val="00026176"/>
    <w:rsid w:val="0003284B"/>
    <w:rsid w:val="00034828"/>
    <w:rsid w:val="00036FD5"/>
    <w:rsid w:val="000402D6"/>
    <w:rsid w:val="00041328"/>
    <w:rsid w:val="0004134B"/>
    <w:rsid w:val="000415F3"/>
    <w:rsid w:val="00046E44"/>
    <w:rsid w:val="00047E84"/>
    <w:rsid w:val="00052E7E"/>
    <w:rsid w:val="000563D5"/>
    <w:rsid w:val="00056B10"/>
    <w:rsid w:val="0006299C"/>
    <w:rsid w:val="0007311B"/>
    <w:rsid w:val="00076F9A"/>
    <w:rsid w:val="00080275"/>
    <w:rsid w:val="00080F60"/>
    <w:rsid w:val="00090A58"/>
    <w:rsid w:val="0009215A"/>
    <w:rsid w:val="00097410"/>
    <w:rsid w:val="000A1A85"/>
    <w:rsid w:val="000A324C"/>
    <w:rsid w:val="000B3573"/>
    <w:rsid w:val="000C0CD6"/>
    <w:rsid w:val="000C108A"/>
    <w:rsid w:val="000C3DD0"/>
    <w:rsid w:val="000C3E21"/>
    <w:rsid w:val="000C4ACA"/>
    <w:rsid w:val="000C6E63"/>
    <w:rsid w:val="000C717D"/>
    <w:rsid w:val="000C72ED"/>
    <w:rsid w:val="000C754F"/>
    <w:rsid w:val="000C795B"/>
    <w:rsid w:val="000D3D4C"/>
    <w:rsid w:val="000D4406"/>
    <w:rsid w:val="000D5D27"/>
    <w:rsid w:val="000D7FD6"/>
    <w:rsid w:val="000E4620"/>
    <w:rsid w:val="000E6786"/>
    <w:rsid w:val="000F6242"/>
    <w:rsid w:val="000F79E4"/>
    <w:rsid w:val="001013D7"/>
    <w:rsid w:val="001015D4"/>
    <w:rsid w:val="00106650"/>
    <w:rsid w:val="00106FC3"/>
    <w:rsid w:val="00113A60"/>
    <w:rsid w:val="00113DEE"/>
    <w:rsid w:val="00114102"/>
    <w:rsid w:val="0011545F"/>
    <w:rsid w:val="001164BC"/>
    <w:rsid w:val="0011702A"/>
    <w:rsid w:val="00120D39"/>
    <w:rsid w:val="0012236C"/>
    <w:rsid w:val="00126AA9"/>
    <w:rsid w:val="00131CD7"/>
    <w:rsid w:val="00132CD8"/>
    <w:rsid w:val="00143354"/>
    <w:rsid w:val="0014655C"/>
    <w:rsid w:val="001515D6"/>
    <w:rsid w:val="00156782"/>
    <w:rsid w:val="00156903"/>
    <w:rsid w:val="00156ACE"/>
    <w:rsid w:val="0016040C"/>
    <w:rsid w:val="0016790C"/>
    <w:rsid w:val="001729A2"/>
    <w:rsid w:val="001735B9"/>
    <w:rsid w:val="001739E9"/>
    <w:rsid w:val="00176072"/>
    <w:rsid w:val="0017767A"/>
    <w:rsid w:val="001878DE"/>
    <w:rsid w:val="00190390"/>
    <w:rsid w:val="001A078E"/>
    <w:rsid w:val="001A791F"/>
    <w:rsid w:val="001B34EA"/>
    <w:rsid w:val="001B4F22"/>
    <w:rsid w:val="001B7B3E"/>
    <w:rsid w:val="001C0E5C"/>
    <w:rsid w:val="001C1D1B"/>
    <w:rsid w:val="001C4ED8"/>
    <w:rsid w:val="001D1B0A"/>
    <w:rsid w:val="001D34F6"/>
    <w:rsid w:val="001E4D07"/>
    <w:rsid w:val="001E515F"/>
    <w:rsid w:val="001F043C"/>
    <w:rsid w:val="001F7670"/>
    <w:rsid w:val="0020240A"/>
    <w:rsid w:val="00202E6D"/>
    <w:rsid w:val="0020337F"/>
    <w:rsid w:val="00205465"/>
    <w:rsid w:val="002132D2"/>
    <w:rsid w:val="00221D05"/>
    <w:rsid w:val="00222D57"/>
    <w:rsid w:val="00223DF9"/>
    <w:rsid w:val="00231D22"/>
    <w:rsid w:val="00235B56"/>
    <w:rsid w:val="00240203"/>
    <w:rsid w:val="002406C8"/>
    <w:rsid w:val="002421A1"/>
    <w:rsid w:val="002431F2"/>
    <w:rsid w:val="002460C4"/>
    <w:rsid w:val="002476C4"/>
    <w:rsid w:val="00250FDB"/>
    <w:rsid w:val="002546D9"/>
    <w:rsid w:val="00255192"/>
    <w:rsid w:val="00257EEB"/>
    <w:rsid w:val="0027414F"/>
    <w:rsid w:val="002748A2"/>
    <w:rsid w:val="00280779"/>
    <w:rsid w:val="00283323"/>
    <w:rsid w:val="00290B95"/>
    <w:rsid w:val="00291CB3"/>
    <w:rsid w:val="002945CA"/>
    <w:rsid w:val="002A337E"/>
    <w:rsid w:val="002A53A6"/>
    <w:rsid w:val="002B0567"/>
    <w:rsid w:val="002B3FEF"/>
    <w:rsid w:val="002B5AED"/>
    <w:rsid w:val="002C0469"/>
    <w:rsid w:val="002C1A73"/>
    <w:rsid w:val="002C742A"/>
    <w:rsid w:val="002D1BFB"/>
    <w:rsid w:val="002D4720"/>
    <w:rsid w:val="002E2DAD"/>
    <w:rsid w:val="002E3745"/>
    <w:rsid w:val="002E6A16"/>
    <w:rsid w:val="002E7227"/>
    <w:rsid w:val="002F4FC6"/>
    <w:rsid w:val="00303233"/>
    <w:rsid w:val="003033DD"/>
    <w:rsid w:val="00316D5A"/>
    <w:rsid w:val="0032045B"/>
    <w:rsid w:val="00320C5F"/>
    <w:rsid w:val="003233C8"/>
    <w:rsid w:val="00325D76"/>
    <w:rsid w:val="00326B14"/>
    <w:rsid w:val="00337284"/>
    <w:rsid w:val="00342BA1"/>
    <w:rsid w:val="003439FC"/>
    <w:rsid w:val="00344C19"/>
    <w:rsid w:val="00357412"/>
    <w:rsid w:val="00361725"/>
    <w:rsid w:val="0036362E"/>
    <w:rsid w:val="00364E68"/>
    <w:rsid w:val="003702C7"/>
    <w:rsid w:val="0038428F"/>
    <w:rsid w:val="00386A42"/>
    <w:rsid w:val="00387545"/>
    <w:rsid w:val="0039084A"/>
    <w:rsid w:val="00394763"/>
    <w:rsid w:val="00395742"/>
    <w:rsid w:val="00397E52"/>
    <w:rsid w:val="003A2337"/>
    <w:rsid w:val="003A29A8"/>
    <w:rsid w:val="003B1F08"/>
    <w:rsid w:val="003B23DA"/>
    <w:rsid w:val="003C0CEA"/>
    <w:rsid w:val="003C61C4"/>
    <w:rsid w:val="003D3605"/>
    <w:rsid w:val="003D5B9B"/>
    <w:rsid w:val="003E328C"/>
    <w:rsid w:val="003E4FC9"/>
    <w:rsid w:val="003E6E61"/>
    <w:rsid w:val="003F334D"/>
    <w:rsid w:val="00400ADD"/>
    <w:rsid w:val="00401179"/>
    <w:rsid w:val="00402559"/>
    <w:rsid w:val="0040293E"/>
    <w:rsid w:val="00405327"/>
    <w:rsid w:val="00406965"/>
    <w:rsid w:val="00410285"/>
    <w:rsid w:val="004176F9"/>
    <w:rsid w:val="00427609"/>
    <w:rsid w:val="00427804"/>
    <w:rsid w:val="00430CD0"/>
    <w:rsid w:val="00432779"/>
    <w:rsid w:val="00432C11"/>
    <w:rsid w:val="00446085"/>
    <w:rsid w:val="00453A3F"/>
    <w:rsid w:val="00454151"/>
    <w:rsid w:val="00465B67"/>
    <w:rsid w:val="00466FB5"/>
    <w:rsid w:val="004717B9"/>
    <w:rsid w:val="00472198"/>
    <w:rsid w:val="00472D9F"/>
    <w:rsid w:val="00473505"/>
    <w:rsid w:val="004819A4"/>
    <w:rsid w:val="0048292C"/>
    <w:rsid w:val="00483272"/>
    <w:rsid w:val="004842C0"/>
    <w:rsid w:val="004847DC"/>
    <w:rsid w:val="00492FA6"/>
    <w:rsid w:val="0049785E"/>
    <w:rsid w:val="004A0752"/>
    <w:rsid w:val="004A3FE7"/>
    <w:rsid w:val="004A46B8"/>
    <w:rsid w:val="004B0D93"/>
    <w:rsid w:val="004B10EE"/>
    <w:rsid w:val="004B7BD6"/>
    <w:rsid w:val="004B7EA6"/>
    <w:rsid w:val="004C18DE"/>
    <w:rsid w:val="004C6C87"/>
    <w:rsid w:val="004E622A"/>
    <w:rsid w:val="004F3B7F"/>
    <w:rsid w:val="004F4DE3"/>
    <w:rsid w:val="004F5608"/>
    <w:rsid w:val="004F7A39"/>
    <w:rsid w:val="0051476B"/>
    <w:rsid w:val="00514AB7"/>
    <w:rsid w:val="0051535A"/>
    <w:rsid w:val="00534340"/>
    <w:rsid w:val="00535E11"/>
    <w:rsid w:val="00540161"/>
    <w:rsid w:val="00540683"/>
    <w:rsid w:val="005533B4"/>
    <w:rsid w:val="00561447"/>
    <w:rsid w:val="0056152E"/>
    <w:rsid w:val="0056605A"/>
    <w:rsid w:val="00573D3E"/>
    <w:rsid w:val="0057786D"/>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2822"/>
    <w:rsid w:val="005E5EF7"/>
    <w:rsid w:val="005F26AD"/>
    <w:rsid w:val="005F3476"/>
    <w:rsid w:val="005F58DF"/>
    <w:rsid w:val="00601F4A"/>
    <w:rsid w:val="0060269E"/>
    <w:rsid w:val="00602860"/>
    <w:rsid w:val="006047AC"/>
    <w:rsid w:val="00607B11"/>
    <w:rsid w:val="006105FE"/>
    <w:rsid w:val="00611C20"/>
    <w:rsid w:val="006157A9"/>
    <w:rsid w:val="00616CDB"/>
    <w:rsid w:val="00620982"/>
    <w:rsid w:val="00622293"/>
    <w:rsid w:val="006256AF"/>
    <w:rsid w:val="00626C86"/>
    <w:rsid w:val="0063034E"/>
    <w:rsid w:val="00630422"/>
    <w:rsid w:val="00635F4A"/>
    <w:rsid w:val="00642215"/>
    <w:rsid w:val="00643AEA"/>
    <w:rsid w:val="00651386"/>
    <w:rsid w:val="0066312D"/>
    <w:rsid w:val="00663395"/>
    <w:rsid w:val="006639F3"/>
    <w:rsid w:val="00664FB3"/>
    <w:rsid w:val="00666284"/>
    <w:rsid w:val="00670028"/>
    <w:rsid w:val="00676963"/>
    <w:rsid w:val="00687752"/>
    <w:rsid w:val="0069164E"/>
    <w:rsid w:val="006924C5"/>
    <w:rsid w:val="006970A1"/>
    <w:rsid w:val="006A0959"/>
    <w:rsid w:val="006A0A95"/>
    <w:rsid w:val="006A507B"/>
    <w:rsid w:val="006A73AD"/>
    <w:rsid w:val="006A7F94"/>
    <w:rsid w:val="006B0E00"/>
    <w:rsid w:val="006B51FD"/>
    <w:rsid w:val="006B57B7"/>
    <w:rsid w:val="006B5F03"/>
    <w:rsid w:val="006B7C55"/>
    <w:rsid w:val="006C3B18"/>
    <w:rsid w:val="006C6A7F"/>
    <w:rsid w:val="006E10F5"/>
    <w:rsid w:val="006F3126"/>
    <w:rsid w:val="006F3C42"/>
    <w:rsid w:val="006F4A9E"/>
    <w:rsid w:val="0070287D"/>
    <w:rsid w:val="00702BE6"/>
    <w:rsid w:val="00706883"/>
    <w:rsid w:val="007147BF"/>
    <w:rsid w:val="007225A1"/>
    <w:rsid w:val="00741D8D"/>
    <w:rsid w:val="00742BD3"/>
    <w:rsid w:val="00742E01"/>
    <w:rsid w:val="00751575"/>
    <w:rsid w:val="00754516"/>
    <w:rsid w:val="00760FB2"/>
    <w:rsid w:val="00762A5F"/>
    <w:rsid w:val="007705CB"/>
    <w:rsid w:val="00773B7E"/>
    <w:rsid w:val="0079124E"/>
    <w:rsid w:val="00792E94"/>
    <w:rsid w:val="00794CE8"/>
    <w:rsid w:val="007A19A7"/>
    <w:rsid w:val="007A584D"/>
    <w:rsid w:val="007B200A"/>
    <w:rsid w:val="007B35E7"/>
    <w:rsid w:val="007B5D5A"/>
    <w:rsid w:val="007B6DF5"/>
    <w:rsid w:val="007C1775"/>
    <w:rsid w:val="007C1AA7"/>
    <w:rsid w:val="007D1EF9"/>
    <w:rsid w:val="007D2FA0"/>
    <w:rsid w:val="007D6265"/>
    <w:rsid w:val="007E36B5"/>
    <w:rsid w:val="007E4902"/>
    <w:rsid w:val="007E7F2A"/>
    <w:rsid w:val="00805AEB"/>
    <w:rsid w:val="00810504"/>
    <w:rsid w:val="0081450F"/>
    <w:rsid w:val="008149EA"/>
    <w:rsid w:val="00826787"/>
    <w:rsid w:val="00834438"/>
    <w:rsid w:val="00835551"/>
    <w:rsid w:val="00837FB8"/>
    <w:rsid w:val="00841328"/>
    <w:rsid w:val="00853526"/>
    <w:rsid w:val="00854209"/>
    <w:rsid w:val="0086477D"/>
    <w:rsid w:val="008650FC"/>
    <w:rsid w:val="008677BA"/>
    <w:rsid w:val="0087179D"/>
    <w:rsid w:val="00876F50"/>
    <w:rsid w:val="0088551C"/>
    <w:rsid w:val="00894221"/>
    <w:rsid w:val="00896081"/>
    <w:rsid w:val="008967B7"/>
    <w:rsid w:val="008A40AB"/>
    <w:rsid w:val="008A6D40"/>
    <w:rsid w:val="008B3106"/>
    <w:rsid w:val="008B7C4B"/>
    <w:rsid w:val="008C42D5"/>
    <w:rsid w:val="008D3CEC"/>
    <w:rsid w:val="008E2056"/>
    <w:rsid w:val="008F283A"/>
    <w:rsid w:val="008F4B57"/>
    <w:rsid w:val="00903D48"/>
    <w:rsid w:val="0090748A"/>
    <w:rsid w:val="00912A46"/>
    <w:rsid w:val="009411AB"/>
    <w:rsid w:val="009422FA"/>
    <w:rsid w:val="00946D8A"/>
    <w:rsid w:val="00953866"/>
    <w:rsid w:val="009629E6"/>
    <w:rsid w:val="00962E31"/>
    <w:rsid w:val="00965DC5"/>
    <w:rsid w:val="00966CE6"/>
    <w:rsid w:val="00971F3A"/>
    <w:rsid w:val="00975B09"/>
    <w:rsid w:val="009767E1"/>
    <w:rsid w:val="009771C0"/>
    <w:rsid w:val="009777E8"/>
    <w:rsid w:val="00981397"/>
    <w:rsid w:val="0098158C"/>
    <w:rsid w:val="00986A8A"/>
    <w:rsid w:val="00987D27"/>
    <w:rsid w:val="0099031A"/>
    <w:rsid w:val="00991BA0"/>
    <w:rsid w:val="00992A56"/>
    <w:rsid w:val="009A4FC8"/>
    <w:rsid w:val="009C228D"/>
    <w:rsid w:val="009C79C4"/>
    <w:rsid w:val="009E0ED9"/>
    <w:rsid w:val="009E281C"/>
    <w:rsid w:val="009E3EBD"/>
    <w:rsid w:val="009E795B"/>
    <w:rsid w:val="009F2DD9"/>
    <w:rsid w:val="00A005D6"/>
    <w:rsid w:val="00A05AB3"/>
    <w:rsid w:val="00A05C9B"/>
    <w:rsid w:val="00A0723D"/>
    <w:rsid w:val="00A1154E"/>
    <w:rsid w:val="00A12E60"/>
    <w:rsid w:val="00A1389E"/>
    <w:rsid w:val="00A21A7D"/>
    <w:rsid w:val="00A2645D"/>
    <w:rsid w:val="00A27409"/>
    <w:rsid w:val="00A30250"/>
    <w:rsid w:val="00A3038F"/>
    <w:rsid w:val="00A34A45"/>
    <w:rsid w:val="00A53208"/>
    <w:rsid w:val="00A57CE8"/>
    <w:rsid w:val="00A62126"/>
    <w:rsid w:val="00A634E8"/>
    <w:rsid w:val="00A71FAE"/>
    <w:rsid w:val="00A72A85"/>
    <w:rsid w:val="00A77993"/>
    <w:rsid w:val="00A77C4E"/>
    <w:rsid w:val="00A81D2D"/>
    <w:rsid w:val="00A917C1"/>
    <w:rsid w:val="00A94B80"/>
    <w:rsid w:val="00A952F9"/>
    <w:rsid w:val="00AA020D"/>
    <w:rsid w:val="00AB0162"/>
    <w:rsid w:val="00AB23F2"/>
    <w:rsid w:val="00AB6055"/>
    <w:rsid w:val="00AC1577"/>
    <w:rsid w:val="00AC3059"/>
    <w:rsid w:val="00AC79AA"/>
    <w:rsid w:val="00AD68F2"/>
    <w:rsid w:val="00AD69C2"/>
    <w:rsid w:val="00AE50D2"/>
    <w:rsid w:val="00AE73A7"/>
    <w:rsid w:val="00AE7E9E"/>
    <w:rsid w:val="00B02145"/>
    <w:rsid w:val="00B041A6"/>
    <w:rsid w:val="00B11AE6"/>
    <w:rsid w:val="00B17A75"/>
    <w:rsid w:val="00B2269A"/>
    <w:rsid w:val="00B26810"/>
    <w:rsid w:val="00B30626"/>
    <w:rsid w:val="00B40836"/>
    <w:rsid w:val="00B45122"/>
    <w:rsid w:val="00B4533C"/>
    <w:rsid w:val="00B47F6F"/>
    <w:rsid w:val="00B5661C"/>
    <w:rsid w:val="00B71545"/>
    <w:rsid w:val="00B737F6"/>
    <w:rsid w:val="00B7461E"/>
    <w:rsid w:val="00B80DBC"/>
    <w:rsid w:val="00B87AB9"/>
    <w:rsid w:val="00B91D33"/>
    <w:rsid w:val="00B92BF7"/>
    <w:rsid w:val="00B9368D"/>
    <w:rsid w:val="00B940F8"/>
    <w:rsid w:val="00BA2F7E"/>
    <w:rsid w:val="00BA358B"/>
    <w:rsid w:val="00BA3F1F"/>
    <w:rsid w:val="00BA6693"/>
    <w:rsid w:val="00BB165F"/>
    <w:rsid w:val="00BB2346"/>
    <w:rsid w:val="00BC00D3"/>
    <w:rsid w:val="00BC224B"/>
    <w:rsid w:val="00BC453B"/>
    <w:rsid w:val="00BC4EC9"/>
    <w:rsid w:val="00BD6076"/>
    <w:rsid w:val="00BD77CE"/>
    <w:rsid w:val="00BF2066"/>
    <w:rsid w:val="00BF414C"/>
    <w:rsid w:val="00BF6A72"/>
    <w:rsid w:val="00BF7D16"/>
    <w:rsid w:val="00C01D3D"/>
    <w:rsid w:val="00C05BE8"/>
    <w:rsid w:val="00C05CED"/>
    <w:rsid w:val="00C161A1"/>
    <w:rsid w:val="00C16233"/>
    <w:rsid w:val="00C24FA8"/>
    <w:rsid w:val="00C27690"/>
    <w:rsid w:val="00C42401"/>
    <w:rsid w:val="00C4703A"/>
    <w:rsid w:val="00C47775"/>
    <w:rsid w:val="00C509C1"/>
    <w:rsid w:val="00C532C5"/>
    <w:rsid w:val="00C64A71"/>
    <w:rsid w:val="00C7003A"/>
    <w:rsid w:val="00C7193B"/>
    <w:rsid w:val="00C72A39"/>
    <w:rsid w:val="00C801B5"/>
    <w:rsid w:val="00C82985"/>
    <w:rsid w:val="00C90787"/>
    <w:rsid w:val="00C93A09"/>
    <w:rsid w:val="00C945EC"/>
    <w:rsid w:val="00C95218"/>
    <w:rsid w:val="00C96029"/>
    <w:rsid w:val="00CA2B03"/>
    <w:rsid w:val="00CA71CC"/>
    <w:rsid w:val="00CB0AF5"/>
    <w:rsid w:val="00CB17EE"/>
    <w:rsid w:val="00CB257D"/>
    <w:rsid w:val="00CC62F9"/>
    <w:rsid w:val="00CC7CD4"/>
    <w:rsid w:val="00CD1675"/>
    <w:rsid w:val="00CD1C39"/>
    <w:rsid w:val="00CD7A4F"/>
    <w:rsid w:val="00CE1F32"/>
    <w:rsid w:val="00CE293A"/>
    <w:rsid w:val="00CE77BC"/>
    <w:rsid w:val="00CF2359"/>
    <w:rsid w:val="00CF3E33"/>
    <w:rsid w:val="00CF645B"/>
    <w:rsid w:val="00D03FC5"/>
    <w:rsid w:val="00D04647"/>
    <w:rsid w:val="00D048ED"/>
    <w:rsid w:val="00D064E0"/>
    <w:rsid w:val="00D12EA3"/>
    <w:rsid w:val="00D16A29"/>
    <w:rsid w:val="00D20ACE"/>
    <w:rsid w:val="00D218BF"/>
    <w:rsid w:val="00D2514D"/>
    <w:rsid w:val="00D33B77"/>
    <w:rsid w:val="00D35074"/>
    <w:rsid w:val="00D362FF"/>
    <w:rsid w:val="00D4056A"/>
    <w:rsid w:val="00D43A1A"/>
    <w:rsid w:val="00D474F4"/>
    <w:rsid w:val="00D510D9"/>
    <w:rsid w:val="00D52AF0"/>
    <w:rsid w:val="00D52F95"/>
    <w:rsid w:val="00D53E0F"/>
    <w:rsid w:val="00D566C8"/>
    <w:rsid w:val="00D6320C"/>
    <w:rsid w:val="00D65991"/>
    <w:rsid w:val="00D7150D"/>
    <w:rsid w:val="00D80CB1"/>
    <w:rsid w:val="00D8467E"/>
    <w:rsid w:val="00D85731"/>
    <w:rsid w:val="00D92E0F"/>
    <w:rsid w:val="00D97C9F"/>
    <w:rsid w:val="00DA1F54"/>
    <w:rsid w:val="00DA28E2"/>
    <w:rsid w:val="00DA312C"/>
    <w:rsid w:val="00DA3AF6"/>
    <w:rsid w:val="00DA541A"/>
    <w:rsid w:val="00DB57E7"/>
    <w:rsid w:val="00DC66D9"/>
    <w:rsid w:val="00DD2ED1"/>
    <w:rsid w:val="00DE554A"/>
    <w:rsid w:val="00DE7797"/>
    <w:rsid w:val="00DF426C"/>
    <w:rsid w:val="00E0097F"/>
    <w:rsid w:val="00E03785"/>
    <w:rsid w:val="00E1103A"/>
    <w:rsid w:val="00E13946"/>
    <w:rsid w:val="00E14568"/>
    <w:rsid w:val="00E17E95"/>
    <w:rsid w:val="00E22556"/>
    <w:rsid w:val="00E22CBB"/>
    <w:rsid w:val="00E236E5"/>
    <w:rsid w:val="00E23FA8"/>
    <w:rsid w:val="00E240AE"/>
    <w:rsid w:val="00E30C9D"/>
    <w:rsid w:val="00E33DCE"/>
    <w:rsid w:val="00E35FEC"/>
    <w:rsid w:val="00E40062"/>
    <w:rsid w:val="00E400BC"/>
    <w:rsid w:val="00E41FC9"/>
    <w:rsid w:val="00E45BA1"/>
    <w:rsid w:val="00E505C6"/>
    <w:rsid w:val="00E521C8"/>
    <w:rsid w:val="00E619C6"/>
    <w:rsid w:val="00E626D1"/>
    <w:rsid w:val="00E66171"/>
    <w:rsid w:val="00E73800"/>
    <w:rsid w:val="00E82CF7"/>
    <w:rsid w:val="00E86945"/>
    <w:rsid w:val="00E86C83"/>
    <w:rsid w:val="00E8770E"/>
    <w:rsid w:val="00E93819"/>
    <w:rsid w:val="00EA0422"/>
    <w:rsid w:val="00EA2C25"/>
    <w:rsid w:val="00EA7A70"/>
    <w:rsid w:val="00EB27FA"/>
    <w:rsid w:val="00EB4ADF"/>
    <w:rsid w:val="00EB4D3D"/>
    <w:rsid w:val="00EC05BE"/>
    <w:rsid w:val="00EC2C52"/>
    <w:rsid w:val="00ED1827"/>
    <w:rsid w:val="00ED49D7"/>
    <w:rsid w:val="00ED5454"/>
    <w:rsid w:val="00ED557F"/>
    <w:rsid w:val="00EE4226"/>
    <w:rsid w:val="00EE457F"/>
    <w:rsid w:val="00EE5CAB"/>
    <w:rsid w:val="00EF00ED"/>
    <w:rsid w:val="00EF022A"/>
    <w:rsid w:val="00EF6C77"/>
    <w:rsid w:val="00EF7231"/>
    <w:rsid w:val="00F04BE3"/>
    <w:rsid w:val="00F07812"/>
    <w:rsid w:val="00F10D47"/>
    <w:rsid w:val="00F12E99"/>
    <w:rsid w:val="00F24CA4"/>
    <w:rsid w:val="00F26C2C"/>
    <w:rsid w:val="00F31FEF"/>
    <w:rsid w:val="00F330E1"/>
    <w:rsid w:val="00F42DC0"/>
    <w:rsid w:val="00F43BF2"/>
    <w:rsid w:val="00F4792F"/>
    <w:rsid w:val="00F524CA"/>
    <w:rsid w:val="00F52E19"/>
    <w:rsid w:val="00F54B5E"/>
    <w:rsid w:val="00F55DD3"/>
    <w:rsid w:val="00F607DC"/>
    <w:rsid w:val="00F60BAE"/>
    <w:rsid w:val="00F63BC2"/>
    <w:rsid w:val="00F70B1D"/>
    <w:rsid w:val="00F70D98"/>
    <w:rsid w:val="00F736DE"/>
    <w:rsid w:val="00F74646"/>
    <w:rsid w:val="00F75328"/>
    <w:rsid w:val="00F778C8"/>
    <w:rsid w:val="00F801E0"/>
    <w:rsid w:val="00F812E0"/>
    <w:rsid w:val="00F8608C"/>
    <w:rsid w:val="00F87B83"/>
    <w:rsid w:val="00F92BF9"/>
    <w:rsid w:val="00F93402"/>
    <w:rsid w:val="00F97A40"/>
    <w:rsid w:val="00FA2262"/>
    <w:rsid w:val="00FA6782"/>
    <w:rsid w:val="00FA712F"/>
    <w:rsid w:val="00FB0778"/>
    <w:rsid w:val="00FB305A"/>
    <w:rsid w:val="00FB48D2"/>
    <w:rsid w:val="00FB4921"/>
    <w:rsid w:val="00FC032F"/>
    <w:rsid w:val="00FC2D7D"/>
    <w:rsid w:val="00FC5E77"/>
    <w:rsid w:val="00FC7393"/>
    <w:rsid w:val="00FD17D7"/>
    <w:rsid w:val="00FD4BC8"/>
    <w:rsid w:val="00FD575B"/>
    <w:rsid w:val="00FE2E51"/>
    <w:rsid w:val="00FE2EF4"/>
    <w:rsid w:val="00FE323D"/>
    <w:rsid w:val="00FE78E8"/>
    <w:rsid w:val="00FE7C92"/>
    <w:rsid w:val="00FF2510"/>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3E99DDD"/>
  <w15:docId w15:val="{6CC6205E-17D0-4012-968D-1554B774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customStyle="1" w:styleId="ADNParagraph">
    <w:name w:val="ADN Paragraph"/>
    <w:basedOn w:val="Normal"/>
    <w:qFormat/>
    <w:rsid w:val="006C3B18"/>
    <w:pPr>
      <w:widowControl/>
      <w:overflowPunct/>
      <w:autoSpaceDE/>
      <w:autoSpaceDN/>
      <w:adjustRightInd/>
      <w:spacing w:after="240"/>
      <w:ind w:left="1418" w:hanging="1418"/>
      <w:textAlignment w:val="auto"/>
    </w:pPr>
    <w:rPr>
      <w:sz w:val="22"/>
      <w:lang w:val="fr-FR" w:eastAsia="en-US"/>
    </w:rPr>
  </w:style>
  <w:style w:type="character" w:styleId="FollowedHyperlink">
    <w:name w:val="FollowedHyperlink"/>
    <w:basedOn w:val="DefaultParagraphFont"/>
    <w:semiHidden/>
    <w:unhideWhenUsed/>
    <w:rsid w:val="00402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sni.eu/de/documents/es-tri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81DFB-9288-4180-B3C3-9CD5E689D5FB}">
  <ds:schemaRefs>
    <ds:schemaRef ds:uri="http://schemas.openxmlformats.org/officeDocument/2006/bibliography"/>
  </ds:schemaRefs>
</ds:datastoreItem>
</file>

<file path=customXml/itemProps2.xml><?xml version="1.0" encoding="utf-8"?>
<ds:datastoreItem xmlns:ds="http://schemas.openxmlformats.org/officeDocument/2006/customXml" ds:itemID="{735B2C79-6A4B-41FF-88D5-838ABDF9765F}"/>
</file>

<file path=customXml/itemProps3.xml><?xml version="1.0" encoding="utf-8"?>
<ds:datastoreItem xmlns:ds="http://schemas.openxmlformats.org/officeDocument/2006/customXml" ds:itemID="{9CB63046-8C75-45D3-9BEC-47C21E37DC1D}"/>
</file>

<file path=customXml/itemProps4.xml><?xml version="1.0" encoding="utf-8"?>
<ds:datastoreItem xmlns:ds="http://schemas.openxmlformats.org/officeDocument/2006/customXml" ds:itemID="{8843F6FC-BD10-464A-BDBB-65A0D2FD917A}"/>
</file>

<file path=docProps/app.xml><?xml version="1.0" encoding="utf-8"?>
<Properties xmlns="http://schemas.openxmlformats.org/officeDocument/2006/extended-properties" xmlns:vt="http://schemas.openxmlformats.org/officeDocument/2006/docPropsVTypes">
  <Template>Normal.dotm</Template>
  <TotalTime>3</TotalTime>
  <Pages>4</Pages>
  <Words>1119</Words>
  <Characters>7958</Characters>
  <Application>Microsoft Office Word</Application>
  <DocSecurity>4</DocSecurity>
  <Lines>66</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Nadiya Dzyubynska</cp:lastModifiedBy>
  <cp:revision>2</cp:revision>
  <cp:lastPrinted>2017-06-06T08:16:00Z</cp:lastPrinted>
  <dcterms:created xsi:type="dcterms:W3CDTF">2021-11-22T11:47:00Z</dcterms:created>
  <dcterms:modified xsi:type="dcterms:W3CDTF">2021-11-22T11:47:00Z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