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59B1" w14:textId="306EA6D1" w:rsidR="000A72C7" w:rsidRPr="002D3350" w:rsidRDefault="000A72C7" w:rsidP="000A72C7">
      <w:pPr>
        <w:pStyle w:val="Titre5"/>
        <w:ind w:left="5245" w:firstLine="0"/>
        <w:rPr>
          <w:rFonts w:ascii="Arial" w:eastAsia="Arial" w:hAnsi="Arial" w:cs="Arial"/>
          <w:color w:val="auto"/>
          <w:szCs w:val="24"/>
          <w:lang w:eastAsia="de-DE"/>
        </w:rPr>
      </w:pPr>
      <w:r w:rsidRPr="002D3350">
        <w:rPr>
          <w:rFonts w:ascii="Arial" w:eastAsia="Arial" w:hAnsi="Arial" w:cs="Arial"/>
          <w:noProof/>
          <w:color w:val="auto"/>
          <w:szCs w:val="24"/>
          <w:lang w:eastAsia="de-DE"/>
        </w:rPr>
        <w:drawing>
          <wp:anchor distT="0" distB="0" distL="114300" distR="114300" simplePos="0" relativeHeight="251664384" behindDoc="0" locked="0" layoutInCell="1" allowOverlap="1" wp14:anchorId="424DCB4A" wp14:editId="3E154F08">
            <wp:simplePos x="0" y="0"/>
            <wp:positionH relativeFrom="margin">
              <wp:align>left</wp:align>
            </wp:positionH>
            <wp:positionV relativeFrom="paragraph">
              <wp:posOffset>133373</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D3350">
        <w:rPr>
          <w:rFonts w:ascii="Arial" w:eastAsia="Arial" w:hAnsi="Arial" w:cs="Arial"/>
          <w:color w:val="auto"/>
          <w:szCs w:val="24"/>
          <w:lang w:eastAsia="de-DE"/>
        </w:rPr>
        <w:t>CCNR-ZKR/ADN/WP.15/AC.2/2022/</w:t>
      </w:r>
      <w:r w:rsidR="0023331D">
        <w:rPr>
          <w:rFonts w:ascii="Arial" w:eastAsia="Arial" w:hAnsi="Arial" w:cs="Arial"/>
          <w:color w:val="auto"/>
          <w:szCs w:val="24"/>
          <w:lang w:eastAsia="de-DE"/>
        </w:rPr>
        <w:t>4</w:t>
      </w:r>
    </w:p>
    <w:p w14:paraId="228BBFB5" w14:textId="77777777" w:rsidR="000A72C7" w:rsidRPr="00B041A6" w:rsidRDefault="000A72C7" w:rsidP="000A72C7">
      <w:pPr>
        <w:widowControl/>
        <w:tabs>
          <w:tab w:val="left" w:pos="5670"/>
        </w:tabs>
        <w:overflowPunct/>
        <w:autoSpaceDE/>
        <w:autoSpaceDN/>
        <w:adjustRightInd/>
        <w:snapToGrid w:val="0"/>
        <w:ind w:left="5245"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66464583" w14:textId="5F56D98C" w:rsidR="000A72C7" w:rsidRPr="00B041A6" w:rsidRDefault="0023331D" w:rsidP="000A72C7">
      <w:pPr>
        <w:widowControl/>
        <w:tabs>
          <w:tab w:val="right" w:pos="3856"/>
          <w:tab w:val="left" w:pos="5670"/>
        </w:tabs>
        <w:overflowPunct/>
        <w:autoSpaceDE/>
        <w:autoSpaceDN/>
        <w:adjustRightInd/>
        <w:snapToGrid w:val="0"/>
        <w:ind w:left="5245" w:firstLine="0"/>
        <w:jc w:val="left"/>
        <w:textAlignment w:val="auto"/>
        <w:rPr>
          <w:rFonts w:ascii="Arial" w:hAnsi="Arial" w:cs="Arial"/>
          <w:szCs w:val="24"/>
          <w:lang w:eastAsia="de-DE"/>
        </w:rPr>
      </w:pPr>
      <w:r>
        <w:rPr>
          <w:rFonts w:ascii="Arial" w:eastAsia="Arial" w:hAnsi="Arial" w:cs="Arial"/>
          <w:szCs w:val="24"/>
          <w:lang w:eastAsia="de-DE"/>
        </w:rPr>
        <w:t>10. November</w:t>
      </w:r>
      <w:r w:rsidR="000A72C7">
        <w:rPr>
          <w:rFonts w:ascii="Arial" w:eastAsia="Arial" w:hAnsi="Arial" w:cs="Arial"/>
          <w:szCs w:val="24"/>
          <w:lang w:eastAsia="de-DE"/>
        </w:rPr>
        <w:t xml:space="preserve"> 2021</w:t>
      </w:r>
    </w:p>
    <w:p w14:paraId="30E5ACB9" w14:textId="77777777" w:rsidR="000A72C7" w:rsidRPr="00B041A6" w:rsidRDefault="000A72C7" w:rsidP="000A72C7">
      <w:pPr>
        <w:widowControl/>
        <w:tabs>
          <w:tab w:val="right" w:pos="3856"/>
          <w:tab w:val="left" w:pos="5670"/>
        </w:tabs>
        <w:overflowPunct/>
        <w:autoSpaceDE/>
        <w:autoSpaceDN/>
        <w:adjustRightInd/>
        <w:snapToGrid w:val="0"/>
        <w:ind w:left="5245" w:right="565" w:firstLine="0"/>
        <w:jc w:val="left"/>
        <w:textAlignment w:val="auto"/>
        <w:rPr>
          <w:rFonts w:ascii="Arial" w:eastAsia="Arial" w:hAnsi="Arial" w:cs="Arial"/>
          <w:sz w:val="16"/>
          <w:szCs w:val="24"/>
          <w:lang w:eastAsia="de-DE"/>
        </w:rPr>
      </w:pPr>
      <w:r w:rsidRPr="00B041A6">
        <w:rPr>
          <w:rFonts w:ascii="Arial" w:eastAsia="Arial" w:hAnsi="Arial" w:cs="Arial"/>
          <w:sz w:val="16"/>
          <w:szCs w:val="24"/>
          <w:lang w:eastAsia="de-DE"/>
        </w:rPr>
        <w:t>Or. DEUTSCH</w:t>
      </w:r>
    </w:p>
    <w:p w14:paraId="762011E4" w14:textId="77777777" w:rsidR="000A72C7" w:rsidRPr="00596953" w:rsidRDefault="000A72C7" w:rsidP="000A72C7">
      <w:pPr>
        <w:widowControl/>
        <w:overflowPunct/>
        <w:autoSpaceDE/>
        <w:autoSpaceDN/>
        <w:adjustRightInd/>
        <w:snapToGrid w:val="0"/>
        <w:ind w:left="0" w:firstLine="0"/>
        <w:jc w:val="left"/>
        <w:textAlignment w:val="auto"/>
        <w:rPr>
          <w:rFonts w:ascii="Arial" w:hAnsi="Arial" w:cs="Arial"/>
          <w:sz w:val="16"/>
          <w:szCs w:val="24"/>
          <w:lang w:eastAsia="de-DE"/>
        </w:rPr>
      </w:pPr>
    </w:p>
    <w:p w14:paraId="475B4C1E" w14:textId="77777777" w:rsidR="000A72C7" w:rsidRPr="00596953" w:rsidRDefault="000A72C7" w:rsidP="000A72C7">
      <w:pPr>
        <w:widowControl/>
        <w:overflowPunct/>
        <w:autoSpaceDE/>
        <w:autoSpaceDN/>
        <w:adjustRightInd/>
        <w:snapToGrid w:val="0"/>
        <w:ind w:left="0" w:firstLine="0"/>
        <w:jc w:val="left"/>
        <w:textAlignment w:val="auto"/>
        <w:rPr>
          <w:rFonts w:ascii="Arial" w:hAnsi="Arial" w:cs="Arial"/>
          <w:sz w:val="16"/>
          <w:szCs w:val="24"/>
          <w:lang w:eastAsia="de-DE"/>
        </w:rPr>
      </w:pPr>
    </w:p>
    <w:p w14:paraId="1483F125" w14:textId="77777777" w:rsidR="000A72C7" w:rsidRPr="00B041A6" w:rsidRDefault="000A72C7" w:rsidP="000A72C7">
      <w:pPr>
        <w:widowControl/>
        <w:tabs>
          <w:tab w:val="left" w:pos="2977"/>
        </w:tabs>
        <w:overflowPunct/>
        <w:autoSpaceDE/>
        <w:autoSpaceDN/>
        <w:adjustRightInd/>
        <w:snapToGrid w:val="0"/>
        <w:ind w:left="3960" w:firstLine="0"/>
        <w:jc w:val="left"/>
        <w:textAlignment w:val="auto"/>
        <w:rPr>
          <w:rFonts w:ascii="Arial" w:hAnsi="Arial"/>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r>
        <w:rPr>
          <w:rFonts w:ascii="Arial" w:hAnsi="Arial"/>
          <w:sz w:val="16"/>
          <w:szCs w:val="24"/>
        </w:rPr>
        <w:t xml:space="preserve"> (39</w:t>
      </w:r>
      <w:r w:rsidRPr="00B041A6">
        <w:rPr>
          <w:rFonts w:ascii="Arial" w:hAnsi="Arial"/>
          <w:sz w:val="16"/>
          <w:szCs w:val="24"/>
        </w:rPr>
        <w:t xml:space="preserve">. Tagung, Genf, </w:t>
      </w:r>
      <w:r>
        <w:rPr>
          <w:rFonts w:ascii="Arial" w:hAnsi="Arial"/>
          <w:sz w:val="16"/>
          <w:szCs w:val="24"/>
        </w:rPr>
        <w:t>24</w:t>
      </w:r>
      <w:r w:rsidRPr="00B041A6">
        <w:rPr>
          <w:rFonts w:ascii="Arial" w:hAnsi="Arial"/>
          <w:sz w:val="16"/>
          <w:szCs w:val="24"/>
        </w:rPr>
        <w:t xml:space="preserve">. bis </w:t>
      </w:r>
      <w:r>
        <w:rPr>
          <w:rFonts w:ascii="Arial" w:hAnsi="Arial"/>
          <w:sz w:val="16"/>
          <w:szCs w:val="24"/>
        </w:rPr>
        <w:t>28</w:t>
      </w:r>
      <w:r w:rsidRPr="00B041A6">
        <w:rPr>
          <w:rFonts w:ascii="Arial" w:hAnsi="Arial"/>
          <w:sz w:val="16"/>
          <w:szCs w:val="24"/>
        </w:rPr>
        <w:t xml:space="preserve">. </w:t>
      </w:r>
      <w:r>
        <w:rPr>
          <w:rFonts w:ascii="Arial" w:hAnsi="Arial"/>
          <w:sz w:val="16"/>
          <w:szCs w:val="24"/>
        </w:rPr>
        <w:t>Januar 2022</w:t>
      </w:r>
      <w:r w:rsidRPr="00B041A6">
        <w:rPr>
          <w:rFonts w:ascii="Arial" w:hAnsi="Arial"/>
          <w:sz w:val="16"/>
          <w:szCs w:val="24"/>
        </w:rPr>
        <w:t>)</w:t>
      </w:r>
    </w:p>
    <w:p w14:paraId="24C6CE8B" w14:textId="42ABDFD0" w:rsidR="000A72C7" w:rsidRPr="00B041A6" w:rsidRDefault="000A72C7" w:rsidP="006C58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6A16C0">
        <w:rPr>
          <w:rFonts w:ascii="Arial" w:hAnsi="Arial" w:cs="Arial"/>
          <w:sz w:val="16"/>
          <w:szCs w:val="16"/>
          <w:lang w:eastAsia="en-US"/>
        </w:rPr>
        <w:t>5 b)</w:t>
      </w:r>
      <w:r w:rsidRPr="00B041A6">
        <w:rPr>
          <w:rFonts w:ascii="Arial" w:hAnsi="Arial" w:cs="Arial"/>
          <w:sz w:val="16"/>
          <w:szCs w:val="16"/>
          <w:lang w:eastAsia="en-US"/>
        </w:rPr>
        <w:t xml:space="preserve"> zur vorläufigen Tagesordnung</w:t>
      </w:r>
    </w:p>
    <w:p w14:paraId="79EE6383" w14:textId="77777777" w:rsidR="000A72C7" w:rsidRPr="002D550A" w:rsidRDefault="000A72C7" w:rsidP="006C5859">
      <w:pPr>
        <w:tabs>
          <w:tab w:val="left" w:pos="2977"/>
        </w:tabs>
        <w:ind w:left="3958" w:firstLine="11"/>
        <w:rPr>
          <w:rFonts w:ascii="Arial" w:hAnsi="Arial" w:cs="Arial"/>
          <w:b/>
          <w:sz w:val="16"/>
          <w:szCs w:val="16"/>
          <w:lang w:eastAsia="en-US"/>
        </w:rPr>
      </w:pP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p>
    <w:p w14:paraId="496CA18F" w14:textId="77777777" w:rsidR="000A72C7" w:rsidRPr="009051C2" w:rsidRDefault="000A72C7" w:rsidP="006C5859">
      <w:pPr>
        <w:tabs>
          <w:tab w:val="left" w:pos="2977"/>
        </w:tabs>
        <w:ind w:left="3958" w:firstLine="11"/>
        <w:rPr>
          <w:rFonts w:ascii="Arial" w:hAnsi="Arial" w:cs="Arial"/>
          <w:b/>
          <w:sz w:val="16"/>
          <w:szCs w:val="16"/>
          <w:lang w:eastAsia="en-US"/>
        </w:rPr>
      </w:pPr>
      <w:r>
        <w:rPr>
          <w:rFonts w:ascii="Arial" w:hAnsi="Arial" w:cs="Arial"/>
          <w:b/>
          <w:sz w:val="16"/>
          <w:szCs w:val="16"/>
          <w:lang w:eastAsia="en-US"/>
        </w:rPr>
        <w:t>Weitere Vorschläge</w:t>
      </w:r>
    </w:p>
    <w:p w14:paraId="0589C879" w14:textId="77777777" w:rsidR="000A72C7" w:rsidRPr="00B041A6" w:rsidRDefault="000A72C7" w:rsidP="006C5859">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1DC774B" w14:textId="77777777" w:rsidR="000A72C7" w:rsidRPr="00596953" w:rsidRDefault="000A72C7" w:rsidP="000A72C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39549655" w14:textId="77777777" w:rsidR="006A16C0" w:rsidRDefault="006A16C0" w:rsidP="006A16C0">
      <w:pPr>
        <w:keepNext/>
        <w:keepLines/>
        <w:widowControl/>
        <w:suppressAutoHyphens/>
        <w:overflowPunct/>
        <w:autoSpaceDE/>
        <w:autoSpaceDN/>
        <w:adjustRightInd/>
        <w:snapToGrid w:val="0"/>
        <w:spacing w:before="360" w:line="270" w:lineRule="exact"/>
        <w:ind w:left="567" w:right="139" w:firstLine="0"/>
        <w:jc w:val="left"/>
        <w:textAlignment w:val="auto"/>
        <w:rPr>
          <w:b/>
          <w:bCs/>
          <w:sz w:val="28"/>
          <w:szCs w:val="24"/>
        </w:rPr>
      </w:pPr>
      <w:r w:rsidRPr="006A16C0">
        <w:rPr>
          <w:b/>
          <w:bCs/>
          <w:sz w:val="28"/>
          <w:szCs w:val="24"/>
        </w:rPr>
        <w:t>Änderungen, die am 1. Januar 2023 in Kraft treten sollen</w:t>
      </w:r>
    </w:p>
    <w:p w14:paraId="7C09B4CC" w14:textId="1D646519" w:rsidR="000A72C7" w:rsidRDefault="000A72C7" w:rsidP="006A16C0">
      <w:pPr>
        <w:keepNext/>
        <w:keepLines/>
        <w:widowControl/>
        <w:suppressAutoHyphens/>
        <w:overflowPunct/>
        <w:autoSpaceDE/>
        <w:autoSpaceDN/>
        <w:adjustRightInd/>
        <w:snapToGrid w:val="0"/>
        <w:spacing w:after="240" w:line="270" w:lineRule="exact"/>
        <w:ind w:left="567" w:right="139" w:firstLine="0"/>
        <w:jc w:val="left"/>
        <w:textAlignment w:val="auto"/>
        <w:rPr>
          <w:b/>
          <w:bCs/>
          <w:sz w:val="28"/>
          <w:szCs w:val="24"/>
        </w:rPr>
      </w:pPr>
      <w:r w:rsidRPr="000A72C7">
        <w:rPr>
          <w:b/>
          <w:bCs/>
          <w:sz w:val="28"/>
          <w:szCs w:val="24"/>
        </w:rPr>
        <w:t>Aktualisierung der Verweise auf Normen</w:t>
      </w:r>
    </w:p>
    <w:p w14:paraId="124A2A84" w14:textId="17227ADA" w:rsidR="000A72C7" w:rsidRDefault="001912AF" w:rsidP="000A72C7">
      <w:pPr>
        <w:keepNext/>
        <w:keepLines/>
        <w:widowControl/>
        <w:suppressAutoHyphens/>
        <w:overflowPunct/>
        <w:autoSpaceDE/>
        <w:autoSpaceDN/>
        <w:adjustRightInd/>
        <w:snapToGrid w:val="0"/>
        <w:spacing w:before="360" w:after="240" w:line="270" w:lineRule="exact"/>
        <w:ind w:left="567" w:right="567" w:firstLine="0"/>
        <w:jc w:val="left"/>
        <w:textAlignment w:val="auto"/>
        <w:rPr>
          <w:b/>
          <w:sz w:val="18"/>
          <w:vertAlign w:val="superscript"/>
        </w:rPr>
      </w:pPr>
      <w:r>
        <w:rPr>
          <w:b/>
          <w:sz w:val="24"/>
        </w:rPr>
        <w:t>Eingereicht</w:t>
      </w:r>
      <w:r w:rsidR="000A72C7" w:rsidRPr="00B041A6">
        <w:rPr>
          <w:b/>
          <w:sz w:val="24"/>
        </w:rPr>
        <w:t xml:space="preserve"> von Deutschland</w:t>
      </w:r>
      <w:r w:rsidR="000A72C7" w:rsidRPr="00B041A6">
        <w:rPr>
          <w:b/>
          <w:sz w:val="18"/>
          <w:vertAlign w:val="superscript"/>
        </w:rPr>
        <w:footnoteReference w:id="1"/>
      </w:r>
      <w:r w:rsidR="000A72C7" w:rsidRPr="00B041A6">
        <w:rPr>
          <w:b/>
          <w:sz w:val="18"/>
          <w:vertAlign w:val="superscript"/>
        </w:rPr>
        <w:t>,</w:t>
      </w:r>
      <w:r w:rsidR="000A72C7" w:rsidRPr="00B041A6">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B041A6" w:rsidRPr="000A72C7" w14:paraId="23313B89" w14:textId="77777777" w:rsidTr="007D1EF9">
        <w:trPr>
          <w:jc w:val="center"/>
        </w:trPr>
        <w:tc>
          <w:tcPr>
            <w:tcW w:w="2330" w:type="dxa"/>
          </w:tcPr>
          <w:p w14:paraId="29C39DDD" w14:textId="77777777" w:rsidR="00B041A6" w:rsidRPr="000A72C7" w:rsidRDefault="00B041A6" w:rsidP="000A72C7">
            <w:pPr>
              <w:tabs>
                <w:tab w:val="left" w:pos="284"/>
              </w:tabs>
              <w:spacing w:before="120" w:after="120"/>
              <w:rPr>
                <w:i/>
                <w:lang w:eastAsia="en-US"/>
              </w:rPr>
            </w:pPr>
            <w:r w:rsidRPr="000A72C7">
              <w:rPr>
                <w:rFonts w:eastAsia="Arial"/>
                <w:i/>
                <w:lang w:eastAsia="en-US"/>
              </w:rPr>
              <w:t>Zusammenfassung</w:t>
            </w:r>
          </w:p>
        </w:tc>
        <w:tc>
          <w:tcPr>
            <w:tcW w:w="7309" w:type="dxa"/>
          </w:tcPr>
          <w:p w14:paraId="508BEDDE" w14:textId="77777777" w:rsidR="00B041A6" w:rsidRPr="000A72C7" w:rsidRDefault="00B041A6" w:rsidP="000A72C7">
            <w:pPr>
              <w:spacing w:before="120" w:after="120"/>
              <w:rPr>
                <w:lang w:eastAsia="en-US"/>
              </w:rPr>
            </w:pPr>
          </w:p>
        </w:tc>
      </w:tr>
      <w:tr w:rsidR="00B041A6" w:rsidRPr="000A72C7" w14:paraId="27DD9B46" w14:textId="77777777" w:rsidTr="007D1EF9">
        <w:trPr>
          <w:jc w:val="center"/>
        </w:trPr>
        <w:tc>
          <w:tcPr>
            <w:tcW w:w="2330" w:type="dxa"/>
            <w:tcBorders>
              <w:bottom w:val="single" w:sz="4" w:space="0" w:color="auto"/>
            </w:tcBorders>
          </w:tcPr>
          <w:p w14:paraId="68310EFB" w14:textId="77777777" w:rsidR="000A72C7" w:rsidRDefault="00B041A6" w:rsidP="000A72C7">
            <w:pPr>
              <w:tabs>
                <w:tab w:val="left" w:pos="284"/>
              </w:tabs>
              <w:rPr>
                <w:b/>
                <w:lang w:eastAsia="en-US"/>
              </w:rPr>
            </w:pPr>
            <w:r w:rsidRPr="000A72C7">
              <w:rPr>
                <w:b/>
                <w:lang w:eastAsia="en-US"/>
              </w:rPr>
              <w:t>Analytische</w:t>
            </w:r>
          </w:p>
          <w:p w14:paraId="678DBD1D" w14:textId="283DDC16" w:rsidR="00B041A6" w:rsidRPr="000A72C7" w:rsidRDefault="00B041A6" w:rsidP="000A72C7">
            <w:pPr>
              <w:tabs>
                <w:tab w:val="left" w:pos="284"/>
              </w:tabs>
              <w:spacing w:after="120"/>
              <w:rPr>
                <w:b/>
                <w:lang w:eastAsia="en-US"/>
              </w:rPr>
            </w:pPr>
            <w:r w:rsidRPr="000A72C7">
              <w:rPr>
                <w:b/>
                <w:lang w:eastAsia="en-US"/>
              </w:rPr>
              <w:t>Zusammenfassung:</w:t>
            </w:r>
          </w:p>
        </w:tc>
        <w:tc>
          <w:tcPr>
            <w:tcW w:w="7309" w:type="dxa"/>
            <w:tcBorders>
              <w:bottom w:val="single" w:sz="4" w:space="0" w:color="auto"/>
            </w:tcBorders>
          </w:tcPr>
          <w:p w14:paraId="28417543" w14:textId="264BC1BB" w:rsidR="001446DE" w:rsidRPr="000A72C7" w:rsidRDefault="001446DE" w:rsidP="00F55AF8">
            <w:pPr>
              <w:spacing w:before="40" w:after="40" w:line="240" w:lineRule="atLeast"/>
              <w:ind w:left="11" w:firstLine="0"/>
            </w:pPr>
            <w:bookmarkStart w:id="0" w:name="_Hlk83387777"/>
            <w:r w:rsidRPr="000A72C7">
              <w:t>Bei einigen in der dem ADN beigefügten Verordnung enthaltenen Normzitaten wurde bei ihrer erstmaligen Aufnahme ein falsches Ausgabedatum angegeben. Die Normen sind somit nicht aufzufinden, ihre Anwendung ist unmöglich.</w:t>
            </w:r>
          </w:p>
          <w:p w14:paraId="723C4C73" w14:textId="77777777" w:rsidR="001446DE" w:rsidRPr="000A72C7" w:rsidRDefault="001446DE" w:rsidP="00F55AF8">
            <w:pPr>
              <w:spacing w:before="40" w:after="40" w:line="240" w:lineRule="atLeast"/>
              <w:ind w:left="11" w:firstLine="0"/>
            </w:pPr>
          </w:p>
          <w:p w14:paraId="0E4DD210" w14:textId="6340817E" w:rsidR="001446DE" w:rsidRPr="000A72C7" w:rsidRDefault="001446DE" w:rsidP="00F55AF8">
            <w:pPr>
              <w:spacing w:before="40" w:after="40" w:line="240" w:lineRule="atLeast"/>
              <w:ind w:left="11" w:firstLine="0"/>
            </w:pPr>
            <w:r w:rsidRPr="000A72C7">
              <w:t>In mehreren Absätzen verweist das aktuelle ADN auf EN-, ISO- und DIN-Normen, IEC-Standards und ASTM-Standards, die überarbeitet und ersetzt wurden.</w:t>
            </w:r>
          </w:p>
          <w:p w14:paraId="5A807412" w14:textId="77777777" w:rsidR="001446DE" w:rsidRPr="000A72C7" w:rsidRDefault="001446DE" w:rsidP="00F55AF8">
            <w:pPr>
              <w:spacing w:before="40" w:after="40" w:line="240" w:lineRule="atLeast"/>
              <w:ind w:left="11" w:firstLine="0"/>
            </w:pPr>
          </w:p>
          <w:p w14:paraId="19052978" w14:textId="0D9FA2B6" w:rsidR="001446DE" w:rsidRPr="000A72C7" w:rsidRDefault="001446DE" w:rsidP="00F55AF8">
            <w:pPr>
              <w:spacing w:before="40" w:after="40" w:line="240" w:lineRule="atLeast"/>
              <w:ind w:left="11" w:firstLine="0"/>
            </w:pPr>
            <w:r w:rsidRPr="000A72C7">
              <w:t>Bei Neubauten von Schiffen oder bei der Ersatzbeschaffung von Ausrüstung oder Bauteilen eines Schiffes ist es nicht möglich, auf dem Markt Produkte einzukaufen, die den alten Normen entsprechen. Werden stattdessen Produkte verwendet, die den neuen Normen entsprechen, kann die Untersuchungsstelle oder Klassifikationsgesellschaft in ihrem Untersuchungsbericht nach Abschnitt 1.16.3 ADN die Übereinstimmung mit den anwendbaren Vorschriften der dem ADN beigefügten Verordnung nicht bescheinigen und die Produkte müssen bei Kontrollen als regelwidrig beanstandet werden.</w:t>
            </w:r>
          </w:p>
          <w:p w14:paraId="761496C4" w14:textId="77777777" w:rsidR="001446DE" w:rsidRPr="000A72C7" w:rsidRDefault="001446DE" w:rsidP="00F55AF8">
            <w:pPr>
              <w:spacing w:before="40" w:after="40" w:line="240" w:lineRule="atLeast"/>
              <w:ind w:left="11" w:firstLine="0"/>
            </w:pPr>
          </w:p>
          <w:p w14:paraId="05E7C783" w14:textId="51186EFF" w:rsidR="00EA1FD5" w:rsidRPr="000A72C7" w:rsidRDefault="001446DE" w:rsidP="00F55AF8">
            <w:pPr>
              <w:spacing w:before="40" w:after="40" w:line="240" w:lineRule="atLeast"/>
              <w:ind w:left="11" w:firstLine="0"/>
            </w:pPr>
            <w:r w:rsidRPr="000A72C7">
              <w:t>Die Überarbeitungen der Normen und Standards und auch der elektrotechnischen, explosionsschutztechnischen und sonstigen Prüfverfahren bringen in der Regel ein höheres Sicherheitsniveau mit sich. Bau und Ausrüstung von Schiffen, die gefährliche Güter befördern, sollen unter Beachtung erforderlicher und angemessener Übergangsfristen stets auf dem höchstmöglichen sicherheitstechnischen Niveau gehalten werden.</w:t>
            </w:r>
            <w:bookmarkEnd w:id="0"/>
          </w:p>
        </w:tc>
      </w:tr>
      <w:tr w:rsidR="00B041A6" w:rsidRPr="000A72C7" w14:paraId="5217DBE8" w14:textId="77777777" w:rsidTr="007D1EF9">
        <w:trPr>
          <w:jc w:val="center"/>
        </w:trPr>
        <w:tc>
          <w:tcPr>
            <w:tcW w:w="2330" w:type="dxa"/>
            <w:tcBorders>
              <w:bottom w:val="single" w:sz="4" w:space="0" w:color="auto"/>
            </w:tcBorders>
          </w:tcPr>
          <w:p w14:paraId="7B9A861F" w14:textId="10BA2C2E" w:rsidR="00B041A6" w:rsidRPr="000A72C7" w:rsidRDefault="00B041A6" w:rsidP="000A72C7">
            <w:pPr>
              <w:spacing w:before="120" w:after="120"/>
              <w:ind w:left="0" w:firstLine="0"/>
              <w:jc w:val="left"/>
              <w:rPr>
                <w:b/>
                <w:lang w:eastAsia="en-US"/>
              </w:rPr>
            </w:pPr>
            <w:r w:rsidRPr="000A72C7">
              <w:rPr>
                <w:b/>
                <w:lang w:eastAsia="en-US"/>
              </w:rPr>
              <w:t>Zu ergreifende</w:t>
            </w:r>
            <w:r w:rsidR="007B5D5A" w:rsidRPr="000A72C7">
              <w:rPr>
                <w:b/>
                <w:lang w:eastAsia="en-US"/>
              </w:rPr>
              <w:t xml:space="preserve"> </w:t>
            </w:r>
            <w:r w:rsidRPr="000A72C7">
              <w:rPr>
                <w:b/>
                <w:lang w:eastAsia="en-US"/>
              </w:rPr>
              <w:t>Maßnahme:</w:t>
            </w:r>
          </w:p>
        </w:tc>
        <w:tc>
          <w:tcPr>
            <w:tcW w:w="7309" w:type="dxa"/>
            <w:tcBorders>
              <w:bottom w:val="single" w:sz="4" w:space="0" w:color="auto"/>
            </w:tcBorders>
          </w:tcPr>
          <w:p w14:paraId="72184E37" w14:textId="77777777" w:rsidR="00B041A6" w:rsidRPr="000A72C7" w:rsidRDefault="00F24CA4" w:rsidP="00F55AF8">
            <w:pPr>
              <w:spacing w:before="40" w:after="40" w:line="240" w:lineRule="atLeast"/>
              <w:ind w:left="11" w:firstLine="0"/>
            </w:pPr>
            <w:r w:rsidRPr="000A72C7">
              <w:t xml:space="preserve">Aktualisierung von </w:t>
            </w:r>
            <w:r w:rsidR="006B27EC" w:rsidRPr="000A72C7">
              <w:t xml:space="preserve">Verweisen auf EN-, ISO- und DIN-Normen, IEC-Standards und ASTM-Standards </w:t>
            </w:r>
            <w:r w:rsidRPr="000A72C7">
              <w:t>mit Wirkung vom 1. Januar 2023</w:t>
            </w:r>
            <w:r w:rsidR="00687752" w:rsidRPr="000A72C7">
              <w:t>.</w:t>
            </w:r>
            <w:r w:rsidR="00C93639" w:rsidRPr="000A72C7">
              <w:t xml:space="preserve"> Dabei wird soweit möglich auf ISO-Normen und IEC-Standards gewechselt, um die Anwendung auch den nicht der Europäischen Union angehörigen Vertragsparteien zu ermöglichen.</w:t>
            </w:r>
          </w:p>
          <w:p w14:paraId="297D9708" w14:textId="0C99C3E1" w:rsidR="00687752" w:rsidRPr="000A72C7" w:rsidRDefault="00687752" w:rsidP="00F55AF8">
            <w:pPr>
              <w:spacing w:before="40" w:after="40" w:line="240" w:lineRule="atLeast"/>
              <w:ind w:left="11" w:firstLine="0"/>
            </w:pPr>
            <w:r w:rsidRPr="000A72C7">
              <w:t>Einführung von Übergangsvorschriften</w:t>
            </w:r>
            <w:r w:rsidR="005F7C78" w:rsidRPr="000A72C7">
              <w:t>:</w:t>
            </w:r>
            <w:r w:rsidRPr="000A72C7">
              <w:t xml:space="preserve"> N.E.U. ab 1. Januar 2023, Erneuerung des Zulassungszeugnisses nach dem 31. Dezember 20</w:t>
            </w:r>
            <w:r w:rsidR="00217C00" w:rsidRPr="000A72C7">
              <w:t>26</w:t>
            </w:r>
            <w:r w:rsidR="00307DE5">
              <w:t>.</w:t>
            </w:r>
          </w:p>
        </w:tc>
      </w:tr>
      <w:tr w:rsidR="00B041A6" w:rsidRPr="000A72C7" w14:paraId="0B057A5F" w14:textId="77777777" w:rsidTr="007D1EF9">
        <w:trPr>
          <w:jc w:val="center"/>
        </w:trPr>
        <w:tc>
          <w:tcPr>
            <w:tcW w:w="2330" w:type="dxa"/>
            <w:tcBorders>
              <w:top w:val="single" w:sz="4" w:space="0" w:color="auto"/>
            </w:tcBorders>
          </w:tcPr>
          <w:p w14:paraId="785C307D" w14:textId="77777777" w:rsidR="00B041A6" w:rsidRPr="000A72C7" w:rsidRDefault="00B041A6" w:rsidP="000A72C7">
            <w:pPr>
              <w:tabs>
                <w:tab w:val="left" w:pos="284"/>
              </w:tabs>
              <w:rPr>
                <w:b/>
                <w:lang w:eastAsia="en-US"/>
              </w:rPr>
            </w:pPr>
            <w:r w:rsidRPr="000A72C7">
              <w:rPr>
                <w:b/>
                <w:lang w:eastAsia="en-US"/>
              </w:rPr>
              <w:t>Verbundene Dokumente:</w:t>
            </w:r>
          </w:p>
        </w:tc>
        <w:tc>
          <w:tcPr>
            <w:tcW w:w="7309" w:type="dxa"/>
            <w:tcBorders>
              <w:top w:val="single" w:sz="4" w:space="0" w:color="auto"/>
            </w:tcBorders>
          </w:tcPr>
          <w:p w14:paraId="03DEADB2" w14:textId="77777777" w:rsidR="00B041A6" w:rsidRDefault="00516446" w:rsidP="00F55AF8">
            <w:pPr>
              <w:spacing w:before="40" w:after="40" w:line="240" w:lineRule="atLeast"/>
              <w:ind w:left="11" w:firstLine="0"/>
            </w:pPr>
            <w:r w:rsidRPr="000A72C7">
              <w:t xml:space="preserve">Bericht der </w:t>
            </w:r>
            <w:r w:rsidR="006B27EC" w:rsidRPr="000A72C7">
              <w:t>34.</w:t>
            </w:r>
            <w:r w:rsidRPr="000A72C7">
              <w:t xml:space="preserve"> Sitzung, </w:t>
            </w:r>
            <w:r w:rsidR="006B27EC" w:rsidRPr="000A72C7">
              <w:t>Januar 2019, CCNR-ZKR/ADN/WP.15/AC.2/70, Nrn. 81,</w:t>
            </w:r>
            <w:r w:rsidR="00B20810">
              <w:t xml:space="preserve"> </w:t>
            </w:r>
            <w:r w:rsidR="006B27EC" w:rsidRPr="000A72C7">
              <w:t>82</w:t>
            </w:r>
          </w:p>
          <w:p w14:paraId="03BD2A1E" w14:textId="0AD0B5E4" w:rsidR="00F55AF8" w:rsidRPr="000A72C7" w:rsidRDefault="00F55AF8" w:rsidP="00F55AF8">
            <w:pPr>
              <w:spacing w:before="40" w:after="40" w:line="240" w:lineRule="atLeast"/>
              <w:ind w:left="11" w:firstLine="0"/>
            </w:pPr>
          </w:p>
        </w:tc>
      </w:tr>
    </w:tbl>
    <w:p w14:paraId="6C344E33" w14:textId="1DE47961" w:rsidR="00C42401" w:rsidRPr="000A72C7" w:rsidRDefault="00C42401" w:rsidP="000A72C7">
      <w:pPr>
        <w:tabs>
          <w:tab w:val="left" w:pos="1418"/>
        </w:tabs>
        <w:spacing w:line="360" w:lineRule="auto"/>
        <w:rPr>
          <w:b/>
          <w:sz w:val="24"/>
          <w:szCs w:val="18"/>
        </w:rPr>
      </w:pPr>
    </w:p>
    <w:p w14:paraId="2DA8E381" w14:textId="2BF2D14E" w:rsidR="00C42401" w:rsidRPr="006A16C0" w:rsidRDefault="00C42401" w:rsidP="000A72C7">
      <w:pPr>
        <w:tabs>
          <w:tab w:val="left" w:pos="567"/>
        </w:tabs>
        <w:spacing w:line="240" w:lineRule="atLeast"/>
        <w:ind w:left="0" w:firstLine="0"/>
        <w:rPr>
          <w:b/>
          <w:sz w:val="28"/>
          <w:szCs w:val="28"/>
        </w:rPr>
      </w:pPr>
      <w:r w:rsidRPr="006A16C0">
        <w:rPr>
          <w:b/>
          <w:sz w:val="28"/>
          <w:szCs w:val="28"/>
        </w:rPr>
        <w:t>Einleitung</w:t>
      </w:r>
    </w:p>
    <w:p w14:paraId="432C91C6" w14:textId="77777777" w:rsidR="00C42401" w:rsidRPr="006C5859" w:rsidRDefault="00C42401" w:rsidP="000A72C7">
      <w:pPr>
        <w:tabs>
          <w:tab w:val="left" w:pos="567"/>
        </w:tabs>
        <w:spacing w:line="240" w:lineRule="atLeast"/>
        <w:ind w:left="0" w:firstLine="0"/>
        <w:rPr>
          <w:b/>
        </w:rPr>
      </w:pPr>
    </w:p>
    <w:p w14:paraId="63FF56F8" w14:textId="6802ED04" w:rsidR="00825BB3" w:rsidRPr="006C5859" w:rsidRDefault="00C42401" w:rsidP="000A72C7">
      <w:pPr>
        <w:tabs>
          <w:tab w:val="left" w:pos="567"/>
        </w:tabs>
        <w:spacing w:line="240" w:lineRule="atLeast"/>
        <w:ind w:left="0" w:firstLine="0"/>
      </w:pPr>
      <w:r w:rsidRPr="006C5859">
        <w:t xml:space="preserve">1. </w:t>
      </w:r>
      <w:r w:rsidRPr="006C5859">
        <w:tab/>
      </w:r>
      <w:r w:rsidR="00825BB3" w:rsidRPr="006C5859">
        <w:t>Die Gemeinsamen Tagung ADR/RID/ADN hat für die kontinuierliche Beobachtung der gefahrgutspezifischen technischen Normen und Standards, auf die in den Regelwerken verwiesen wird, eine Normen-Arbeitsgruppe eingerichtet, welche die Normen und ihre Überarbeitungen bereits im Entwurfsstadium inhaltlich auf die Vereinbarkeit mit dem Gefahrgutrecht überprüft. Bei allgemeinen Normen, z.B. zur Elektrotechnik, gibt es kein systematisches Monitoring innerhalb der internationalen Gefahrgutgremien.</w:t>
      </w:r>
    </w:p>
    <w:p w14:paraId="534B949C" w14:textId="21A67844" w:rsidR="00825BB3" w:rsidRPr="006C5859" w:rsidRDefault="00825BB3" w:rsidP="000A72C7">
      <w:pPr>
        <w:tabs>
          <w:tab w:val="left" w:pos="567"/>
        </w:tabs>
        <w:spacing w:line="240" w:lineRule="atLeast"/>
        <w:ind w:left="0" w:firstLine="0"/>
      </w:pPr>
    </w:p>
    <w:p w14:paraId="0A608FF7" w14:textId="76FD1644" w:rsidR="00825BB3" w:rsidRPr="006C5859" w:rsidRDefault="00825BB3" w:rsidP="000A72C7">
      <w:pPr>
        <w:tabs>
          <w:tab w:val="left" w:pos="567"/>
        </w:tabs>
        <w:spacing w:line="240" w:lineRule="atLeast"/>
        <w:ind w:left="0" w:firstLine="0"/>
      </w:pPr>
      <w:r w:rsidRPr="006C5859">
        <w:t>2.</w:t>
      </w:r>
      <w:r w:rsidR="000A72C7" w:rsidRPr="006C5859">
        <w:tab/>
      </w:r>
      <w:r w:rsidRPr="006C5859">
        <w:t>Die dem ADN beigefügte Verordnung enthält überwiegend Verweise auf Normen und Standards, die nicht spezielle für die Beförderung gefährlicher Güter entwickelt wurden, sondern viele Industrie- und Lebensbereiche betreffen. Deswegen obliegt es dem ADN-Sicherheit</w:t>
      </w:r>
      <w:r w:rsidR="002B593C" w:rsidRPr="006C5859">
        <w:t>s</w:t>
      </w:r>
      <w:r w:rsidRPr="006C5859">
        <w:t>ausschuss, diese Verweise eigenständig auf ihre Aktualität und Verwendbarkeit in der Verordnung zu überprüfen.</w:t>
      </w:r>
    </w:p>
    <w:p w14:paraId="19D75336" w14:textId="77777777" w:rsidR="00825BB3" w:rsidRPr="006C5859" w:rsidRDefault="00825BB3" w:rsidP="000A72C7">
      <w:pPr>
        <w:tabs>
          <w:tab w:val="left" w:pos="567"/>
        </w:tabs>
        <w:spacing w:line="240" w:lineRule="atLeast"/>
        <w:ind w:left="0" w:firstLine="0"/>
      </w:pPr>
    </w:p>
    <w:p w14:paraId="1FE11E77" w14:textId="664C150E" w:rsidR="00C42401" w:rsidRPr="006C5859" w:rsidRDefault="00825BB3" w:rsidP="000A72C7">
      <w:pPr>
        <w:tabs>
          <w:tab w:val="left" w:pos="567"/>
        </w:tabs>
        <w:spacing w:line="240" w:lineRule="atLeast"/>
        <w:ind w:left="0" w:firstLine="0"/>
      </w:pPr>
      <w:r w:rsidRPr="006C5859">
        <w:t xml:space="preserve">3. </w:t>
      </w:r>
      <w:r w:rsidR="000A72C7" w:rsidRPr="006C5859">
        <w:tab/>
      </w:r>
      <w:r w:rsidR="00516446" w:rsidRPr="006C5859">
        <w:t>Die vom ADN-Sicherheitsausschuss angedachte Informelle Arbeitsgruppe Normen/Standards kam aus verschiedenen Gründen nicht zu Stande. Deshalb hat die deutsche Delegation in Eigenarbeit die Normenzitate in der ADN-Ausgabe 2021 auf ihre Aktualität hin überprüft und die nachfolgenden Änderungsvorschläge erarbeitet</w:t>
      </w:r>
      <w:r w:rsidR="00BB79DB" w:rsidRPr="006C5859">
        <w:t>.</w:t>
      </w:r>
    </w:p>
    <w:p w14:paraId="1A5A844A" w14:textId="0282530C" w:rsidR="00C42401" w:rsidRPr="006C5859" w:rsidRDefault="00C42401" w:rsidP="000A72C7">
      <w:pPr>
        <w:tabs>
          <w:tab w:val="left" w:pos="567"/>
        </w:tabs>
        <w:spacing w:line="240" w:lineRule="atLeast"/>
        <w:ind w:left="0" w:firstLine="0"/>
      </w:pPr>
    </w:p>
    <w:p w14:paraId="5CB8AA5B" w14:textId="77777777" w:rsidR="00BD36FB" w:rsidRPr="006C5859" w:rsidRDefault="00BD36FB" w:rsidP="000A72C7">
      <w:pPr>
        <w:tabs>
          <w:tab w:val="left" w:pos="567"/>
        </w:tabs>
        <w:spacing w:line="240" w:lineRule="atLeast"/>
        <w:ind w:left="0" w:firstLine="0"/>
      </w:pPr>
    </w:p>
    <w:p w14:paraId="1D91C22F" w14:textId="14E925A1" w:rsidR="00B041A6" w:rsidRPr="006A16C0" w:rsidRDefault="00B041A6" w:rsidP="000A72C7">
      <w:pPr>
        <w:tabs>
          <w:tab w:val="left" w:pos="567"/>
        </w:tabs>
        <w:spacing w:line="240" w:lineRule="atLeast"/>
        <w:ind w:left="0" w:firstLine="0"/>
        <w:rPr>
          <w:b/>
          <w:sz w:val="28"/>
          <w:szCs w:val="28"/>
        </w:rPr>
      </w:pPr>
      <w:r w:rsidRPr="006A16C0">
        <w:rPr>
          <w:b/>
          <w:sz w:val="28"/>
          <w:szCs w:val="28"/>
        </w:rPr>
        <w:t>I.</w:t>
      </w:r>
      <w:r w:rsidRPr="006A16C0">
        <w:rPr>
          <w:b/>
          <w:sz w:val="28"/>
          <w:szCs w:val="28"/>
        </w:rPr>
        <w:tab/>
        <w:t>Antr</w:t>
      </w:r>
      <w:r w:rsidR="00DA312C" w:rsidRPr="006A16C0">
        <w:rPr>
          <w:b/>
          <w:sz w:val="28"/>
          <w:szCs w:val="28"/>
        </w:rPr>
        <w:t>ag</w:t>
      </w:r>
      <w:r w:rsidR="005F7C78" w:rsidRPr="006A16C0">
        <w:rPr>
          <w:b/>
          <w:sz w:val="28"/>
          <w:szCs w:val="28"/>
        </w:rPr>
        <w:t xml:space="preserve"> und Begründung</w:t>
      </w:r>
    </w:p>
    <w:p w14:paraId="7BD33A7F" w14:textId="77777777" w:rsidR="00361725" w:rsidRPr="006C5859" w:rsidRDefault="00361725" w:rsidP="000A72C7">
      <w:pPr>
        <w:tabs>
          <w:tab w:val="left" w:pos="567"/>
        </w:tabs>
        <w:spacing w:line="240" w:lineRule="atLeast"/>
        <w:ind w:left="0" w:firstLine="0"/>
        <w:rPr>
          <w:b/>
          <w:sz w:val="24"/>
          <w:szCs w:val="24"/>
        </w:rPr>
      </w:pPr>
    </w:p>
    <w:p w14:paraId="71780788" w14:textId="355621DE" w:rsidR="00286ED4" w:rsidRPr="006C5859" w:rsidRDefault="00286ED4" w:rsidP="006C5859">
      <w:pPr>
        <w:pStyle w:val="Paragraphedeliste"/>
        <w:numPr>
          <w:ilvl w:val="0"/>
          <w:numId w:val="9"/>
        </w:numPr>
        <w:tabs>
          <w:tab w:val="left" w:pos="567"/>
        </w:tabs>
        <w:spacing w:line="240" w:lineRule="atLeast"/>
        <w:ind w:hanging="720"/>
        <w:rPr>
          <w:b/>
          <w:sz w:val="24"/>
          <w:szCs w:val="24"/>
        </w:rPr>
      </w:pPr>
      <w:r w:rsidRPr="006C5859">
        <w:rPr>
          <w:b/>
          <w:sz w:val="24"/>
          <w:szCs w:val="24"/>
        </w:rPr>
        <w:t>Änderungsvorschläge, die ausschließlich das ADN betreffen</w:t>
      </w:r>
    </w:p>
    <w:p w14:paraId="24C5CDBD" w14:textId="77777777" w:rsidR="00286ED4" w:rsidRPr="006C5859" w:rsidRDefault="00286ED4" w:rsidP="000A72C7">
      <w:pPr>
        <w:tabs>
          <w:tab w:val="left" w:pos="567"/>
        </w:tabs>
        <w:spacing w:line="240" w:lineRule="atLeast"/>
        <w:ind w:left="0" w:firstLine="0"/>
        <w:rPr>
          <w:b/>
          <w:sz w:val="24"/>
          <w:szCs w:val="24"/>
        </w:rPr>
      </w:pPr>
    </w:p>
    <w:p w14:paraId="5372A3B3" w14:textId="1C0A3346" w:rsidR="00A94B80" w:rsidRPr="003D7C67" w:rsidRDefault="006A16C0" w:rsidP="000A72C7">
      <w:pPr>
        <w:tabs>
          <w:tab w:val="left" w:pos="567"/>
        </w:tabs>
        <w:spacing w:line="240" w:lineRule="atLeast"/>
        <w:ind w:left="0" w:firstLine="0"/>
        <w:rPr>
          <w:b/>
          <w:bCs/>
        </w:rPr>
      </w:pPr>
      <w:r>
        <w:rPr>
          <w:b/>
          <w:bCs/>
        </w:rPr>
        <w:t>1</w:t>
      </w:r>
      <w:r w:rsidR="00A94B80" w:rsidRPr="003D7C67">
        <w:rPr>
          <w:b/>
          <w:bCs/>
        </w:rPr>
        <w:t>.</w:t>
      </w:r>
      <w:r w:rsidR="00A94B80" w:rsidRPr="003D7C67">
        <w:rPr>
          <w:b/>
          <w:bCs/>
        </w:rPr>
        <w:tab/>
      </w:r>
      <w:r w:rsidR="002E2DAD" w:rsidRPr="003D7C67">
        <w:rPr>
          <w:b/>
          <w:bCs/>
        </w:rPr>
        <w:t xml:space="preserve">In Abschnitt 1.2.1 </w:t>
      </w:r>
      <w:r w:rsidR="00211F1A">
        <w:rPr>
          <w:b/>
          <w:bCs/>
        </w:rPr>
        <w:t>„</w:t>
      </w:r>
      <w:r w:rsidR="002E2DAD" w:rsidRPr="003D7C67">
        <w:rPr>
          <w:b/>
          <w:bCs/>
        </w:rPr>
        <w:t>Begriffsbestimmungen</w:t>
      </w:r>
      <w:r w:rsidR="00211F1A">
        <w:rPr>
          <w:b/>
          <w:bCs/>
        </w:rPr>
        <w:t>“</w:t>
      </w:r>
      <w:r w:rsidR="002E2DAD" w:rsidRPr="003D7C67">
        <w:rPr>
          <w:b/>
          <w:bCs/>
        </w:rPr>
        <w:t xml:space="preserve"> die folgenden Änderungen vornehmen:</w:t>
      </w:r>
    </w:p>
    <w:p w14:paraId="6FFEF446" w14:textId="77777777" w:rsidR="002E2DAD" w:rsidRPr="006C5859" w:rsidRDefault="002E2DAD" w:rsidP="000A72C7">
      <w:pPr>
        <w:tabs>
          <w:tab w:val="left" w:pos="567"/>
        </w:tabs>
        <w:spacing w:line="240" w:lineRule="atLeast"/>
        <w:ind w:left="0" w:firstLine="0"/>
      </w:pPr>
    </w:p>
    <w:p w14:paraId="22EE1100" w14:textId="7F0434A2" w:rsidR="005F3476" w:rsidRPr="006A16C0" w:rsidRDefault="002E2DAD" w:rsidP="000A72C7">
      <w:pPr>
        <w:tabs>
          <w:tab w:val="left" w:pos="567"/>
        </w:tabs>
        <w:spacing w:line="240" w:lineRule="atLeast"/>
        <w:ind w:left="567" w:hanging="567"/>
        <w:rPr>
          <w:b/>
          <w:bCs/>
        </w:rPr>
      </w:pPr>
      <w:r w:rsidRPr="006A16C0">
        <w:rPr>
          <w:b/>
          <w:bCs/>
        </w:rPr>
        <w:t>a)</w:t>
      </w:r>
      <w:r w:rsidRPr="006A16C0">
        <w:rPr>
          <w:b/>
          <w:bCs/>
        </w:rPr>
        <w:tab/>
      </w:r>
      <w:r w:rsidR="00EC05BE" w:rsidRPr="006A16C0">
        <w:rPr>
          <w:b/>
          <w:bCs/>
        </w:rPr>
        <w:t xml:space="preserve">In den </w:t>
      </w:r>
      <w:r w:rsidRPr="006A16C0">
        <w:rPr>
          <w:b/>
          <w:bCs/>
        </w:rPr>
        <w:t>Begriffsbestimmungen „</w:t>
      </w:r>
      <w:r w:rsidR="00EC05BE" w:rsidRPr="006A16C0">
        <w:rPr>
          <w:b/>
          <w:bCs/>
        </w:rPr>
        <w:t>Deflagration“, „Detonation“, „Explosion“, „Explosionsfähige Atmosphäre“, „Temperaturklasse“ und „</w:t>
      </w:r>
      <w:r w:rsidR="005F3476" w:rsidRPr="006A16C0">
        <w:rPr>
          <w:b/>
          <w:bCs/>
        </w:rPr>
        <w:t>Zündtemperatur“</w:t>
      </w:r>
    </w:p>
    <w:p w14:paraId="220EF250" w14:textId="77777777" w:rsidR="005F3476" w:rsidRPr="006C5859" w:rsidRDefault="005F3476" w:rsidP="000A72C7">
      <w:pPr>
        <w:tabs>
          <w:tab w:val="left" w:pos="567"/>
        </w:tabs>
        <w:spacing w:line="240" w:lineRule="atLeast"/>
        <w:ind w:left="0" w:firstLine="0"/>
      </w:pPr>
    </w:p>
    <w:p w14:paraId="32729B37" w14:textId="77777777" w:rsidR="002E2DAD" w:rsidRPr="00F55AF8" w:rsidRDefault="005F3476" w:rsidP="00F55AF8">
      <w:pPr>
        <w:tabs>
          <w:tab w:val="left" w:pos="567"/>
        </w:tabs>
        <w:spacing w:line="240" w:lineRule="atLeast"/>
        <w:ind w:left="567" w:firstLine="0"/>
        <w:rPr>
          <w:i/>
          <w:iCs/>
        </w:rPr>
      </w:pPr>
      <w:r w:rsidRPr="00F55AF8">
        <w:rPr>
          <w:i/>
          <w:iCs/>
        </w:rPr>
        <w:t>das Zitat „EN 13237:2011“ durch „EN 13237:2012“ ersetzen.</w:t>
      </w:r>
    </w:p>
    <w:p w14:paraId="71B950A3" w14:textId="77777777" w:rsidR="005F3476" w:rsidRPr="006C5859" w:rsidRDefault="005F3476" w:rsidP="000A72C7">
      <w:pPr>
        <w:tabs>
          <w:tab w:val="left" w:pos="567"/>
        </w:tabs>
        <w:spacing w:line="240" w:lineRule="atLeast"/>
        <w:ind w:left="0" w:firstLine="0"/>
      </w:pPr>
    </w:p>
    <w:p w14:paraId="6D577E3D" w14:textId="576001F9" w:rsidR="00764B31" w:rsidRPr="006C5859" w:rsidRDefault="00F55AF8" w:rsidP="00F55AF8">
      <w:pPr>
        <w:tabs>
          <w:tab w:val="left" w:pos="567"/>
          <w:tab w:val="left" w:pos="1134"/>
        </w:tabs>
        <w:spacing w:line="240" w:lineRule="atLeast"/>
        <w:ind w:left="567" w:firstLine="0"/>
      </w:pPr>
      <w:r>
        <w:t>4.</w:t>
      </w:r>
      <w:r>
        <w:tab/>
      </w:r>
      <w:r w:rsidR="00764B31" w:rsidRPr="006C5859">
        <w:t>Normtitel: „Explosionsgefährdete Bereiche - Begriffe für Geräte und Schutzsysteme zur Verwendung in explosionsgefährdeten Bereichen“.</w:t>
      </w:r>
    </w:p>
    <w:p w14:paraId="5092E245" w14:textId="77777777" w:rsidR="00056F64" w:rsidRPr="006C5859" w:rsidRDefault="00056F64" w:rsidP="00F55AF8">
      <w:pPr>
        <w:tabs>
          <w:tab w:val="left" w:pos="567"/>
          <w:tab w:val="left" w:pos="1134"/>
        </w:tabs>
        <w:spacing w:line="240" w:lineRule="atLeast"/>
        <w:ind w:left="567" w:firstLine="0"/>
      </w:pPr>
    </w:p>
    <w:p w14:paraId="2DFF5180" w14:textId="0A5535C3" w:rsidR="003B1471" w:rsidRPr="006C5859" w:rsidRDefault="00F55AF8" w:rsidP="00F55AF8">
      <w:pPr>
        <w:tabs>
          <w:tab w:val="left" w:pos="567"/>
          <w:tab w:val="left" w:pos="1134"/>
        </w:tabs>
        <w:spacing w:line="240" w:lineRule="atLeast"/>
        <w:ind w:left="567" w:firstLine="0"/>
      </w:pPr>
      <w:r>
        <w:t>5.</w:t>
      </w:r>
      <w:r>
        <w:tab/>
      </w:r>
      <w:r w:rsidR="00516446" w:rsidRPr="006C5859">
        <w:t>Es soll ein</w:t>
      </w:r>
      <w:r w:rsidR="003B1471" w:rsidRPr="006C5859">
        <w:t xml:space="preserve"> redaktioneller Fehler behoben</w:t>
      </w:r>
      <w:r w:rsidR="00516446" w:rsidRPr="006C5859">
        <w:t xml:space="preserve"> werden</w:t>
      </w:r>
      <w:r w:rsidR="003B1471" w:rsidRPr="006C5859">
        <w:t>. Es gibt keine Normausgabe aus dem Jahr 2011.</w:t>
      </w:r>
    </w:p>
    <w:p w14:paraId="36E66C93" w14:textId="77777777" w:rsidR="003B1471" w:rsidRPr="006C5859" w:rsidRDefault="003B1471" w:rsidP="00F55AF8">
      <w:pPr>
        <w:tabs>
          <w:tab w:val="left" w:pos="567"/>
          <w:tab w:val="left" w:pos="1134"/>
        </w:tabs>
        <w:spacing w:line="240" w:lineRule="atLeast"/>
        <w:ind w:left="567" w:firstLine="0"/>
      </w:pPr>
    </w:p>
    <w:p w14:paraId="40E00B69" w14:textId="0667FFDF" w:rsidR="0096214D" w:rsidRPr="00F55AF8" w:rsidRDefault="00F55AF8" w:rsidP="00F55AF8">
      <w:pPr>
        <w:tabs>
          <w:tab w:val="left" w:pos="567"/>
          <w:tab w:val="left" w:pos="1134"/>
        </w:tabs>
        <w:spacing w:line="240" w:lineRule="atLeast"/>
        <w:ind w:left="567" w:firstLine="0"/>
      </w:pPr>
      <w:r>
        <w:t>6.</w:t>
      </w:r>
      <w:r>
        <w:tab/>
      </w:r>
      <w:r w:rsidR="0096214D" w:rsidRPr="00F55AF8">
        <w:t>Es ist keine Übergangsvorschrift erforderlich, weil keine neue Anforderung aufgestellt wird.</w:t>
      </w:r>
    </w:p>
    <w:p w14:paraId="6E2283F9" w14:textId="5FD2F57E" w:rsidR="0096214D" w:rsidRPr="006C5859" w:rsidRDefault="0096214D" w:rsidP="00F55AF8">
      <w:pPr>
        <w:tabs>
          <w:tab w:val="left" w:pos="567"/>
        </w:tabs>
        <w:spacing w:line="240" w:lineRule="atLeast"/>
        <w:ind w:left="567" w:firstLine="0"/>
      </w:pPr>
    </w:p>
    <w:p w14:paraId="3B20C11C" w14:textId="77777777" w:rsidR="00A60B88" w:rsidRPr="006C5859" w:rsidRDefault="00A60B88" w:rsidP="00F55AF8">
      <w:pPr>
        <w:tabs>
          <w:tab w:val="left" w:pos="567"/>
        </w:tabs>
        <w:spacing w:line="240" w:lineRule="atLeast"/>
        <w:ind w:left="567" w:firstLine="0"/>
      </w:pPr>
    </w:p>
    <w:p w14:paraId="3D2DD694" w14:textId="77777777" w:rsidR="00286ED4" w:rsidRPr="00F55AF8" w:rsidRDefault="00B43610" w:rsidP="000A72C7">
      <w:pPr>
        <w:tabs>
          <w:tab w:val="left" w:pos="567"/>
        </w:tabs>
        <w:spacing w:line="240" w:lineRule="atLeast"/>
        <w:ind w:left="0" w:firstLine="0"/>
        <w:rPr>
          <w:b/>
          <w:bCs/>
        </w:rPr>
      </w:pPr>
      <w:r w:rsidRPr="00F55AF8">
        <w:rPr>
          <w:b/>
          <w:bCs/>
        </w:rPr>
        <w:t>b</w:t>
      </w:r>
      <w:r w:rsidR="00286ED4" w:rsidRPr="00F55AF8">
        <w:rPr>
          <w:b/>
          <w:bCs/>
        </w:rPr>
        <w:t>)</w:t>
      </w:r>
      <w:r w:rsidR="00286ED4" w:rsidRPr="00F55AF8">
        <w:rPr>
          <w:b/>
          <w:bCs/>
        </w:rPr>
        <w:tab/>
        <w:t>In der Begriffsbestimmung „Gasspüranlage“</w:t>
      </w:r>
    </w:p>
    <w:p w14:paraId="228DADA1" w14:textId="77777777" w:rsidR="00286ED4" w:rsidRPr="006C5859" w:rsidRDefault="00286ED4" w:rsidP="000A72C7">
      <w:pPr>
        <w:tabs>
          <w:tab w:val="left" w:pos="567"/>
        </w:tabs>
        <w:spacing w:line="240" w:lineRule="atLeast"/>
        <w:ind w:left="0" w:firstLine="0"/>
      </w:pPr>
    </w:p>
    <w:p w14:paraId="304AC65E" w14:textId="77777777" w:rsidR="00286ED4" w:rsidRPr="00F55AF8" w:rsidRDefault="00286ED4" w:rsidP="00F55AF8">
      <w:pPr>
        <w:tabs>
          <w:tab w:val="left" w:pos="567"/>
        </w:tabs>
        <w:spacing w:line="240" w:lineRule="atLeast"/>
        <w:ind w:left="567" w:firstLine="0"/>
        <w:rPr>
          <w:i/>
          <w:iCs/>
        </w:rPr>
      </w:pPr>
      <w:r w:rsidRPr="00F55AF8">
        <w:rPr>
          <w:i/>
          <w:iCs/>
        </w:rPr>
        <w:t>das Zitat „EN 50271:2010“ durch „EN 50271:2018“ ersetzen.</w:t>
      </w:r>
    </w:p>
    <w:p w14:paraId="3FA8C590" w14:textId="77777777" w:rsidR="00286ED4" w:rsidRPr="006C5859" w:rsidRDefault="00286ED4" w:rsidP="00F55AF8">
      <w:pPr>
        <w:tabs>
          <w:tab w:val="left" w:pos="567"/>
        </w:tabs>
        <w:spacing w:line="240" w:lineRule="atLeast"/>
        <w:ind w:left="567" w:firstLine="0"/>
      </w:pPr>
    </w:p>
    <w:p w14:paraId="48AFEEBE" w14:textId="0EBBE100" w:rsidR="00286ED4" w:rsidRPr="006C5859" w:rsidRDefault="00F55AF8" w:rsidP="00F55AF8">
      <w:pPr>
        <w:tabs>
          <w:tab w:val="left" w:pos="567"/>
          <w:tab w:val="left" w:pos="1134"/>
        </w:tabs>
        <w:spacing w:line="240" w:lineRule="atLeast"/>
        <w:ind w:left="567" w:firstLine="0"/>
      </w:pPr>
      <w:r>
        <w:t>7.</w:t>
      </w:r>
      <w:r>
        <w:tab/>
      </w:r>
      <w:r w:rsidR="00286ED4" w:rsidRPr="006C5859">
        <w:t>Normtitel: „Elektrische Geräte für die Detektion und Messung von brennbaren Gasen, giftigen Gasen oder Sauerstoff - Anforderungen und Prüfungen für Warngeräte, die Software und/oder Digitaltechnik nutzen“</w:t>
      </w:r>
      <w:r w:rsidR="00B20810">
        <w:t>.</w:t>
      </w:r>
    </w:p>
    <w:p w14:paraId="2066C92A" w14:textId="77777777" w:rsidR="00286ED4" w:rsidRPr="006C5859" w:rsidRDefault="00286ED4" w:rsidP="00F55AF8">
      <w:pPr>
        <w:tabs>
          <w:tab w:val="left" w:pos="567"/>
          <w:tab w:val="left" w:pos="1134"/>
        </w:tabs>
        <w:spacing w:line="240" w:lineRule="atLeast"/>
        <w:ind w:left="567" w:firstLine="0"/>
      </w:pPr>
    </w:p>
    <w:p w14:paraId="22401771" w14:textId="5E8ADC2F" w:rsidR="00286ED4" w:rsidRPr="006C5859" w:rsidRDefault="00F55AF8" w:rsidP="00F55AF8">
      <w:pPr>
        <w:tabs>
          <w:tab w:val="left" w:pos="567"/>
          <w:tab w:val="left" w:pos="1134"/>
        </w:tabs>
        <w:spacing w:line="240" w:lineRule="atLeast"/>
        <w:ind w:left="567" w:firstLine="0"/>
      </w:pPr>
      <w:r>
        <w:t>8.</w:t>
      </w:r>
      <w:r>
        <w:tab/>
      </w:r>
      <w:r w:rsidR="00286ED4" w:rsidRPr="006C5859">
        <w:t>Die zitierte Normausgabe ist veraltet. Die Änderungen betreffen insbesondere technisch relevante Aspekte der Übereinstimmung mit SIL (Safety integrity level) 1 und Anpassungen an die Struktur der EN</w:t>
      </w:r>
      <w:r w:rsidR="001912AF" w:rsidRPr="006C5859">
        <w:t> </w:t>
      </w:r>
      <w:r w:rsidR="00286ED4" w:rsidRPr="006C5859">
        <w:t>50402 („Elektrische Geräte für die Detektion und Messung von brennbaren oder toxischen Gasen und Dämpfen oder Sauerstoff</w:t>
      </w:r>
      <w:r w:rsidR="00BD36FB" w:rsidRPr="006C5859">
        <w:t xml:space="preserve"> </w:t>
      </w:r>
      <w:r w:rsidR="00286ED4" w:rsidRPr="006C5859">
        <w:t>- Anforderungen an die funktionale Sicherheit von Gaswarnsystemen“).</w:t>
      </w:r>
    </w:p>
    <w:p w14:paraId="167F41EF" w14:textId="131A4F93" w:rsidR="00320389" w:rsidRPr="006C5859" w:rsidRDefault="00320389" w:rsidP="00F55AF8">
      <w:pPr>
        <w:widowControl/>
        <w:tabs>
          <w:tab w:val="left" w:pos="1134"/>
        </w:tabs>
        <w:overflowPunct/>
        <w:autoSpaceDE/>
        <w:autoSpaceDN/>
        <w:adjustRightInd/>
        <w:ind w:left="567" w:firstLine="0"/>
        <w:textAlignment w:val="auto"/>
      </w:pPr>
    </w:p>
    <w:p w14:paraId="3C7410BA" w14:textId="55F09A1D" w:rsidR="00286ED4" w:rsidRPr="006C5859" w:rsidRDefault="00F55AF8" w:rsidP="00F55AF8">
      <w:pPr>
        <w:tabs>
          <w:tab w:val="left" w:pos="567"/>
          <w:tab w:val="left" w:pos="1134"/>
        </w:tabs>
        <w:spacing w:line="240" w:lineRule="atLeast"/>
        <w:ind w:left="567" w:firstLine="0"/>
      </w:pPr>
      <w:r>
        <w:t>9.</w:t>
      </w:r>
      <w:r>
        <w:tab/>
      </w:r>
      <w:r w:rsidR="00286ED4" w:rsidRPr="006C5859">
        <w:t>Gasspüranlagen für Neubauten und Ersatzteile für bestehende Schiffe können nicht mehr nach der alten Normausgabe beschafft werden. Es ist kein Grund bekannt, warum die aktuelle Ausgabe nicht für das ADN geeignet sein könnte.</w:t>
      </w:r>
    </w:p>
    <w:p w14:paraId="7F45B5A9" w14:textId="1C56B4B3" w:rsidR="0085433A" w:rsidRDefault="0085433A">
      <w:pPr>
        <w:widowControl/>
        <w:overflowPunct/>
        <w:autoSpaceDE/>
        <w:autoSpaceDN/>
        <w:adjustRightInd/>
        <w:ind w:left="0" w:firstLine="0"/>
        <w:jc w:val="left"/>
        <w:textAlignment w:val="auto"/>
      </w:pPr>
      <w:r>
        <w:br w:type="page"/>
      </w:r>
    </w:p>
    <w:p w14:paraId="1CD5413B" w14:textId="6050D50A" w:rsidR="0096214D" w:rsidRPr="00F55AF8" w:rsidRDefault="00F55AF8" w:rsidP="00F55AF8">
      <w:pPr>
        <w:tabs>
          <w:tab w:val="left" w:pos="567"/>
          <w:tab w:val="left" w:pos="1134"/>
        </w:tabs>
        <w:spacing w:line="240" w:lineRule="atLeast"/>
        <w:ind w:left="567" w:firstLine="0"/>
      </w:pPr>
      <w:r>
        <w:lastRenderedPageBreak/>
        <w:t>10.</w:t>
      </w:r>
      <w:r>
        <w:tab/>
      </w:r>
      <w:r w:rsidR="0096214D" w:rsidRPr="00F55AF8">
        <w:t xml:space="preserve">Die Folgende Übergangsvorschrift in 1.6.7.2.2.2 </w:t>
      </w:r>
      <w:r w:rsidR="00294258" w:rsidRPr="00F55AF8">
        <w:t xml:space="preserve">Tabelle der allgemeinen Übergangsvorschriften: </w:t>
      </w:r>
      <w:r w:rsidR="0096214D" w:rsidRPr="00F55AF8">
        <w:t>Tankschiffe ADN einfügen:</w:t>
      </w:r>
    </w:p>
    <w:p w14:paraId="3C343672" w14:textId="77777777" w:rsidR="0096214D" w:rsidRPr="006C5859" w:rsidRDefault="0096214D" w:rsidP="000A72C7">
      <w:pPr>
        <w:tabs>
          <w:tab w:val="left" w:pos="567"/>
        </w:tabs>
        <w:spacing w:line="240" w:lineRule="atLeast"/>
        <w:ind w:left="0"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96214D" w:rsidRPr="006C5859" w14:paraId="6F7C65BB" w14:textId="77777777" w:rsidTr="0096214D">
        <w:trPr>
          <w:cantSplit/>
        </w:trPr>
        <w:tc>
          <w:tcPr>
            <w:tcW w:w="1207" w:type="dxa"/>
            <w:tcBorders>
              <w:top w:val="single" w:sz="6" w:space="0" w:color="auto"/>
              <w:left w:val="single" w:sz="6" w:space="0" w:color="auto"/>
              <w:bottom w:val="single" w:sz="6" w:space="0" w:color="auto"/>
              <w:right w:val="single" w:sz="6" w:space="0" w:color="auto"/>
            </w:tcBorders>
          </w:tcPr>
          <w:p w14:paraId="3A198E3A" w14:textId="77777777" w:rsidR="0096214D" w:rsidRPr="006C5859" w:rsidRDefault="0096214D"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0172269C" w14:textId="77777777" w:rsidR="0096214D" w:rsidRPr="006C5859" w:rsidRDefault="0096214D" w:rsidP="000A72C7">
            <w:pPr>
              <w:spacing w:line="240" w:lineRule="atLeast"/>
              <w:ind w:left="0" w:right="184" w:firstLine="0"/>
            </w:pPr>
            <w:r w:rsidRPr="006C5859">
              <w:t>Gasspüranlage</w:t>
            </w:r>
          </w:p>
          <w:p w14:paraId="133FD27E" w14:textId="7AE8A022" w:rsidR="0096214D" w:rsidRPr="006C5859" w:rsidRDefault="0096214D" w:rsidP="000A72C7">
            <w:pPr>
              <w:pStyle w:val="N3"/>
              <w:tabs>
                <w:tab w:val="clear" w:pos="170"/>
              </w:tabs>
              <w:spacing w:line="240" w:lineRule="atLeast"/>
              <w:ind w:left="41" w:right="184" w:firstLine="0"/>
              <w:rPr>
                <w:rFonts w:ascii="Times New Roman" w:hAnsi="Times New Roman"/>
                <w:sz w:val="20"/>
                <w:lang w:val="de-DE"/>
              </w:rPr>
            </w:pPr>
            <w:r w:rsidRPr="006C5859">
              <w:rPr>
                <w:rFonts w:ascii="Times New Roman" w:hAnsi="Times New Roman"/>
                <w:sz w:val="20"/>
                <w:lang w:val="de-DE"/>
              </w:rPr>
              <w:t xml:space="preserve">Prüfung nach </w:t>
            </w:r>
            <w:r w:rsidR="00E70612" w:rsidRPr="006C5859">
              <w:rPr>
                <w:rFonts w:ascii="Times New Roman" w:hAnsi="Times New Roman"/>
                <w:sz w:val="20"/>
                <w:lang w:val="de-DE"/>
              </w:rPr>
              <w:t>IEC/EN 60079-29-1:2016 und</w:t>
            </w:r>
            <w:r w:rsidRPr="006C5859">
              <w:rPr>
                <w:rFonts w:ascii="Times New Roman" w:hAnsi="Times New Roman"/>
                <w:sz w:val="20"/>
                <w:lang w:val="de-DE"/>
              </w:rPr>
              <w:t xml:space="preserve"> </w:t>
            </w:r>
            <w:r w:rsidR="00E70612" w:rsidRPr="006C5859">
              <w:rPr>
                <w:rFonts w:ascii="Times New Roman" w:hAnsi="Times New Roman"/>
                <w:sz w:val="20"/>
                <w:lang w:val="de-DE"/>
              </w:rPr>
              <w:t xml:space="preserve">EN </w:t>
            </w:r>
            <w:r w:rsidRPr="006C5859">
              <w:rPr>
                <w:rFonts w:ascii="Times New Roman" w:hAnsi="Times New Roman"/>
                <w:sz w:val="20"/>
                <w:lang w:val="de-DE"/>
              </w:rPr>
              <w:t>50271:2018</w:t>
            </w:r>
          </w:p>
        </w:tc>
        <w:tc>
          <w:tcPr>
            <w:tcW w:w="5355" w:type="dxa"/>
            <w:tcBorders>
              <w:top w:val="single" w:sz="6" w:space="0" w:color="auto"/>
              <w:left w:val="single" w:sz="6" w:space="0" w:color="auto"/>
              <w:bottom w:val="single" w:sz="6" w:space="0" w:color="auto"/>
              <w:right w:val="single" w:sz="6" w:space="0" w:color="auto"/>
            </w:tcBorders>
          </w:tcPr>
          <w:p w14:paraId="127AD883" w14:textId="77777777" w:rsidR="0096214D" w:rsidRPr="006C5859" w:rsidRDefault="0096214D" w:rsidP="000A72C7">
            <w:pPr>
              <w:pStyle w:val="N3"/>
              <w:spacing w:line="240" w:lineRule="atLeast"/>
              <w:rPr>
                <w:rFonts w:ascii="Times New Roman" w:hAnsi="Times New Roman"/>
                <w:sz w:val="20"/>
                <w:lang w:val="de-DE"/>
              </w:rPr>
            </w:pPr>
            <w:r w:rsidRPr="006C5859">
              <w:rPr>
                <w:rFonts w:ascii="Times New Roman" w:hAnsi="Times New Roman"/>
                <w:sz w:val="20"/>
                <w:lang w:val="de-DE"/>
              </w:rPr>
              <w:t>N.E.U. ab 1. Januar 2023</w:t>
            </w:r>
          </w:p>
          <w:p w14:paraId="1E629DA4" w14:textId="48466914" w:rsidR="006C4C72" w:rsidRPr="006C5859" w:rsidRDefault="006C4C72" w:rsidP="000A72C7">
            <w:pPr>
              <w:pStyle w:val="N3"/>
              <w:tabs>
                <w:tab w:val="clear" w:pos="170"/>
              </w:tabs>
              <w:spacing w:line="240" w:lineRule="atLeast"/>
              <w:rPr>
                <w:rFonts w:ascii="Times New Roman" w:hAnsi="Times New Roman"/>
                <w:sz w:val="20"/>
                <w:lang w:val="de-DE"/>
              </w:rPr>
            </w:pPr>
          </w:p>
          <w:p w14:paraId="503A0F90" w14:textId="2F799751" w:rsidR="006C4C72" w:rsidRPr="006C5859" w:rsidRDefault="006C4C72" w:rsidP="00A65674">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Für Schiffe, die vor dem 1. Januar 2019</w:t>
            </w:r>
            <w:r w:rsidR="00A65674">
              <w:rPr>
                <w:rFonts w:ascii="Times New Roman" w:hAnsi="Times New Roman"/>
                <w:sz w:val="20"/>
                <w:lang w:val="de-DE"/>
              </w:rPr>
              <w:t xml:space="preserve"> </w:t>
            </w:r>
            <w:r w:rsidRPr="006C5859">
              <w:rPr>
                <w:rFonts w:ascii="Times New Roman" w:hAnsi="Times New Roman"/>
                <w:sz w:val="20"/>
                <w:lang w:val="de-DE"/>
              </w:rPr>
              <w:t>in Betrieb genommen wurden:</w:t>
            </w:r>
          </w:p>
          <w:p w14:paraId="1CD8181D" w14:textId="70923D8E" w:rsidR="0096214D" w:rsidRPr="006C5859" w:rsidRDefault="0096214D" w:rsidP="00A65674">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w:t>
            </w:r>
            <w:r w:rsidR="00A65674">
              <w:rPr>
                <w:rFonts w:ascii="Times New Roman" w:hAnsi="Times New Roman"/>
                <w:sz w:val="20"/>
                <w:lang w:val="de-DE"/>
              </w:rPr>
              <w:t xml:space="preserve"> </w:t>
            </w:r>
            <w:r w:rsidRPr="006C5859">
              <w:rPr>
                <w:rFonts w:ascii="Times New Roman" w:hAnsi="Times New Roman"/>
                <w:sz w:val="20"/>
                <w:lang w:val="de-DE"/>
              </w:rPr>
              <w:t>nach dem 31.</w:t>
            </w:r>
            <w:r w:rsidR="001912AF" w:rsidRPr="006C5859">
              <w:rPr>
                <w:rFonts w:ascii="Times New Roman" w:hAnsi="Times New Roman"/>
                <w:sz w:val="20"/>
                <w:lang w:val="de-DE"/>
              </w:rPr>
              <w:t xml:space="preserve"> </w:t>
            </w:r>
            <w:r w:rsidR="001912AF" w:rsidRPr="006C5859">
              <w:rPr>
                <w:rFonts w:ascii="Times New Roman" w:hAnsi="Times New Roman"/>
                <w:sz w:val="20"/>
                <w:lang w:val="de-DE"/>
              </w:rPr>
              <w:t> </w:t>
            </w:r>
            <w:r w:rsidRPr="006C5859">
              <w:rPr>
                <w:rFonts w:ascii="Times New Roman" w:hAnsi="Times New Roman"/>
                <w:sz w:val="20"/>
                <w:lang w:val="de-DE"/>
              </w:rPr>
              <w:t>Dezember</w:t>
            </w:r>
            <w:r w:rsidR="001912AF" w:rsidRPr="006C5859">
              <w:rPr>
                <w:rFonts w:ascii="Times New Roman" w:hAnsi="Times New Roman"/>
                <w:sz w:val="20"/>
                <w:lang w:val="de-DE"/>
              </w:rPr>
              <w:t> </w:t>
            </w:r>
            <w:r w:rsidR="00A31BE3" w:rsidRPr="006C5859">
              <w:rPr>
                <w:rFonts w:ascii="Times New Roman" w:hAnsi="Times New Roman"/>
                <w:sz w:val="20"/>
                <w:lang w:val="de-DE"/>
              </w:rPr>
              <w:t>2024</w:t>
            </w:r>
          </w:p>
          <w:p w14:paraId="7C24E329" w14:textId="2E2B8612" w:rsidR="006C4C72" w:rsidRPr="006C5859" w:rsidRDefault="006C4C72" w:rsidP="00A65674">
            <w:pPr>
              <w:pStyle w:val="N3"/>
              <w:tabs>
                <w:tab w:val="clear" w:pos="170"/>
              </w:tabs>
              <w:spacing w:line="240" w:lineRule="atLeast"/>
              <w:ind w:left="0" w:firstLine="0"/>
              <w:rPr>
                <w:rFonts w:ascii="Times New Roman" w:hAnsi="Times New Roman"/>
                <w:sz w:val="20"/>
                <w:lang w:val="de-DE"/>
              </w:rPr>
            </w:pPr>
          </w:p>
          <w:p w14:paraId="56C322D9" w14:textId="61D904BE" w:rsidR="006C4C72" w:rsidRPr="006C5859" w:rsidRDefault="006C4C72" w:rsidP="00A65674">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Für Schiffe, die ab dem 1. Januar 2019</w:t>
            </w:r>
            <w:r w:rsidR="00A65674">
              <w:rPr>
                <w:rFonts w:ascii="Times New Roman" w:hAnsi="Times New Roman"/>
                <w:sz w:val="20"/>
                <w:lang w:val="de-DE"/>
              </w:rPr>
              <w:t xml:space="preserve"> </w:t>
            </w:r>
            <w:r w:rsidRPr="006C5859">
              <w:rPr>
                <w:rFonts w:ascii="Times New Roman" w:hAnsi="Times New Roman"/>
                <w:sz w:val="20"/>
                <w:lang w:val="de-DE"/>
              </w:rPr>
              <w:t>in Betrieb ge</w:t>
            </w:r>
            <w:r w:rsidR="00E70612" w:rsidRPr="006C5859">
              <w:rPr>
                <w:rFonts w:ascii="Times New Roman" w:hAnsi="Times New Roman"/>
                <w:sz w:val="20"/>
                <w:lang w:val="de-DE"/>
              </w:rPr>
              <w:t>n</w:t>
            </w:r>
            <w:r w:rsidRPr="006C5859">
              <w:rPr>
                <w:rFonts w:ascii="Times New Roman" w:hAnsi="Times New Roman"/>
                <w:sz w:val="20"/>
                <w:lang w:val="de-DE"/>
              </w:rPr>
              <w:t>ommen wurden:</w:t>
            </w:r>
          </w:p>
          <w:p w14:paraId="380D40D1" w14:textId="3F68D846" w:rsidR="0096214D" w:rsidRPr="006C5859" w:rsidRDefault="00E70612" w:rsidP="00A65674">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w:t>
            </w:r>
            <w:r w:rsidR="00A65674">
              <w:rPr>
                <w:rFonts w:ascii="Times New Roman" w:hAnsi="Times New Roman"/>
                <w:sz w:val="20"/>
                <w:lang w:val="de-DE"/>
              </w:rPr>
              <w:t xml:space="preserve"> </w:t>
            </w:r>
            <w:r w:rsidRPr="006C5859">
              <w:rPr>
                <w:rFonts w:ascii="Times New Roman" w:hAnsi="Times New Roman"/>
                <w:sz w:val="20"/>
                <w:lang w:val="de-DE"/>
              </w:rPr>
              <w:t>nach dem 31.</w:t>
            </w:r>
            <w:r w:rsidR="001912AF" w:rsidRPr="006C5859">
              <w:rPr>
                <w:rFonts w:ascii="Times New Roman" w:hAnsi="Times New Roman"/>
                <w:sz w:val="20"/>
                <w:lang w:val="de-DE"/>
              </w:rPr>
              <w:t> </w:t>
            </w:r>
            <w:r w:rsidRPr="006C5859">
              <w:rPr>
                <w:rFonts w:ascii="Times New Roman" w:hAnsi="Times New Roman"/>
                <w:sz w:val="20"/>
                <w:lang w:val="de-DE"/>
              </w:rPr>
              <w:t>Dezember</w:t>
            </w:r>
            <w:r w:rsidR="001912AF" w:rsidRPr="006C5859">
              <w:rPr>
                <w:rFonts w:ascii="Times New Roman" w:hAnsi="Times New Roman"/>
                <w:sz w:val="20"/>
                <w:lang w:val="de-DE"/>
              </w:rPr>
              <w:t> </w:t>
            </w:r>
            <w:r w:rsidRPr="006C5859">
              <w:rPr>
                <w:rFonts w:ascii="Times New Roman" w:hAnsi="Times New Roman"/>
                <w:sz w:val="20"/>
                <w:lang w:val="de-DE"/>
              </w:rPr>
              <w:t>2027</w:t>
            </w:r>
          </w:p>
        </w:tc>
      </w:tr>
    </w:tbl>
    <w:p w14:paraId="1257AA54" w14:textId="77777777" w:rsidR="0096214D" w:rsidRPr="006C5859" w:rsidRDefault="0096214D" w:rsidP="000A72C7">
      <w:pPr>
        <w:tabs>
          <w:tab w:val="left" w:pos="567"/>
        </w:tabs>
        <w:spacing w:line="240" w:lineRule="atLeast"/>
        <w:ind w:left="0" w:firstLine="0"/>
      </w:pPr>
    </w:p>
    <w:p w14:paraId="753770B2" w14:textId="42C4DE58" w:rsidR="00A31BE3" w:rsidRPr="006C5859" w:rsidRDefault="00F55AF8" w:rsidP="001912AF">
      <w:pPr>
        <w:tabs>
          <w:tab w:val="left" w:pos="567"/>
          <w:tab w:val="left" w:pos="1134"/>
        </w:tabs>
        <w:spacing w:line="240" w:lineRule="atLeast"/>
        <w:ind w:left="567" w:firstLine="0"/>
      </w:pPr>
      <w:r>
        <w:t>11.</w:t>
      </w:r>
      <w:r>
        <w:tab/>
      </w:r>
      <w:r w:rsidR="0096214D" w:rsidRPr="006C5859">
        <w:t>Die Änderung der Norm enthält sicherheitstechnisch relevante Bestandteile. Deswegen ist eine Nachrüstung der Gasspüranlagen erforderlich, um das bestmögliche Sicherheitsniveau zu erhalten.</w:t>
      </w:r>
    </w:p>
    <w:p w14:paraId="34B7C92B" w14:textId="77777777" w:rsidR="00F55AF8" w:rsidRDefault="00F55AF8" w:rsidP="001912AF">
      <w:pPr>
        <w:tabs>
          <w:tab w:val="left" w:pos="567"/>
          <w:tab w:val="left" w:pos="1134"/>
        </w:tabs>
        <w:spacing w:line="240" w:lineRule="atLeast"/>
        <w:ind w:left="567" w:firstLine="0"/>
      </w:pPr>
    </w:p>
    <w:p w14:paraId="5DEAC96D" w14:textId="2C4B7C49" w:rsidR="00A31BE3" w:rsidRPr="006C5859" w:rsidRDefault="00F55AF8" w:rsidP="001912AF">
      <w:pPr>
        <w:tabs>
          <w:tab w:val="left" w:pos="567"/>
          <w:tab w:val="left" w:pos="1134"/>
        </w:tabs>
        <w:spacing w:line="240" w:lineRule="atLeast"/>
        <w:ind w:left="567" w:firstLine="0"/>
      </w:pPr>
      <w:r>
        <w:t>12.</w:t>
      </w:r>
      <w:r>
        <w:tab/>
      </w:r>
      <w:r w:rsidR="00A31BE3" w:rsidRPr="006C5859">
        <w:t xml:space="preserve">Auf der anderen Seite wurde die für die Gasspüranlagen anzuwendende Norm </w:t>
      </w:r>
      <w:r w:rsidR="00E70612" w:rsidRPr="006C5859">
        <w:t xml:space="preserve">mit der Ausgabe 2010 </w:t>
      </w:r>
      <w:r w:rsidR="006C4C72" w:rsidRPr="006C5859">
        <w:t>erst</w:t>
      </w:r>
      <w:r w:rsidR="00A31BE3" w:rsidRPr="006C5859">
        <w:t xml:space="preserve"> mit Wirkung vom 1. Januar 2019 (ADN 2019) </w:t>
      </w:r>
      <w:r w:rsidR="006C4C72" w:rsidRPr="006C5859">
        <w:t>eingeführt. Bis zum ADN 2019 wurde in der Begriffsbestimmung keine Prüfnorm genannt.</w:t>
      </w:r>
      <w:r w:rsidR="00A31BE3" w:rsidRPr="006C5859">
        <w:t xml:space="preserve"> Es gibt eine noch laufende Übergangsfrist „Erneuerung des Zulassungszeugnisses nach dem 31. Dezember 2024.</w:t>
      </w:r>
    </w:p>
    <w:p w14:paraId="777EE606" w14:textId="08CED9F3" w:rsidR="006C4C72" w:rsidRPr="006C5859" w:rsidRDefault="006C4C72" w:rsidP="001912AF">
      <w:pPr>
        <w:tabs>
          <w:tab w:val="left" w:pos="567"/>
          <w:tab w:val="left" w:pos="1134"/>
        </w:tabs>
        <w:spacing w:line="240" w:lineRule="atLeast"/>
        <w:ind w:left="567" w:firstLine="0"/>
      </w:pPr>
    </w:p>
    <w:p w14:paraId="028BF78D" w14:textId="697EC9C6" w:rsidR="00E70612" w:rsidRPr="006C5859" w:rsidRDefault="00F55AF8" w:rsidP="001912AF">
      <w:pPr>
        <w:tabs>
          <w:tab w:val="left" w:pos="567"/>
          <w:tab w:val="left" w:pos="1134"/>
        </w:tabs>
        <w:spacing w:line="240" w:lineRule="atLeast"/>
        <w:ind w:left="567" w:firstLine="0"/>
      </w:pPr>
      <w:r>
        <w:t>13.</w:t>
      </w:r>
      <w:r>
        <w:tab/>
      </w:r>
      <w:r w:rsidR="00E70612" w:rsidRPr="006C5859">
        <w:t>Deswegen soll es eine differenzierte Übergangsfrist geben.</w:t>
      </w:r>
    </w:p>
    <w:p w14:paraId="693E6ED5" w14:textId="77777777" w:rsidR="00E70612" w:rsidRPr="006C5859" w:rsidRDefault="00E70612" w:rsidP="001912AF">
      <w:pPr>
        <w:tabs>
          <w:tab w:val="left" w:pos="567"/>
          <w:tab w:val="left" w:pos="1134"/>
        </w:tabs>
        <w:spacing w:line="240" w:lineRule="atLeast"/>
        <w:ind w:left="567" w:firstLine="0"/>
      </w:pPr>
    </w:p>
    <w:p w14:paraId="2E1B3291" w14:textId="058B443F" w:rsidR="00E70612" w:rsidRPr="006C5859" w:rsidRDefault="00F55AF8" w:rsidP="001912AF">
      <w:pPr>
        <w:tabs>
          <w:tab w:val="left" w:pos="567"/>
          <w:tab w:val="left" w:pos="1134"/>
        </w:tabs>
        <w:spacing w:line="240" w:lineRule="atLeast"/>
        <w:ind w:left="567" w:firstLine="0"/>
      </w:pPr>
      <w:r>
        <w:t>14.</w:t>
      </w:r>
      <w:r>
        <w:tab/>
      </w:r>
      <w:r w:rsidR="00E70612" w:rsidRPr="006C5859">
        <w:t>Für Schiffe, die am 1. Januar 2019 in Betrieb waren, ergibt sich keine Änderung. Die Anwendung der aktuelleren Prüfnorm ist für sie nach wie vor erst mit der Erneuerung des Zulassungszeugnisses nach dem 31.</w:t>
      </w:r>
      <w:r w:rsidR="001912AF" w:rsidRPr="006C5859">
        <w:t> </w:t>
      </w:r>
      <w:r w:rsidR="00E70612" w:rsidRPr="006C5859">
        <w:t>Dezember 2024 erforderlich. Faktisch können sie die Anwendung der Normausgabe 2010 überspringen.</w:t>
      </w:r>
    </w:p>
    <w:p w14:paraId="29DC0E71" w14:textId="77777777" w:rsidR="00E70612" w:rsidRPr="006C5859" w:rsidRDefault="00E70612" w:rsidP="001912AF">
      <w:pPr>
        <w:tabs>
          <w:tab w:val="left" w:pos="567"/>
          <w:tab w:val="left" w:pos="1134"/>
        </w:tabs>
        <w:spacing w:line="240" w:lineRule="atLeast"/>
        <w:ind w:left="567" w:firstLine="0"/>
      </w:pPr>
    </w:p>
    <w:p w14:paraId="1E2144F2" w14:textId="6C03F328" w:rsidR="006C4C72" w:rsidRPr="006C5859" w:rsidRDefault="00F55AF8" w:rsidP="001912AF">
      <w:pPr>
        <w:tabs>
          <w:tab w:val="left" w:pos="567"/>
          <w:tab w:val="left" w:pos="1134"/>
        </w:tabs>
        <w:spacing w:line="240" w:lineRule="atLeast"/>
        <w:ind w:left="567" w:firstLine="0"/>
      </w:pPr>
      <w:r>
        <w:t>15.</w:t>
      </w:r>
      <w:r>
        <w:tab/>
      </w:r>
      <w:r w:rsidR="006C4C72" w:rsidRPr="006C5859">
        <w:t xml:space="preserve">Für Schiffe, die nach dem 1. Januar 2019 in Betrieb genommen wurden, </w:t>
      </w:r>
      <w:r w:rsidR="00E70612" w:rsidRPr="006C5859">
        <w:t>soll die Anwendung der Normausgabe 2018 weiter hinausgeschoben werden. Sie soll erst ab der Erneuerung des Zulassungszeugnisses nach dem 31.</w:t>
      </w:r>
      <w:r w:rsidR="009A378F">
        <w:t xml:space="preserve"> Dezember </w:t>
      </w:r>
      <w:r w:rsidR="00E70612" w:rsidRPr="006C5859">
        <w:t>2027 nötig sein. So kann die vorhandene Anlage auch auf Schiffen, die im Jahr 2022 in Betrieb genommen werden, fünf Jahre weiter genutzt werden.</w:t>
      </w:r>
    </w:p>
    <w:p w14:paraId="2748EF80" w14:textId="754E49BC" w:rsidR="00F55AF8" w:rsidRDefault="00F55AF8">
      <w:pPr>
        <w:widowControl/>
        <w:overflowPunct/>
        <w:autoSpaceDE/>
        <w:autoSpaceDN/>
        <w:adjustRightInd/>
        <w:ind w:left="0" w:firstLine="0"/>
        <w:jc w:val="left"/>
        <w:textAlignment w:val="auto"/>
      </w:pPr>
    </w:p>
    <w:p w14:paraId="576FAAC1" w14:textId="77777777" w:rsidR="0085433A" w:rsidRDefault="0085433A">
      <w:pPr>
        <w:widowControl/>
        <w:overflowPunct/>
        <w:autoSpaceDE/>
        <w:autoSpaceDN/>
        <w:adjustRightInd/>
        <w:ind w:left="0" w:firstLine="0"/>
        <w:jc w:val="left"/>
        <w:textAlignment w:val="auto"/>
      </w:pPr>
    </w:p>
    <w:p w14:paraId="1AD6949D" w14:textId="77777777" w:rsidR="00286ED4" w:rsidRPr="00F55AF8" w:rsidRDefault="00B43610" w:rsidP="000A72C7">
      <w:pPr>
        <w:tabs>
          <w:tab w:val="left" w:pos="567"/>
        </w:tabs>
        <w:spacing w:line="240" w:lineRule="atLeast"/>
        <w:ind w:left="0" w:firstLine="0"/>
        <w:rPr>
          <w:b/>
          <w:bCs/>
        </w:rPr>
      </w:pPr>
      <w:r w:rsidRPr="00F55AF8">
        <w:rPr>
          <w:b/>
          <w:bCs/>
        </w:rPr>
        <w:t>c</w:t>
      </w:r>
      <w:r w:rsidR="00286ED4" w:rsidRPr="00F55AF8">
        <w:rPr>
          <w:b/>
          <w:bCs/>
        </w:rPr>
        <w:t>)</w:t>
      </w:r>
      <w:r w:rsidR="00286ED4" w:rsidRPr="00F55AF8">
        <w:rPr>
          <w:b/>
          <w:bCs/>
        </w:rPr>
        <w:tab/>
        <w:t>In den Begriffsbestimmungen „Sauerstoffmessanlage“ und „Sauerstoffmessgerät“</w:t>
      </w:r>
    </w:p>
    <w:p w14:paraId="35100B2D" w14:textId="77777777" w:rsidR="00286ED4" w:rsidRPr="006C5859" w:rsidRDefault="00286ED4" w:rsidP="000A72C7">
      <w:pPr>
        <w:tabs>
          <w:tab w:val="left" w:pos="567"/>
        </w:tabs>
        <w:spacing w:line="240" w:lineRule="atLeast"/>
        <w:ind w:left="0" w:firstLine="0"/>
      </w:pPr>
    </w:p>
    <w:p w14:paraId="43898368" w14:textId="77777777" w:rsidR="00286ED4" w:rsidRPr="00F55AF8" w:rsidRDefault="00286ED4" w:rsidP="00F55AF8">
      <w:pPr>
        <w:tabs>
          <w:tab w:val="left" w:pos="567"/>
          <w:tab w:val="left" w:pos="1134"/>
        </w:tabs>
        <w:spacing w:line="240" w:lineRule="atLeast"/>
        <w:ind w:left="567" w:firstLine="0"/>
        <w:rPr>
          <w:i/>
          <w:iCs/>
        </w:rPr>
      </w:pPr>
      <w:r w:rsidRPr="00F55AF8">
        <w:rPr>
          <w:i/>
          <w:iCs/>
        </w:rPr>
        <w:t>das Zitat „IEC/EN 50104:2010“ durch „EN 50104:2019“ ersetzen.</w:t>
      </w:r>
    </w:p>
    <w:p w14:paraId="0D830041" w14:textId="77777777" w:rsidR="00286ED4" w:rsidRPr="006C5859" w:rsidRDefault="00286ED4" w:rsidP="00F55AF8">
      <w:pPr>
        <w:tabs>
          <w:tab w:val="left" w:pos="567"/>
          <w:tab w:val="left" w:pos="1134"/>
        </w:tabs>
        <w:spacing w:line="240" w:lineRule="atLeast"/>
        <w:ind w:left="567" w:firstLine="0"/>
      </w:pPr>
    </w:p>
    <w:p w14:paraId="75AD7E6C" w14:textId="35F02EB7" w:rsidR="00286ED4" w:rsidRPr="006C5859" w:rsidRDefault="00F55AF8" w:rsidP="00F55AF8">
      <w:pPr>
        <w:tabs>
          <w:tab w:val="left" w:pos="567"/>
          <w:tab w:val="left" w:pos="1134"/>
        </w:tabs>
        <w:spacing w:line="240" w:lineRule="atLeast"/>
        <w:ind w:left="567" w:firstLine="0"/>
      </w:pPr>
      <w:r>
        <w:t>16.</w:t>
      </w:r>
      <w:r>
        <w:tab/>
      </w:r>
      <w:r w:rsidR="00286ED4" w:rsidRPr="006C5859">
        <w:t>Normtitel: „Elektrische Geräte für die Detektion und Messung von Sauerstoff - Anforderungen an das Betriebsverhalten und Prüfverfahren“.</w:t>
      </w:r>
    </w:p>
    <w:p w14:paraId="1BD7FA03" w14:textId="77777777" w:rsidR="00286ED4" w:rsidRPr="006C5859" w:rsidRDefault="00286ED4" w:rsidP="00F55AF8">
      <w:pPr>
        <w:tabs>
          <w:tab w:val="left" w:pos="567"/>
          <w:tab w:val="left" w:pos="1134"/>
        </w:tabs>
        <w:spacing w:line="240" w:lineRule="atLeast"/>
        <w:ind w:left="567" w:firstLine="0"/>
      </w:pPr>
    </w:p>
    <w:p w14:paraId="479EF378" w14:textId="391F8480" w:rsidR="00286ED4" w:rsidRPr="006C5859" w:rsidRDefault="00F55AF8" w:rsidP="00F55AF8">
      <w:pPr>
        <w:tabs>
          <w:tab w:val="left" w:pos="567"/>
          <w:tab w:val="left" w:pos="1134"/>
        </w:tabs>
        <w:spacing w:line="240" w:lineRule="atLeast"/>
        <w:ind w:left="567" w:firstLine="0"/>
      </w:pPr>
      <w:r>
        <w:t>17.</w:t>
      </w:r>
      <w:r>
        <w:tab/>
      </w:r>
      <w:r w:rsidR="00286ED4" w:rsidRPr="006C5859">
        <w:t>Die zitierte Normausgabe ist veraltet. Die Änderungen betreffen insbesondere Angleichung der Anforderungen an die EN</w:t>
      </w:r>
      <w:r w:rsidR="0096214D" w:rsidRPr="006C5859">
        <w:t xml:space="preserve"> </w:t>
      </w:r>
      <w:r w:rsidR="00286ED4" w:rsidRPr="006C5859">
        <w:t>60079-29-1 („Explosionsfähige Atmosphäre – Teil 29-1: Gasmessgeräte - Anforderungen an das Betriebsverhalten von Geräten für die Messung brennbarer Gase“), die Überarbeitung von Abschnitt 5.4, Prüfverfahren und Anforderungen an das Betriebsverhalten sowie die Überarbeitung von Abschnitt 4, allgemeine Anforderungen.</w:t>
      </w:r>
    </w:p>
    <w:p w14:paraId="37EF2D25" w14:textId="77777777" w:rsidR="00286ED4" w:rsidRPr="006C5859" w:rsidRDefault="00286ED4" w:rsidP="00F55AF8">
      <w:pPr>
        <w:tabs>
          <w:tab w:val="left" w:pos="567"/>
          <w:tab w:val="left" w:pos="1134"/>
        </w:tabs>
        <w:spacing w:line="240" w:lineRule="atLeast"/>
        <w:ind w:left="567" w:firstLine="0"/>
      </w:pPr>
    </w:p>
    <w:p w14:paraId="6DA3A327" w14:textId="55BFEC82" w:rsidR="00286ED4" w:rsidRPr="006C5859" w:rsidRDefault="00F55AF8" w:rsidP="00F55AF8">
      <w:pPr>
        <w:tabs>
          <w:tab w:val="left" w:pos="567"/>
          <w:tab w:val="left" w:pos="1134"/>
        </w:tabs>
        <w:spacing w:line="240" w:lineRule="atLeast"/>
        <w:ind w:left="567" w:firstLine="0"/>
      </w:pPr>
      <w:r>
        <w:t>18.</w:t>
      </w:r>
      <w:r>
        <w:tab/>
      </w:r>
      <w:r w:rsidR="00286ED4" w:rsidRPr="006C5859">
        <w:t>Sauerstoffmessanlagen und Sauerstoffmessgeräte für Neubauten und Ersatzteile für bestehende Schiffe können nicht mehr nach der alten Normausgabe beschafft werden. Es ist kein Grund bekannt, warum die aktuelle Ausgabe nicht für das ADN geeignet sein könnte.</w:t>
      </w:r>
    </w:p>
    <w:p w14:paraId="1C541016" w14:textId="77777777" w:rsidR="0085433A" w:rsidRDefault="0085433A">
      <w:pPr>
        <w:widowControl/>
        <w:overflowPunct/>
        <w:autoSpaceDE/>
        <w:autoSpaceDN/>
        <w:adjustRightInd/>
        <w:ind w:left="0" w:firstLine="0"/>
        <w:jc w:val="left"/>
        <w:textAlignment w:val="auto"/>
      </w:pPr>
      <w:r>
        <w:br w:type="page"/>
      </w:r>
    </w:p>
    <w:p w14:paraId="3F065EFC" w14:textId="71F698E2" w:rsidR="0096214D" w:rsidRPr="006C5859" w:rsidRDefault="00F55AF8" w:rsidP="00F55AF8">
      <w:pPr>
        <w:tabs>
          <w:tab w:val="left" w:pos="567"/>
          <w:tab w:val="left" w:pos="1134"/>
        </w:tabs>
        <w:spacing w:line="240" w:lineRule="atLeast"/>
        <w:ind w:left="567" w:firstLine="0"/>
      </w:pPr>
      <w:r>
        <w:lastRenderedPageBreak/>
        <w:t>19.</w:t>
      </w:r>
      <w:r>
        <w:tab/>
      </w:r>
      <w:r w:rsidR="0096214D" w:rsidRPr="006C5859">
        <w:t>Die folgende Übergangsvorschrift</w:t>
      </w:r>
      <w:r w:rsidR="00230580" w:rsidRPr="006C5859">
        <w:t>en</w:t>
      </w:r>
      <w:r w:rsidR="0096214D" w:rsidRPr="006C5859">
        <w:t xml:space="preserve"> in </w:t>
      </w:r>
      <w:r w:rsidR="0096214D" w:rsidRPr="00F55AF8">
        <w:t xml:space="preserve">1.6.7.2.2.2 </w:t>
      </w:r>
      <w:r w:rsidR="00294258" w:rsidRPr="00F55AF8">
        <w:t xml:space="preserve">Tabelle der allgemeinen Übergangsvorschriften: </w:t>
      </w:r>
      <w:r w:rsidR="0096214D" w:rsidRPr="00F55AF8">
        <w:t>Tankschiffe</w:t>
      </w:r>
      <w:r w:rsidR="0096214D" w:rsidRPr="006C5859">
        <w:t xml:space="preserve"> ADN einfügen:</w:t>
      </w:r>
    </w:p>
    <w:p w14:paraId="7276C99A" w14:textId="77777777" w:rsidR="0096214D" w:rsidRPr="006C5859" w:rsidRDefault="0096214D" w:rsidP="000A72C7">
      <w:pPr>
        <w:tabs>
          <w:tab w:val="left" w:pos="567"/>
        </w:tabs>
        <w:spacing w:line="240" w:lineRule="atLeast"/>
        <w:ind w:left="0"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96214D" w:rsidRPr="006C5859" w14:paraId="021ADAB6" w14:textId="77777777" w:rsidTr="0096214D">
        <w:trPr>
          <w:cantSplit/>
        </w:trPr>
        <w:tc>
          <w:tcPr>
            <w:tcW w:w="1207" w:type="dxa"/>
            <w:tcBorders>
              <w:top w:val="single" w:sz="6" w:space="0" w:color="auto"/>
              <w:left w:val="single" w:sz="6" w:space="0" w:color="auto"/>
              <w:bottom w:val="single" w:sz="6" w:space="0" w:color="auto"/>
              <w:right w:val="single" w:sz="6" w:space="0" w:color="auto"/>
            </w:tcBorders>
          </w:tcPr>
          <w:p w14:paraId="522113E7" w14:textId="77777777" w:rsidR="0096214D" w:rsidRPr="006C5859" w:rsidRDefault="0096214D"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5A05619A" w14:textId="77777777" w:rsidR="0096214D" w:rsidRPr="006C5859" w:rsidRDefault="00230580"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Sauerstoffmessanlage</w:t>
            </w:r>
          </w:p>
          <w:p w14:paraId="1B7E453D" w14:textId="40E9C0AD" w:rsidR="00230580" w:rsidRPr="006C5859" w:rsidRDefault="0096214D"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Prüfung nach der Norm</w:t>
            </w:r>
          </w:p>
          <w:p w14:paraId="5632E50A" w14:textId="25A467F3" w:rsidR="0096214D" w:rsidRPr="006C5859" w:rsidRDefault="00230580"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EN 50104</w:t>
            </w:r>
            <w:r w:rsidR="00E70612" w:rsidRPr="006C5859">
              <w:rPr>
                <w:rFonts w:ascii="Times New Roman" w:hAnsi="Times New Roman"/>
                <w:sz w:val="20"/>
                <w:lang w:val="de-DE"/>
              </w:rPr>
              <w:t>:</w:t>
            </w:r>
            <w:r w:rsidRPr="006C5859">
              <w:rPr>
                <w:rFonts w:ascii="Times New Roman" w:hAnsi="Times New Roman"/>
                <w:sz w:val="20"/>
                <w:lang w:val="de-DE"/>
              </w:rPr>
              <w:t>2019</w:t>
            </w:r>
          </w:p>
        </w:tc>
        <w:tc>
          <w:tcPr>
            <w:tcW w:w="5355" w:type="dxa"/>
            <w:tcBorders>
              <w:top w:val="single" w:sz="6" w:space="0" w:color="auto"/>
              <w:left w:val="single" w:sz="6" w:space="0" w:color="auto"/>
              <w:bottom w:val="single" w:sz="6" w:space="0" w:color="auto"/>
              <w:right w:val="single" w:sz="6" w:space="0" w:color="auto"/>
            </w:tcBorders>
          </w:tcPr>
          <w:p w14:paraId="79898D17" w14:textId="77777777" w:rsidR="0096214D" w:rsidRPr="006C5859" w:rsidRDefault="0096214D" w:rsidP="001912AF">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N.E.U. ab 1. Januar 2023</w:t>
            </w:r>
          </w:p>
          <w:p w14:paraId="0EF51521" w14:textId="647ACE77" w:rsidR="0096214D" w:rsidRPr="006C5859" w:rsidRDefault="0096214D" w:rsidP="001912AF">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w:t>
            </w:r>
            <w:r w:rsidR="001912AF">
              <w:rPr>
                <w:rFonts w:ascii="Times New Roman" w:hAnsi="Times New Roman"/>
                <w:sz w:val="20"/>
                <w:lang w:val="de-DE"/>
              </w:rPr>
              <w:t xml:space="preserve"> </w:t>
            </w:r>
            <w:r w:rsidRPr="006C5859">
              <w:rPr>
                <w:rFonts w:ascii="Times New Roman" w:hAnsi="Times New Roman"/>
                <w:sz w:val="20"/>
                <w:lang w:val="de-DE"/>
              </w:rPr>
              <w:t>nach dem 31. Dezember</w:t>
            </w:r>
            <w:r w:rsidR="001912AF" w:rsidRPr="006C5859">
              <w:rPr>
                <w:rFonts w:ascii="Times New Roman" w:hAnsi="Times New Roman"/>
                <w:sz w:val="20"/>
                <w:lang w:val="de-DE"/>
              </w:rPr>
              <w:t> </w:t>
            </w:r>
            <w:r w:rsidRPr="006C5859">
              <w:rPr>
                <w:rFonts w:ascii="Times New Roman" w:hAnsi="Times New Roman"/>
                <w:sz w:val="20"/>
                <w:lang w:val="de-DE"/>
              </w:rPr>
              <w:t>202</w:t>
            </w:r>
            <w:r w:rsidR="00C50FF5" w:rsidRPr="006C5859">
              <w:rPr>
                <w:rFonts w:ascii="Times New Roman" w:hAnsi="Times New Roman"/>
                <w:sz w:val="20"/>
                <w:lang w:val="de-DE"/>
              </w:rPr>
              <w:t>6</w:t>
            </w:r>
          </w:p>
          <w:p w14:paraId="6B384EEE" w14:textId="77777777" w:rsidR="0096214D" w:rsidRPr="006C5859" w:rsidRDefault="0096214D" w:rsidP="001912AF">
            <w:pPr>
              <w:pStyle w:val="N3"/>
              <w:tabs>
                <w:tab w:val="clear" w:pos="170"/>
              </w:tabs>
              <w:spacing w:line="240" w:lineRule="atLeast"/>
              <w:ind w:left="0" w:firstLine="0"/>
              <w:rPr>
                <w:rFonts w:ascii="Times New Roman" w:hAnsi="Times New Roman"/>
                <w:sz w:val="20"/>
                <w:lang w:val="de-DE"/>
              </w:rPr>
            </w:pPr>
          </w:p>
          <w:p w14:paraId="23E77908" w14:textId="14BE2675" w:rsidR="0096214D" w:rsidRPr="006C5859" w:rsidRDefault="0096214D" w:rsidP="001912AF">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 xml:space="preserve">Bis dahin muss die </w:t>
            </w:r>
            <w:r w:rsidR="00230580" w:rsidRPr="006C5859">
              <w:rPr>
                <w:rFonts w:ascii="Times New Roman" w:hAnsi="Times New Roman"/>
                <w:sz w:val="20"/>
                <w:lang w:val="de-DE"/>
              </w:rPr>
              <w:t>Sauerstoffmessanlage</w:t>
            </w:r>
            <w:r w:rsidR="001912AF">
              <w:rPr>
                <w:rFonts w:ascii="Times New Roman" w:hAnsi="Times New Roman"/>
                <w:sz w:val="20"/>
                <w:lang w:val="de-DE"/>
              </w:rPr>
              <w:t xml:space="preserve"> </w:t>
            </w:r>
            <w:r w:rsidRPr="006C5859">
              <w:rPr>
                <w:rFonts w:ascii="Times New Roman" w:hAnsi="Times New Roman"/>
                <w:sz w:val="20"/>
                <w:lang w:val="de-DE"/>
              </w:rPr>
              <w:t xml:space="preserve">nach der Norm </w:t>
            </w:r>
            <w:r w:rsidR="00230580" w:rsidRPr="006C5859">
              <w:rPr>
                <w:rFonts w:ascii="Times New Roman" w:hAnsi="Times New Roman"/>
                <w:sz w:val="20"/>
                <w:lang w:val="de-DE"/>
              </w:rPr>
              <w:t>IEC/EN</w:t>
            </w:r>
            <w:r w:rsidR="001912AF" w:rsidRPr="006C5859">
              <w:rPr>
                <w:rFonts w:ascii="Times New Roman" w:hAnsi="Times New Roman"/>
                <w:sz w:val="20"/>
                <w:lang w:val="de-DE"/>
              </w:rPr>
              <w:t> </w:t>
            </w:r>
            <w:r w:rsidR="00230580" w:rsidRPr="006C5859">
              <w:rPr>
                <w:rFonts w:ascii="Times New Roman" w:hAnsi="Times New Roman"/>
                <w:sz w:val="20"/>
                <w:lang w:val="de-DE"/>
              </w:rPr>
              <w:t>50104:2010</w:t>
            </w:r>
            <w:r w:rsidR="00E70612" w:rsidRPr="006C5859">
              <w:rPr>
                <w:rFonts w:ascii="Times New Roman" w:hAnsi="Times New Roman"/>
                <w:sz w:val="20"/>
                <w:lang w:val="de-DE"/>
              </w:rPr>
              <w:t xml:space="preserve"> </w:t>
            </w:r>
            <w:r w:rsidRPr="006C5859">
              <w:rPr>
                <w:rFonts w:ascii="Times New Roman" w:hAnsi="Times New Roman"/>
                <w:sz w:val="20"/>
                <w:lang w:val="de-DE"/>
              </w:rPr>
              <w:t>geprüft sein.</w:t>
            </w:r>
          </w:p>
        </w:tc>
      </w:tr>
      <w:tr w:rsidR="0096214D" w:rsidRPr="006C5859" w14:paraId="2B2242E1" w14:textId="77777777" w:rsidTr="0096214D">
        <w:trPr>
          <w:cantSplit/>
        </w:trPr>
        <w:tc>
          <w:tcPr>
            <w:tcW w:w="1207" w:type="dxa"/>
            <w:tcBorders>
              <w:top w:val="single" w:sz="6" w:space="0" w:color="auto"/>
              <w:left w:val="single" w:sz="6" w:space="0" w:color="auto"/>
              <w:bottom w:val="single" w:sz="6" w:space="0" w:color="auto"/>
              <w:right w:val="single" w:sz="6" w:space="0" w:color="auto"/>
            </w:tcBorders>
          </w:tcPr>
          <w:p w14:paraId="5B453170" w14:textId="77777777" w:rsidR="0096214D" w:rsidRPr="006C5859" w:rsidRDefault="0096214D"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08866DCF" w14:textId="77777777" w:rsidR="0096214D" w:rsidRPr="006C5859" w:rsidRDefault="00230580" w:rsidP="000A72C7">
            <w:pPr>
              <w:spacing w:line="240" w:lineRule="atLeast"/>
              <w:ind w:left="0" w:firstLine="0"/>
            </w:pPr>
            <w:r w:rsidRPr="006C5859">
              <w:t>Sauerstoffmessgerät</w:t>
            </w:r>
          </w:p>
          <w:p w14:paraId="282F59B2" w14:textId="0DB7028E" w:rsidR="00230580" w:rsidRPr="006C5859" w:rsidRDefault="00230580"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Prüfung nach der Norm</w:t>
            </w:r>
          </w:p>
          <w:p w14:paraId="3B90BDAF" w14:textId="2F348AA1" w:rsidR="0096214D" w:rsidRPr="006C5859" w:rsidRDefault="00230580" w:rsidP="000A72C7">
            <w:pPr>
              <w:pStyle w:val="N3"/>
              <w:tabs>
                <w:tab w:val="clear" w:pos="170"/>
              </w:tabs>
              <w:spacing w:line="240" w:lineRule="atLeast"/>
              <w:ind w:left="41" w:firstLine="0"/>
              <w:rPr>
                <w:rFonts w:ascii="Times New Roman" w:hAnsi="Times New Roman"/>
                <w:sz w:val="20"/>
                <w:lang w:val="de-DE"/>
              </w:rPr>
            </w:pPr>
            <w:r w:rsidRPr="006C5859">
              <w:rPr>
                <w:rFonts w:ascii="Times New Roman" w:hAnsi="Times New Roman"/>
                <w:sz w:val="20"/>
                <w:lang w:val="de-DE"/>
              </w:rPr>
              <w:t>EN 50104:2019</w:t>
            </w:r>
          </w:p>
        </w:tc>
        <w:tc>
          <w:tcPr>
            <w:tcW w:w="5355" w:type="dxa"/>
            <w:tcBorders>
              <w:top w:val="single" w:sz="6" w:space="0" w:color="auto"/>
              <w:left w:val="single" w:sz="6" w:space="0" w:color="auto"/>
              <w:bottom w:val="single" w:sz="6" w:space="0" w:color="auto"/>
              <w:right w:val="single" w:sz="6" w:space="0" w:color="auto"/>
            </w:tcBorders>
          </w:tcPr>
          <w:p w14:paraId="3AC9A902" w14:textId="77777777" w:rsidR="0096214D" w:rsidRPr="006C5859" w:rsidRDefault="0096214D" w:rsidP="001912AF">
            <w:pPr>
              <w:pStyle w:val="N3"/>
              <w:spacing w:line="240" w:lineRule="atLeast"/>
              <w:ind w:left="0" w:firstLine="0"/>
              <w:rPr>
                <w:rFonts w:ascii="Times New Roman" w:hAnsi="Times New Roman"/>
                <w:sz w:val="20"/>
                <w:lang w:val="de-DE"/>
              </w:rPr>
            </w:pPr>
            <w:r w:rsidRPr="006C5859">
              <w:rPr>
                <w:rFonts w:ascii="Times New Roman" w:hAnsi="Times New Roman"/>
                <w:sz w:val="20"/>
                <w:lang w:val="de-DE"/>
              </w:rPr>
              <w:t>N.E.U. ab 1. Januar 2023</w:t>
            </w:r>
          </w:p>
          <w:p w14:paraId="022C9C6C" w14:textId="47AD474D" w:rsidR="0096214D" w:rsidRPr="006C5859" w:rsidRDefault="0096214D" w:rsidP="001912AF">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 nach dem 31. Dezember</w:t>
            </w:r>
            <w:r w:rsidR="001912AF" w:rsidRPr="006C5859">
              <w:rPr>
                <w:rFonts w:ascii="Times New Roman" w:hAnsi="Times New Roman"/>
                <w:sz w:val="20"/>
                <w:lang w:val="de-DE"/>
              </w:rPr>
              <w:t> </w:t>
            </w:r>
            <w:r w:rsidRPr="006C5859">
              <w:rPr>
                <w:rFonts w:ascii="Times New Roman" w:hAnsi="Times New Roman"/>
                <w:sz w:val="20"/>
                <w:lang w:val="de-DE"/>
              </w:rPr>
              <w:t>202</w:t>
            </w:r>
            <w:r w:rsidR="00C50FF5" w:rsidRPr="006C5859">
              <w:rPr>
                <w:rFonts w:ascii="Times New Roman" w:hAnsi="Times New Roman"/>
                <w:sz w:val="20"/>
                <w:lang w:val="de-DE"/>
              </w:rPr>
              <w:t>6</w:t>
            </w:r>
          </w:p>
          <w:p w14:paraId="04799528" w14:textId="77777777" w:rsidR="0096214D" w:rsidRPr="006C5859" w:rsidRDefault="0096214D" w:rsidP="001912AF">
            <w:pPr>
              <w:pStyle w:val="N3"/>
              <w:tabs>
                <w:tab w:val="clear" w:pos="170"/>
              </w:tabs>
              <w:spacing w:line="240" w:lineRule="atLeast"/>
              <w:ind w:left="0" w:firstLine="0"/>
              <w:rPr>
                <w:rFonts w:ascii="Times New Roman" w:hAnsi="Times New Roman"/>
                <w:sz w:val="20"/>
                <w:lang w:val="de-DE"/>
              </w:rPr>
            </w:pPr>
          </w:p>
          <w:p w14:paraId="2B13A15D" w14:textId="3E5A1CEF" w:rsidR="0096214D" w:rsidRPr="006C5859" w:rsidRDefault="00230580" w:rsidP="001912AF">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Bis dahin muss ein Sauerstoffmessgerätnach der Norm IEC/EN</w:t>
            </w:r>
            <w:r w:rsidR="001912AF" w:rsidRPr="006C5859">
              <w:rPr>
                <w:rFonts w:ascii="Times New Roman" w:hAnsi="Times New Roman"/>
                <w:sz w:val="20"/>
                <w:lang w:val="de-DE"/>
              </w:rPr>
              <w:t> </w:t>
            </w:r>
            <w:r w:rsidRPr="006C5859">
              <w:rPr>
                <w:rFonts w:ascii="Times New Roman" w:hAnsi="Times New Roman"/>
                <w:sz w:val="20"/>
                <w:lang w:val="de-DE"/>
              </w:rPr>
              <w:t>50104:2010</w:t>
            </w:r>
            <w:r w:rsidR="00E70612" w:rsidRPr="006C5859">
              <w:rPr>
                <w:rFonts w:ascii="Times New Roman" w:hAnsi="Times New Roman"/>
                <w:sz w:val="20"/>
                <w:lang w:val="de-DE"/>
              </w:rPr>
              <w:t xml:space="preserve"> </w:t>
            </w:r>
            <w:r w:rsidRPr="006C5859">
              <w:rPr>
                <w:rFonts w:ascii="Times New Roman" w:hAnsi="Times New Roman"/>
                <w:sz w:val="20"/>
                <w:lang w:val="de-DE"/>
              </w:rPr>
              <w:t>geprüft sein.</w:t>
            </w:r>
          </w:p>
        </w:tc>
      </w:tr>
    </w:tbl>
    <w:p w14:paraId="5C6C8043" w14:textId="77777777" w:rsidR="0096214D" w:rsidRPr="006C5859" w:rsidRDefault="0096214D" w:rsidP="000A72C7">
      <w:pPr>
        <w:tabs>
          <w:tab w:val="left" w:pos="567"/>
        </w:tabs>
        <w:spacing w:line="240" w:lineRule="atLeast"/>
        <w:ind w:left="0" w:firstLine="0"/>
      </w:pPr>
    </w:p>
    <w:p w14:paraId="498171F7" w14:textId="2DD303FC" w:rsidR="0096214D" w:rsidRPr="006C5859" w:rsidRDefault="00F55AF8" w:rsidP="00F55AF8">
      <w:pPr>
        <w:tabs>
          <w:tab w:val="left" w:pos="567"/>
          <w:tab w:val="left" w:pos="1134"/>
        </w:tabs>
        <w:spacing w:line="240" w:lineRule="atLeast"/>
        <w:ind w:left="567" w:firstLine="0"/>
      </w:pPr>
      <w:r>
        <w:t>20.</w:t>
      </w:r>
      <w:r>
        <w:tab/>
      </w:r>
      <w:r w:rsidR="0096214D" w:rsidRPr="006C5859">
        <w:t xml:space="preserve">Die Änderung der Norm enthält sicherheitstechnisch relevante Bestandteile. Deswegen ist eine Nachrüstung der Gasspüranlagen erforderlich, um das bestmögliche Sicherheitsniveau zu erhalten. Ein Übergangszeitraum von </w:t>
      </w:r>
      <w:r w:rsidR="009A378F">
        <w:t>drei</w:t>
      </w:r>
      <w:r w:rsidR="0096214D" w:rsidRPr="006C5859">
        <w:t xml:space="preserve"> bis </w:t>
      </w:r>
      <w:r w:rsidR="009A378F">
        <w:t>acht</w:t>
      </w:r>
      <w:r w:rsidR="0096214D" w:rsidRPr="006C5859">
        <w:t xml:space="preserve"> Jahren, nachdem die Änderung beschlossen </w:t>
      </w:r>
      <w:proofErr w:type="gramStart"/>
      <w:r w:rsidR="0096214D" w:rsidRPr="006C5859">
        <w:t>wird</w:t>
      </w:r>
      <w:proofErr w:type="gramEnd"/>
      <w:r w:rsidR="0096214D" w:rsidRPr="006C5859">
        <w:t xml:space="preserve"> ist ausreichend um den erforderlichen Austausch zu organisieren.</w:t>
      </w:r>
    </w:p>
    <w:p w14:paraId="05FDF297" w14:textId="77777777" w:rsidR="0096214D" w:rsidRPr="006C5859" w:rsidRDefault="0096214D" w:rsidP="000A72C7">
      <w:pPr>
        <w:tabs>
          <w:tab w:val="left" w:pos="567"/>
        </w:tabs>
        <w:spacing w:line="240" w:lineRule="atLeast"/>
        <w:ind w:left="0" w:firstLine="0"/>
      </w:pPr>
    </w:p>
    <w:p w14:paraId="7A5046DF" w14:textId="77777777" w:rsidR="0096214D" w:rsidRPr="006C5859" w:rsidRDefault="0096214D" w:rsidP="000A72C7">
      <w:pPr>
        <w:tabs>
          <w:tab w:val="left" w:pos="567"/>
        </w:tabs>
        <w:spacing w:line="240" w:lineRule="atLeast"/>
        <w:ind w:left="0" w:firstLine="0"/>
      </w:pPr>
    </w:p>
    <w:p w14:paraId="74BBC5CE" w14:textId="2846197E" w:rsidR="00286ED4" w:rsidRPr="00F55AF8" w:rsidRDefault="00BB79DB" w:rsidP="000A72C7">
      <w:pPr>
        <w:tabs>
          <w:tab w:val="left" w:pos="567"/>
        </w:tabs>
        <w:spacing w:line="240" w:lineRule="atLeast"/>
        <w:ind w:left="0" w:firstLine="0"/>
        <w:rPr>
          <w:b/>
          <w:bCs/>
        </w:rPr>
      </w:pPr>
      <w:r w:rsidRPr="00F55AF8">
        <w:rPr>
          <w:b/>
          <w:bCs/>
        </w:rPr>
        <w:t>d</w:t>
      </w:r>
      <w:r w:rsidR="00286ED4" w:rsidRPr="00F55AF8">
        <w:rPr>
          <w:b/>
          <w:bCs/>
        </w:rPr>
        <w:t>)</w:t>
      </w:r>
      <w:r w:rsidR="00286ED4" w:rsidRPr="00F55AF8">
        <w:rPr>
          <w:b/>
          <w:bCs/>
        </w:rPr>
        <w:tab/>
        <w:t>In der Begriffsbestimmung „Schutzanzug“</w:t>
      </w:r>
    </w:p>
    <w:p w14:paraId="62A06625" w14:textId="77777777" w:rsidR="00286ED4" w:rsidRPr="006C5859" w:rsidRDefault="00286ED4" w:rsidP="000A72C7">
      <w:pPr>
        <w:tabs>
          <w:tab w:val="left" w:pos="567"/>
        </w:tabs>
        <w:spacing w:line="240" w:lineRule="atLeast"/>
        <w:ind w:left="0" w:firstLine="0"/>
      </w:pPr>
    </w:p>
    <w:p w14:paraId="3E7B9273" w14:textId="77777777" w:rsidR="00286ED4" w:rsidRPr="00F55AF8" w:rsidRDefault="00286ED4" w:rsidP="00F55AF8">
      <w:pPr>
        <w:tabs>
          <w:tab w:val="left" w:pos="567"/>
          <w:tab w:val="left" w:pos="1134"/>
        </w:tabs>
        <w:spacing w:line="240" w:lineRule="atLeast"/>
        <w:ind w:left="567" w:firstLine="0"/>
        <w:rPr>
          <w:i/>
          <w:iCs/>
        </w:rPr>
      </w:pPr>
      <w:r w:rsidRPr="00F55AF8">
        <w:rPr>
          <w:i/>
          <w:iCs/>
        </w:rPr>
        <w:t>das Zitat „EN 1149-5:2008“ durch „EN 1149-5:2018“ ersetzen.</w:t>
      </w:r>
    </w:p>
    <w:p w14:paraId="25AE2D08" w14:textId="77777777" w:rsidR="00286ED4" w:rsidRPr="00F55AF8" w:rsidRDefault="00286ED4" w:rsidP="00F55AF8">
      <w:pPr>
        <w:tabs>
          <w:tab w:val="left" w:pos="567"/>
          <w:tab w:val="left" w:pos="1134"/>
        </w:tabs>
        <w:spacing w:line="240" w:lineRule="atLeast"/>
        <w:ind w:left="567" w:firstLine="0"/>
      </w:pPr>
    </w:p>
    <w:p w14:paraId="26024AEC" w14:textId="3F861B36" w:rsidR="00286ED4" w:rsidRPr="00F55AF8" w:rsidRDefault="00F55AF8" w:rsidP="00F55AF8">
      <w:pPr>
        <w:tabs>
          <w:tab w:val="left" w:pos="567"/>
          <w:tab w:val="left" w:pos="1134"/>
        </w:tabs>
        <w:spacing w:line="240" w:lineRule="atLeast"/>
        <w:ind w:left="567" w:firstLine="0"/>
      </w:pPr>
      <w:r>
        <w:t>21.</w:t>
      </w:r>
      <w:r>
        <w:tab/>
      </w:r>
      <w:r w:rsidR="00286ED4" w:rsidRPr="00F55AF8">
        <w:t>Normtitel: „Schutzkleidung - Elektrostatische Eigenschaften – Teil 5: Leistungsanforderungen an Material und Konstruktionsanforderungen“.</w:t>
      </w:r>
    </w:p>
    <w:p w14:paraId="4101105C" w14:textId="77777777" w:rsidR="00286ED4" w:rsidRPr="00F55AF8" w:rsidRDefault="00286ED4" w:rsidP="00F55AF8">
      <w:pPr>
        <w:tabs>
          <w:tab w:val="left" w:pos="567"/>
          <w:tab w:val="left" w:pos="1134"/>
        </w:tabs>
        <w:spacing w:line="240" w:lineRule="atLeast"/>
        <w:ind w:left="567" w:firstLine="0"/>
      </w:pPr>
    </w:p>
    <w:p w14:paraId="60DD5DFB" w14:textId="2C577209" w:rsidR="00286ED4" w:rsidRPr="00F55AF8" w:rsidRDefault="00F55AF8" w:rsidP="00F55AF8">
      <w:pPr>
        <w:tabs>
          <w:tab w:val="left" w:pos="567"/>
          <w:tab w:val="left" w:pos="1134"/>
        </w:tabs>
        <w:spacing w:line="240" w:lineRule="atLeast"/>
        <w:ind w:left="567" w:firstLine="0"/>
      </w:pPr>
      <w:r>
        <w:t>22.</w:t>
      </w:r>
      <w:r>
        <w:tab/>
      </w:r>
      <w:r w:rsidR="00286ED4" w:rsidRPr="00F55AF8">
        <w:t xml:space="preserve">Die zitierte Normausgabe ist veraltet. Die Änderungen betreffen insbesondere Anwendungsbereich, normativen Verweisungen, neue Begriffe, die Dicke jeglicher nicht ableitfähiger </w:t>
      </w:r>
      <w:r w:rsidR="001778DD" w:rsidRPr="00F55AF8">
        <w:t>Schichten,</w:t>
      </w:r>
      <w:r w:rsidR="00286ED4" w:rsidRPr="00F55AF8">
        <w:t xml:space="preserve"> welche die Außenfläche der Kleidung bilden, eine Anforderung zur Erdung, die Dicke jeglicher nicht ableitfähiger Zusatzteile an der Außenseite der Kleidung und den informativen Anhang ZA.</w:t>
      </w:r>
    </w:p>
    <w:p w14:paraId="276B47BE" w14:textId="77777777" w:rsidR="00286ED4" w:rsidRPr="00F55AF8" w:rsidRDefault="00286ED4" w:rsidP="00F55AF8">
      <w:pPr>
        <w:tabs>
          <w:tab w:val="left" w:pos="567"/>
          <w:tab w:val="left" w:pos="1134"/>
        </w:tabs>
        <w:spacing w:line="240" w:lineRule="atLeast"/>
        <w:ind w:left="567" w:firstLine="0"/>
      </w:pPr>
    </w:p>
    <w:p w14:paraId="59AC0A88" w14:textId="6BA03C9D" w:rsidR="00286ED4" w:rsidRPr="00F55AF8" w:rsidRDefault="00F55AF8" w:rsidP="00F55AF8">
      <w:pPr>
        <w:tabs>
          <w:tab w:val="left" w:pos="567"/>
          <w:tab w:val="left" w:pos="1134"/>
        </w:tabs>
        <w:spacing w:line="240" w:lineRule="atLeast"/>
        <w:ind w:left="567" w:firstLine="0"/>
      </w:pPr>
      <w:r>
        <w:t>23.</w:t>
      </w:r>
      <w:r>
        <w:tab/>
      </w:r>
      <w:r w:rsidR="00217C00" w:rsidRPr="00F55AF8">
        <w:t xml:space="preserve">Das Zitat der Norm in der Begriffsbestimmung gibt einen Hinweis darauf, wann ein Schutzanzug „geeignet ... entsprechend den auftretenden Gefahren“ ist: „siehe z.B.“. </w:t>
      </w:r>
      <w:r w:rsidR="00286ED4" w:rsidRPr="00F55AF8">
        <w:t>Neubeschaffungen von Schutzanzügen können nicht mehr nach der alten Normausgabe erfolgen. Es ist kein Grund bekannt, warum die aktuelle Ausgabe nicht für das ADN geeignet sein könnte.</w:t>
      </w:r>
    </w:p>
    <w:p w14:paraId="58D9DEBD" w14:textId="77777777" w:rsidR="00217C00" w:rsidRPr="00F55AF8" w:rsidRDefault="00217C00" w:rsidP="00F55AF8">
      <w:pPr>
        <w:tabs>
          <w:tab w:val="left" w:pos="567"/>
          <w:tab w:val="left" w:pos="1134"/>
        </w:tabs>
        <w:spacing w:line="240" w:lineRule="atLeast"/>
        <w:ind w:left="567" w:firstLine="0"/>
      </w:pPr>
    </w:p>
    <w:p w14:paraId="3B0FBC33" w14:textId="692004C3" w:rsidR="009B2778" w:rsidRPr="00F55AF8" w:rsidRDefault="00F55AF8" w:rsidP="00F55AF8">
      <w:pPr>
        <w:tabs>
          <w:tab w:val="left" w:pos="567"/>
          <w:tab w:val="left" w:pos="1134"/>
        </w:tabs>
        <w:spacing w:line="240" w:lineRule="atLeast"/>
        <w:ind w:left="567" w:firstLine="0"/>
        <w:rPr>
          <w:bCs/>
        </w:rPr>
      </w:pPr>
      <w:r>
        <w:t xml:space="preserve">24. </w:t>
      </w:r>
      <w:r w:rsidR="00211F1A">
        <w:tab/>
      </w:r>
      <w:r w:rsidR="009B2778" w:rsidRPr="00F55AF8">
        <w:t xml:space="preserve">Die folgende Übergangsvorschriften in 1.6.7.2.2.2 Tabelle der allgemeinen Übergangsvorschriften: </w:t>
      </w:r>
      <w:r w:rsidR="009B2778" w:rsidRPr="00F55AF8">
        <w:rPr>
          <w:bCs/>
        </w:rPr>
        <w:t>Tankschiffe ADN einfügen:</w:t>
      </w:r>
    </w:p>
    <w:p w14:paraId="65B3BAEE" w14:textId="77777777" w:rsidR="009B2778" w:rsidRPr="006C5859" w:rsidRDefault="009B2778" w:rsidP="000A72C7">
      <w:pPr>
        <w:tabs>
          <w:tab w:val="left" w:pos="567"/>
        </w:tabs>
        <w:spacing w:line="240" w:lineRule="atLeast"/>
        <w:ind w:left="0"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9B2778" w:rsidRPr="006C5859" w14:paraId="326403FB" w14:textId="77777777" w:rsidTr="006C4C72">
        <w:trPr>
          <w:cantSplit/>
        </w:trPr>
        <w:tc>
          <w:tcPr>
            <w:tcW w:w="1207" w:type="dxa"/>
            <w:tcBorders>
              <w:top w:val="single" w:sz="6" w:space="0" w:color="auto"/>
              <w:left w:val="single" w:sz="6" w:space="0" w:color="auto"/>
              <w:bottom w:val="single" w:sz="6" w:space="0" w:color="auto"/>
              <w:right w:val="single" w:sz="6" w:space="0" w:color="auto"/>
            </w:tcBorders>
          </w:tcPr>
          <w:p w14:paraId="3B172476" w14:textId="77777777" w:rsidR="009B2778" w:rsidRPr="006C5859" w:rsidRDefault="009B2778"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01DEA135" w14:textId="613933C1" w:rsidR="009B2778" w:rsidRPr="006C5859" w:rsidRDefault="00B25F5E" w:rsidP="000A72C7">
            <w:pPr>
              <w:pStyle w:val="N3"/>
              <w:tabs>
                <w:tab w:val="clear" w:pos="170"/>
              </w:tabs>
              <w:spacing w:line="240" w:lineRule="atLeast"/>
              <w:rPr>
                <w:rFonts w:ascii="Times New Roman" w:hAnsi="Times New Roman"/>
                <w:sz w:val="20"/>
              </w:rPr>
            </w:pPr>
            <w:r w:rsidRPr="006C5859">
              <w:rPr>
                <w:rFonts w:ascii="Times New Roman" w:hAnsi="Times New Roman"/>
                <w:sz w:val="20"/>
              </w:rPr>
              <w:t>Schutzanzug</w:t>
            </w:r>
          </w:p>
          <w:p w14:paraId="3AC5FFC9" w14:textId="77777777" w:rsidR="00B25F5E" w:rsidRPr="006C5859" w:rsidRDefault="00B25F5E" w:rsidP="000A72C7">
            <w:pPr>
              <w:pStyle w:val="N3"/>
              <w:tabs>
                <w:tab w:val="clear" w:pos="170"/>
              </w:tabs>
              <w:spacing w:line="240" w:lineRule="atLeast"/>
              <w:rPr>
                <w:rFonts w:ascii="Times New Roman" w:hAnsi="Times New Roman"/>
                <w:sz w:val="20"/>
              </w:rPr>
            </w:pPr>
            <w:r w:rsidRPr="006C5859">
              <w:rPr>
                <w:rFonts w:ascii="Times New Roman" w:hAnsi="Times New Roman"/>
                <w:sz w:val="20"/>
              </w:rPr>
              <w:t xml:space="preserve">Beachtung Norm </w:t>
            </w:r>
          </w:p>
          <w:p w14:paraId="54DB15AA" w14:textId="1102FD8F" w:rsidR="009B2778" w:rsidRPr="006C5859" w:rsidRDefault="00B25F5E" w:rsidP="000A72C7">
            <w:pPr>
              <w:pStyle w:val="N3"/>
              <w:tabs>
                <w:tab w:val="clear" w:pos="170"/>
              </w:tabs>
              <w:spacing w:line="240" w:lineRule="atLeast"/>
              <w:rPr>
                <w:rFonts w:ascii="Times New Roman" w:hAnsi="Times New Roman"/>
                <w:sz w:val="20"/>
              </w:rPr>
            </w:pPr>
            <w:r w:rsidRPr="006C5859">
              <w:rPr>
                <w:rFonts w:ascii="Times New Roman" w:hAnsi="Times New Roman"/>
                <w:sz w:val="20"/>
              </w:rPr>
              <w:t>EN 1149-</w:t>
            </w:r>
            <w:proofErr w:type="gramStart"/>
            <w:r w:rsidRPr="006C5859">
              <w:rPr>
                <w:rFonts w:ascii="Times New Roman" w:hAnsi="Times New Roman"/>
                <w:sz w:val="20"/>
              </w:rPr>
              <w:t>5:</w:t>
            </w:r>
            <w:proofErr w:type="gramEnd"/>
            <w:r w:rsidRPr="006C5859">
              <w:rPr>
                <w:rFonts w:ascii="Times New Roman" w:hAnsi="Times New Roman"/>
                <w:sz w:val="20"/>
              </w:rPr>
              <w:t>2018</w:t>
            </w:r>
          </w:p>
        </w:tc>
        <w:tc>
          <w:tcPr>
            <w:tcW w:w="5355" w:type="dxa"/>
            <w:tcBorders>
              <w:top w:val="single" w:sz="6" w:space="0" w:color="auto"/>
              <w:left w:val="single" w:sz="6" w:space="0" w:color="auto"/>
              <w:bottom w:val="single" w:sz="6" w:space="0" w:color="auto"/>
              <w:right w:val="single" w:sz="6" w:space="0" w:color="auto"/>
            </w:tcBorders>
          </w:tcPr>
          <w:p w14:paraId="3505964E" w14:textId="7A22EB37" w:rsidR="009B2778" w:rsidRPr="006C5859" w:rsidRDefault="009B2778" w:rsidP="002E5FCC">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N.E.U. ab 1. Januar 2023</w:t>
            </w:r>
          </w:p>
        </w:tc>
      </w:tr>
    </w:tbl>
    <w:p w14:paraId="713E3638" w14:textId="77777777" w:rsidR="00B25F5E" w:rsidRPr="006C5859" w:rsidRDefault="00B25F5E" w:rsidP="000A72C7">
      <w:pPr>
        <w:tabs>
          <w:tab w:val="left" w:pos="567"/>
        </w:tabs>
        <w:spacing w:line="240" w:lineRule="atLeast"/>
        <w:ind w:left="0" w:firstLine="0"/>
      </w:pPr>
    </w:p>
    <w:p w14:paraId="45F0709A" w14:textId="5887220D" w:rsidR="00230580" w:rsidRPr="006C5859" w:rsidRDefault="00F55AF8" w:rsidP="00F55AF8">
      <w:pPr>
        <w:tabs>
          <w:tab w:val="left" w:pos="567"/>
          <w:tab w:val="left" w:pos="1134"/>
        </w:tabs>
        <w:spacing w:line="240" w:lineRule="atLeast"/>
        <w:ind w:left="567" w:firstLine="0"/>
      </w:pPr>
      <w:r>
        <w:t>25.</w:t>
      </w:r>
      <w:r>
        <w:tab/>
      </w:r>
      <w:r w:rsidR="00B25F5E" w:rsidRPr="006C5859">
        <w:t>Ein Austausch bereits vorhandener Schutzanzüge ist nicht erforder</w:t>
      </w:r>
      <w:r w:rsidR="00230580" w:rsidRPr="006C5859">
        <w:t xml:space="preserve">lich, weil </w:t>
      </w:r>
      <w:r w:rsidR="00B25F5E" w:rsidRPr="006C5859">
        <w:t>erwartet wird, dass</w:t>
      </w:r>
      <w:r w:rsidR="00230580" w:rsidRPr="006C5859">
        <w:t xml:space="preserve"> Schutzanzüge </w:t>
      </w:r>
      <w:r w:rsidR="00B25F5E" w:rsidRPr="006C5859">
        <w:t>nur eine begrenzte Nutzungsdauer haben</w:t>
      </w:r>
      <w:r w:rsidR="00217C00" w:rsidRPr="006C5859">
        <w:t xml:space="preserve"> und bei fehlender Eignung sofort ausgetauscht werden.</w:t>
      </w:r>
    </w:p>
    <w:p w14:paraId="341CA49B" w14:textId="7E90143D" w:rsidR="00E70612" w:rsidRPr="006C5859" w:rsidRDefault="00E70612" w:rsidP="000A72C7">
      <w:pPr>
        <w:tabs>
          <w:tab w:val="left" w:pos="567"/>
        </w:tabs>
        <w:spacing w:line="240" w:lineRule="atLeast"/>
        <w:ind w:left="0" w:firstLine="0"/>
      </w:pPr>
    </w:p>
    <w:p w14:paraId="5ACCDAFA" w14:textId="77777777" w:rsidR="00286ED4" w:rsidRPr="00F55AF8" w:rsidRDefault="00BB79DB" w:rsidP="000A72C7">
      <w:pPr>
        <w:tabs>
          <w:tab w:val="left" w:pos="567"/>
        </w:tabs>
        <w:spacing w:line="240" w:lineRule="atLeast"/>
        <w:ind w:left="0" w:firstLine="0"/>
        <w:rPr>
          <w:b/>
          <w:bCs/>
        </w:rPr>
      </w:pPr>
      <w:r w:rsidRPr="00F55AF8">
        <w:rPr>
          <w:b/>
          <w:bCs/>
        </w:rPr>
        <w:t>e</w:t>
      </w:r>
      <w:r w:rsidR="00286ED4" w:rsidRPr="00F55AF8">
        <w:rPr>
          <w:b/>
          <w:bCs/>
        </w:rPr>
        <w:t>)</w:t>
      </w:r>
      <w:r w:rsidR="00286ED4" w:rsidRPr="00F55AF8">
        <w:rPr>
          <w:b/>
          <w:bCs/>
        </w:rPr>
        <w:tab/>
        <w:t>In der Begriffsbestimmung „Zündschutzarten“, Abschnitt „elektrische Geräte“</w:t>
      </w:r>
    </w:p>
    <w:p w14:paraId="7FF98D5F" w14:textId="77777777" w:rsidR="00286ED4" w:rsidRPr="006C5859" w:rsidRDefault="00286ED4" w:rsidP="000A72C7">
      <w:pPr>
        <w:tabs>
          <w:tab w:val="left" w:pos="567"/>
        </w:tabs>
        <w:spacing w:line="240" w:lineRule="atLeast"/>
        <w:ind w:left="0" w:firstLine="0"/>
      </w:pPr>
    </w:p>
    <w:p w14:paraId="23B16C93" w14:textId="77777777" w:rsidR="00286ED4" w:rsidRPr="00F55AF8" w:rsidRDefault="00286ED4" w:rsidP="00686519">
      <w:pPr>
        <w:pStyle w:val="Paragraphedeliste"/>
        <w:numPr>
          <w:ilvl w:val="0"/>
          <w:numId w:val="4"/>
        </w:numPr>
        <w:tabs>
          <w:tab w:val="left" w:pos="567"/>
          <w:tab w:val="left" w:pos="1276"/>
        </w:tabs>
        <w:spacing w:line="240" w:lineRule="atLeast"/>
        <w:ind w:left="567" w:firstLine="0"/>
        <w:rPr>
          <w:i/>
          <w:iCs/>
        </w:rPr>
      </w:pPr>
      <w:r w:rsidRPr="00F55AF8">
        <w:rPr>
          <w:i/>
          <w:iCs/>
        </w:rPr>
        <w:t>„EEx (d)“ durch „EEx d“ ersetzen und das Zitat „IEC 60079-1:2014“ durch „IEC 60079-1:2014 Cor1:2018“ ersetzen.</w:t>
      </w:r>
    </w:p>
    <w:p w14:paraId="689F0F01" w14:textId="77777777" w:rsidR="00286ED4" w:rsidRPr="006C5859" w:rsidRDefault="00286ED4" w:rsidP="00F55AF8">
      <w:pPr>
        <w:tabs>
          <w:tab w:val="left" w:pos="567"/>
          <w:tab w:val="left" w:pos="1134"/>
        </w:tabs>
        <w:spacing w:line="240" w:lineRule="atLeast"/>
        <w:ind w:left="567" w:firstLine="0"/>
      </w:pPr>
    </w:p>
    <w:p w14:paraId="390F7DC5" w14:textId="0DCA9A4C" w:rsidR="0085433A" w:rsidRDefault="00F55AF8" w:rsidP="00F55AF8">
      <w:pPr>
        <w:tabs>
          <w:tab w:val="left" w:pos="567"/>
          <w:tab w:val="left" w:pos="1134"/>
        </w:tabs>
        <w:spacing w:line="240" w:lineRule="atLeast"/>
        <w:ind w:left="567" w:firstLine="0"/>
      </w:pPr>
      <w:r>
        <w:t>26.</w:t>
      </w:r>
      <w:r>
        <w:tab/>
      </w:r>
      <w:r w:rsidR="00286ED4" w:rsidRPr="006C5859">
        <w:t xml:space="preserve">Titel des Standards: „Explosionsgefährdete Bereiche - Teil 1: Geräteschutz durch druckfeste Kapselung </w:t>
      </w:r>
      <w:r w:rsidR="00027248">
        <w:t>„</w:t>
      </w:r>
      <w:r w:rsidR="00286ED4" w:rsidRPr="006C5859">
        <w:t>d</w:t>
      </w:r>
      <w:r w:rsidR="00027248">
        <w:t>“</w:t>
      </w:r>
      <w:r w:rsidR="00BB79DB" w:rsidRPr="006C5859">
        <w:t>“.</w:t>
      </w:r>
    </w:p>
    <w:p w14:paraId="308E12C1" w14:textId="77777777" w:rsidR="0085433A" w:rsidRDefault="0085433A">
      <w:pPr>
        <w:widowControl/>
        <w:overflowPunct/>
        <w:autoSpaceDE/>
        <w:autoSpaceDN/>
        <w:adjustRightInd/>
        <w:ind w:left="0" w:firstLine="0"/>
        <w:jc w:val="left"/>
        <w:textAlignment w:val="auto"/>
      </w:pPr>
      <w:r>
        <w:br w:type="page"/>
      </w:r>
    </w:p>
    <w:p w14:paraId="3F97B749" w14:textId="7ED633F1" w:rsidR="00294258" w:rsidRPr="006C5859" w:rsidRDefault="00F55AF8" w:rsidP="00F55AF8">
      <w:pPr>
        <w:tabs>
          <w:tab w:val="left" w:pos="567"/>
          <w:tab w:val="left" w:pos="1134"/>
        </w:tabs>
        <w:spacing w:line="240" w:lineRule="atLeast"/>
        <w:ind w:left="567" w:firstLine="0"/>
      </w:pPr>
      <w:r>
        <w:lastRenderedPageBreak/>
        <w:t>27.</w:t>
      </w:r>
      <w:r>
        <w:tab/>
      </w:r>
      <w:r w:rsidR="00294258" w:rsidRPr="006C5859">
        <w:t>Die Änderung im Standard ist redaktionell. Sie bedeutet kein Mehr an technischer Sicherheit.</w:t>
      </w:r>
    </w:p>
    <w:p w14:paraId="3A5F4835" w14:textId="77777777" w:rsidR="00294258" w:rsidRPr="006C5859" w:rsidRDefault="00294258" w:rsidP="00F55AF8">
      <w:pPr>
        <w:tabs>
          <w:tab w:val="left" w:pos="567"/>
          <w:tab w:val="left" w:pos="1134"/>
        </w:tabs>
        <w:spacing w:line="240" w:lineRule="atLeast"/>
        <w:ind w:left="567" w:firstLine="0"/>
      </w:pPr>
    </w:p>
    <w:p w14:paraId="7461E72D" w14:textId="5A8E2D9C" w:rsidR="00294258" w:rsidRPr="00F55AF8" w:rsidRDefault="00F55AF8" w:rsidP="00F55AF8">
      <w:pPr>
        <w:tabs>
          <w:tab w:val="left" w:pos="567"/>
          <w:tab w:val="left" w:pos="1134"/>
        </w:tabs>
        <w:spacing w:line="240" w:lineRule="atLeast"/>
        <w:ind w:left="567" w:firstLine="0"/>
      </w:pPr>
      <w:r w:rsidRPr="00F55AF8">
        <w:t>28.</w:t>
      </w:r>
      <w:r w:rsidRPr="00F55AF8">
        <w:tab/>
      </w:r>
      <w:r w:rsidR="00294258" w:rsidRPr="00F55AF8">
        <w:t>Die folgende Übergangsvorschriften in 1.6.7.2.2.2 Tabelle der allgemeinen Übergangsvorschriften: Tankschiffe ADN einfügen:</w:t>
      </w:r>
    </w:p>
    <w:p w14:paraId="6AEEA5F3" w14:textId="77777777" w:rsidR="00294258" w:rsidRPr="006C5859" w:rsidRDefault="00294258" w:rsidP="000A72C7">
      <w:pPr>
        <w:tabs>
          <w:tab w:val="left" w:pos="567"/>
        </w:tabs>
        <w:spacing w:line="240" w:lineRule="atLeast"/>
        <w:ind w:left="0"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294258" w:rsidRPr="006C5859" w14:paraId="344839E1" w14:textId="77777777" w:rsidTr="00E0183A">
        <w:trPr>
          <w:cantSplit/>
        </w:trPr>
        <w:tc>
          <w:tcPr>
            <w:tcW w:w="1207" w:type="dxa"/>
            <w:tcBorders>
              <w:top w:val="single" w:sz="6" w:space="0" w:color="auto"/>
              <w:left w:val="single" w:sz="6" w:space="0" w:color="auto"/>
              <w:bottom w:val="single" w:sz="6" w:space="0" w:color="auto"/>
              <w:right w:val="single" w:sz="6" w:space="0" w:color="auto"/>
            </w:tcBorders>
          </w:tcPr>
          <w:p w14:paraId="60615E2D" w14:textId="77777777" w:rsidR="00294258" w:rsidRPr="006C5859" w:rsidRDefault="00294258"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1266CAC7" w14:textId="77777777" w:rsidR="00294258" w:rsidRPr="006C5859" w:rsidRDefault="00294258"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Zündschutzarten</w:t>
            </w:r>
          </w:p>
          <w:p w14:paraId="0C7DF363" w14:textId="77777777" w:rsidR="00294258" w:rsidRPr="006C5859" w:rsidRDefault="00294258" w:rsidP="000A72C7">
            <w:pPr>
              <w:pStyle w:val="N3"/>
              <w:tabs>
                <w:tab w:val="clear" w:pos="170"/>
              </w:tabs>
              <w:spacing w:line="240" w:lineRule="atLeast"/>
              <w:rPr>
                <w:rFonts w:ascii="Times New Roman" w:hAnsi="Times New Roman"/>
                <w:sz w:val="20"/>
                <w:lang w:val="de-DE"/>
              </w:rPr>
            </w:pPr>
            <w:r w:rsidRPr="006C5859">
              <w:rPr>
                <w:rFonts w:ascii="Times New Roman" w:hAnsi="Times New Roman"/>
                <w:iCs/>
                <w:sz w:val="20"/>
                <w:lang w:val="de-DE"/>
              </w:rPr>
              <w:t>EEx d</w:t>
            </w:r>
            <w:r w:rsidR="009A3AA4" w:rsidRPr="006C5859">
              <w:rPr>
                <w:rFonts w:ascii="Times New Roman" w:hAnsi="Times New Roman"/>
                <w:iCs/>
                <w:sz w:val="20"/>
                <w:lang w:val="de-DE"/>
              </w:rPr>
              <w:t>, IEC Standard</w:t>
            </w:r>
          </w:p>
        </w:tc>
        <w:tc>
          <w:tcPr>
            <w:tcW w:w="5355" w:type="dxa"/>
            <w:tcBorders>
              <w:top w:val="single" w:sz="6" w:space="0" w:color="auto"/>
              <w:left w:val="single" w:sz="6" w:space="0" w:color="auto"/>
              <w:bottom w:val="single" w:sz="6" w:space="0" w:color="auto"/>
              <w:right w:val="single" w:sz="6" w:space="0" w:color="auto"/>
            </w:tcBorders>
          </w:tcPr>
          <w:p w14:paraId="2269149B" w14:textId="28A6916C" w:rsidR="00294258" w:rsidRPr="006C5859" w:rsidRDefault="00294258" w:rsidP="002E5FCC">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N.E.U. ab 1. Januar 2023</w:t>
            </w:r>
          </w:p>
        </w:tc>
      </w:tr>
    </w:tbl>
    <w:p w14:paraId="51E12FB9" w14:textId="77777777" w:rsidR="00294258" w:rsidRPr="006C5859" w:rsidRDefault="00294258" w:rsidP="000A72C7">
      <w:pPr>
        <w:tabs>
          <w:tab w:val="left" w:pos="567"/>
        </w:tabs>
        <w:spacing w:line="240" w:lineRule="atLeast"/>
        <w:ind w:left="0" w:firstLine="0"/>
      </w:pPr>
    </w:p>
    <w:p w14:paraId="1B58126D" w14:textId="1E92A369" w:rsidR="00286ED4" w:rsidRPr="00686519" w:rsidRDefault="00286ED4" w:rsidP="00686519">
      <w:pPr>
        <w:pStyle w:val="Paragraphedeliste"/>
        <w:numPr>
          <w:ilvl w:val="0"/>
          <w:numId w:val="4"/>
        </w:numPr>
        <w:tabs>
          <w:tab w:val="left" w:pos="567"/>
          <w:tab w:val="left" w:pos="1276"/>
        </w:tabs>
        <w:spacing w:line="240" w:lineRule="atLeast"/>
        <w:ind w:left="567" w:firstLine="0"/>
        <w:rPr>
          <w:i/>
          <w:iCs/>
        </w:rPr>
      </w:pPr>
      <w:r w:rsidRPr="00686519">
        <w:rPr>
          <w:i/>
          <w:iCs/>
        </w:rPr>
        <w:t>„EEx (e)“ durch „EEx e“ ersetzen und das Zitat „IEC 60079-7:2016“ durch „IEC</w:t>
      </w:r>
      <w:r w:rsidR="001912AF" w:rsidRPr="006C5859">
        <w:t> </w:t>
      </w:r>
      <w:r w:rsidRPr="00686519">
        <w:rPr>
          <w:i/>
          <w:iCs/>
        </w:rPr>
        <w:t>60079-7:2016</w:t>
      </w:r>
      <w:r w:rsidR="001912AF" w:rsidRPr="006C5859">
        <w:t> </w:t>
      </w:r>
      <w:r w:rsidRPr="00686519">
        <w:rPr>
          <w:i/>
          <w:iCs/>
        </w:rPr>
        <w:t>A1:2017“ ersetzen.</w:t>
      </w:r>
    </w:p>
    <w:p w14:paraId="1CC7AEA6" w14:textId="77777777" w:rsidR="00286ED4" w:rsidRPr="00686519" w:rsidRDefault="00286ED4" w:rsidP="00686519">
      <w:pPr>
        <w:pStyle w:val="Paragraphedeliste"/>
        <w:tabs>
          <w:tab w:val="left" w:pos="567"/>
          <w:tab w:val="left" w:pos="1276"/>
        </w:tabs>
        <w:spacing w:line="240" w:lineRule="atLeast"/>
        <w:ind w:left="567" w:firstLine="0"/>
        <w:rPr>
          <w:i/>
          <w:iCs/>
        </w:rPr>
      </w:pPr>
    </w:p>
    <w:p w14:paraId="3383E1FC" w14:textId="23455669" w:rsidR="00286ED4" w:rsidRPr="00686519" w:rsidRDefault="00686519" w:rsidP="00686519">
      <w:pPr>
        <w:tabs>
          <w:tab w:val="left" w:pos="567"/>
          <w:tab w:val="left" w:pos="1134"/>
        </w:tabs>
        <w:spacing w:line="240" w:lineRule="atLeast"/>
        <w:ind w:left="567" w:firstLine="0"/>
      </w:pPr>
      <w:r>
        <w:t>29.</w:t>
      </w:r>
      <w:r>
        <w:tab/>
      </w:r>
      <w:r w:rsidR="00286ED4" w:rsidRPr="00686519">
        <w:t xml:space="preserve">Titel des Standards: </w:t>
      </w:r>
      <w:r w:rsidR="00BB79DB" w:rsidRPr="00686519">
        <w:t>„</w:t>
      </w:r>
      <w:r w:rsidR="00286ED4" w:rsidRPr="00686519">
        <w:t>Explosionsgefährdete Bereiche</w:t>
      </w:r>
      <w:r w:rsidR="009A3AA4" w:rsidRPr="00686519">
        <w:t xml:space="preserve"> –</w:t>
      </w:r>
      <w:r w:rsidR="00286ED4" w:rsidRPr="00686519">
        <w:t xml:space="preserve"> Teil</w:t>
      </w:r>
      <w:r w:rsidR="009A3AA4" w:rsidRPr="00686519">
        <w:t xml:space="preserve"> </w:t>
      </w:r>
      <w:r w:rsidR="00286ED4" w:rsidRPr="00686519">
        <w:t xml:space="preserve">7: Geräteschutz durch erhöhte Sicherheit </w:t>
      </w:r>
      <w:r w:rsidR="00B3129B" w:rsidRPr="00686519">
        <w:t>„</w:t>
      </w:r>
      <w:r w:rsidR="00286ED4" w:rsidRPr="00686519">
        <w:t>e</w:t>
      </w:r>
      <w:r w:rsidR="00B3129B" w:rsidRPr="00686519">
        <w:t>“</w:t>
      </w:r>
      <w:r w:rsidR="009A3AA4" w:rsidRPr="00686519">
        <w:t>“.</w:t>
      </w:r>
    </w:p>
    <w:p w14:paraId="6581458E" w14:textId="77777777" w:rsidR="00286ED4" w:rsidRPr="00686519" w:rsidRDefault="00286ED4" w:rsidP="00686519">
      <w:pPr>
        <w:tabs>
          <w:tab w:val="left" w:pos="567"/>
          <w:tab w:val="left" w:pos="1134"/>
        </w:tabs>
        <w:spacing w:line="240" w:lineRule="atLeast"/>
        <w:ind w:left="567" w:firstLine="0"/>
      </w:pPr>
    </w:p>
    <w:p w14:paraId="2B563D97" w14:textId="356442B1" w:rsidR="00294258" w:rsidRPr="00686519" w:rsidRDefault="00686519" w:rsidP="00686519">
      <w:pPr>
        <w:tabs>
          <w:tab w:val="left" w:pos="567"/>
          <w:tab w:val="left" w:pos="1134"/>
        </w:tabs>
        <w:spacing w:line="240" w:lineRule="atLeast"/>
        <w:ind w:left="567" w:firstLine="0"/>
      </w:pPr>
      <w:r>
        <w:t>30.</w:t>
      </w:r>
      <w:r>
        <w:tab/>
      </w:r>
      <w:r w:rsidR="00294258" w:rsidRPr="00686519">
        <w:t>Die Änderung im Standard ist redaktionell. Sie bedeutet kein Mehr an technischer Sicherheit.</w:t>
      </w:r>
    </w:p>
    <w:p w14:paraId="26859E00" w14:textId="77777777" w:rsidR="009A3AA4" w:rsidRPr="00686519" w:rsidRDefault="009A3AA4" w:rsidP="00686519">
      <w:pPr>
        <w:tabs>
          <w:tab w:val="left" w:pos="567"/>
          <w:tab w:val="left" w:pos="1134"/>
        </w:tabs>
        <w:spacing w:line="240" w:lineRule="atLeast"/>
        <w:ind w:left="567" w:firstLine="0"/>
      </w:pPr>
    </w:p>
    <w:p w14:paraId="6F0B3F2A" w14:textId="5E5DB026" w:rsidR="00294258" w:rsidRPr="00686519" w:rsidRDefault="00686519" w:rsidP="00686519">
      <w:pPr>
        <w:tabs>
          <w:tab w:val="left" w:pos="567"/>
          <w:tab w:val="left" w:pos="1134"/>
        </w:tabs>
        <w:spacing w:line="240" w:lineRule="atLeast"/>
        <w:ind w:left="567" w:firstLine="0"/>
      </w:pPr>
      <w:r>
        <w:t>31.</w:t>
      </w:r>
      <w:r>
        <w:tab/>
      </w:r>
      <w:r w:rsidR="00294258" w:rsidRPr="00686519">
        <w:t xml:space="preserve">Die folgende Übergangsvorschriften in 1.6.7.2.2.2 Tabelle der allgemeinen Übergangsvorschriften: </w:t>
      </w:r>
    </w:p>
    <w:p w14:paraId="1D830DF2" w14:textId="77777777" w:rsidR="00294258" w:rsidRPr="00686519" w:rsidRDefault="00294258" w:rsidP="00686519">
      <w:pPr>
        <w:tabs>
          <w:tab w:val="left" w:pos="567"/>
          <w:tab w:val="left" w:pos="1134"/>
        </w:tabs>
        <w:spacing w:line="240" w:lineRule="atLeast"/>
        <w:ind w:left="567" w:firstLine="0"/>
      </w:pPr>
      <w:r w:rsidRPr="00686519">
        <w:t>Tankschiffe ADN einfügen:</w:t>
      </w:r>
    </w:p>
    <w:p w14:paraId="47BAAEBE" w14:textId="77777777" w:rsidR="00294258" w:rsidRPr="006C5859" w:rsidRDefault="00294258" w:rsidP="000A72C7">
      <w:pPr>
        <w:tabs>
          <w:tab w:val="left" w:pos="567"/>
        </w:tabs>
        <w:spacing w:line="240" w:lineRule="atLeast"/>
        <w:ind w:left="0"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294258" w:rsidRPr="006C5859" w14:paraId="1C8AFE9E" w14:textId="77777777" w:rsidTr="00E0183A">
        <w:trPr>
          <w:cantSplit/>
        </w:trPr>
        <w:tc>
          <w:tcPr>
            <w:tcW w:w="1207" w:type="dxa"/>
            <w:tcBorders>
              <w:top w:val="single" w:sz="6" w:space="0" w:color="auto"/>
              <w:left w:val="single" w:sz="6" w:space="0" w:color="auto"/>
              <w:bottom w:val="single" w:sz="6" w:space="0" w:color="auto"/>
              <w:right w:val="single" w:sz="6" w:space="0" w:color="auto"/>
            </w:tcBorders>
          </w:tcPr>
          <w:p w14:paraId="5FCE80D8" w14:textId="77777777" w:rsidR="00294258" w:rsidRPr="006C5859" w:rsidRDefault="00294258"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1031C5CC" w14:textId="77777777" w:rsidR="00294258" w:rsidRPr="006C5859" w:rsidRDefault="00294258"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Zündschutzarten</w:t>
            </w:r>
          </w:p>
          <w:p w14:paraId="607DE917" w14:textId="77777777" w:rsidR="00294258" w:rsidRPr="006C5859" w:rsidRDefault="00294258" w:rsidP="000A72C7">
            <w:pPr>
              <w:pStyle w:val="N3"/>
              <w:tabs>
                <w:tab w:val="clear" w:pos="170"/>
              </w:tabs>
              <w:spacing w:line="240" w:lineRule="atLeast"/>
              <w:rPr>
                <w:rFonts w:ascii="Times New Roman" w:hAnsi="Times New Roman"/>
                <w:sz w:val="20"/>
                <w:lang w:val="de-DE"/>
              </w:rPr>
            </w:pPr>
            <w:r w:rsidRPr="006C5859">
              <w:rPr>
                <w:rFonts w:ascii="Times New Roman" w:hAnsi="Times New Roman"/>
                <w:iCs/>
                <w:sz w:val="20"/>
                <w:lang w:val="de-DE"/>
              </w:rPr>
              <w:t xml:space="preserve">EEx </w:t>
            </w:r>
            <w:r w:rsidR="009A3AA4" w:rsidRPr="006C5859">
              <w:rPr>
                <w:rFonts w:ascii="Times New Roman" w:hAnsi="Times New Roman"/>
                <w:iCs/>
                <w:sz w:val="20"/>
                <w:lang w:val="de-DE"/>
              </w:rPr>
              <w:t>e, IEC Standard</w:t>
            </w:r>
          </w:p>
        </w:tc>
        <w:tc>
          <w:tcPr>
            <w:tcW w:w="5355" w:type="dxa"/>
            <w:tcBorders>
              <w:top w:val="single" w:sz="6" w:space="0" w:color="auto"/>
              <w:left w:val="single" w:sz="6" w:space="0" w:color="auto"/>
              <w:bottom w:val="single" w:sz="6" w:space="0" w:color="auto"/>
              <w:right w:val="single" w:sz="6" w:space="0" w:color="auto"/>
            </w:tcBorders>
          </w:tcPr>
          <w:p w14:paraId="6DE8F1A3" w14:textId="19259A34" w:rsidR="00294258" w:rsidRPr="006C5859" w:rsidRDefault="00294258" w:rsidP="002E5FCC">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N.E.U. ab 1. Januar 2023</w:t>
            </w:r>
          </w:p>
        </w:tc>
      </w:tr>
    </w:tbl>
    <w:p w14:paraId="1B56A561" w14:textId="77777777" w:rsidR="00294258" w:rsidRPr="006C5859" w:rsidRDefault="00294258" w:rsidP="000A72C7">
      <w:pPr>
        <w:tabs>
          <w:tab w:val="left" w:pos="567"/>
        </w:tabs>
        <w:spacing w:line="240" w:lineRule="atLeast"/>
        <w:ind w:left="0" w:firstLine="0"/>
      </w:pPr>
    </w:p>
    <w:p w14:paraId="661333A2" w14:textId="0FD5F7A2" w:rsidR="00286ED4" w:rsidRPr="00686519" w:rsidRDefault="00286ED4" w:rsidP="00686519">
      <w:pPr>
        <w:pStyle w:val="Paragraphedeliste"/>
        <w:numPr>
          <w:ilvl w:val="0"/>
          <w:numId w:val="4"/>
        </w:numPr>
        <w:tabs>
          <w:tab w:val="left" w:pos="1134"/>
        </w:tabs>
        <w:spacing w:line="240" w:lineRule="atLeast"/>
        <w:ind w:left="567" w:firstLine="0"/>
        <w:rPr>
          <w:i/>
          <w:iCs/>
        </w:rPr>
      </w:pPr>
      <w:r w:rsidRPr="00686519">
        <w:rPr>
          <w:i/>
          <w:iCs/>
        </w:rPr>
        <w:t>„EEx (ia)“ durch „EEx ia“ und „EEx (ib)“ durch „EEx ib“ ersetzen und zweimal das Zitat „IEC</w:t>
      </w:r>
      <w:r w:rsidR="001912AF" w:rsidRPr="006C5859">
        <w:t> </w:t>
      </w:r>
      <w:r w:rsidRPr="00686519">
        <w:rPr>
          <w:i/>
          <w:iCs/>
        </w:rPr>
        <w:t>60079-11:2012“ durch „IEC 60079-11:2011 Cor.:2012“ ersetzen.</w:t>
      </w:r>
    </w:p>
    <w:p w14:paraId="09B0ACF0" w14:textId="77777777" w:rsidR="00286ED4" w:rsidRPr="006C5859" w:rsidRDefault="00286ED4" w:rsidP="000A72C7">
      <w:pPr>
        <w:pStyle w:val="Paragraphedeliste"/>
        <w:tabs>
          <w:tab w:val="left" w:pos="567"/>
        </w:tabs>
        <w:spacing w:line="240" w:lineRule="atLeast"/>
        <w:ind w:left="1287" w:firstLine="0"/>
      </w:pPr>
    </w:p>
    <w:p w14:paraId="59E739EB" w14:textId="344185B1" w:rsidR="00286ED4" w:rsidRPr="00686519" w:rsidRDefault="00686519" w:rsidP="00686519">
      <w:pPr>
        <w:tabs>
          <w:tab w:val="left" w:pos="567"/>
          <w:tab w:val="left" w:pos="1134"/>
        </w:tabs>
        <w:spacing w:line="240" w:lineRule="atLeast"/>
        <w:ind w:left="567" w:firstLine="0"/>
      </w:pPr>
      <w:r>
        <w:t>32.</w:t>
      </w:r>
      <w:r>
        <w:tab/>
      </w:r>
      <w:r w:rsidR="00286ED4" w:rsidRPr="00686519">
        <w:t xml:space="preserve">Titel des Standards: </w:t>
      </w:r>
      <w:r w:rsidR="00BB79DB" w:rsidRPr="00686519">
        <w:t>„</w:t>
      </w:r>
      <w:r w:rsidR="00286ED4" w:rsidRPr="00686519">
        <w:t xml:space="preserve">Explosionsgefährdete Bereiche - Teil 11: Geräteschutz durch Eigensicherheit </w:t>
      </w:r>
      <w:r w:rsidR="00B3129B" w:rsidRPr="00686519">
        <w:t>„</w:t>
      </w:r>
      <w:r w:rsidR="00286ED4" w:rsidRPr="00686519">
        <w:t>i</w:t>
      </w:r>
      <w:r w:rsidR="00B3129B" w:rsidRPr="00686519">
        <w:t>“</w:t>
      </w:r>
      <w:r w:rsidR="00BB79DB" w:rsidRPr="00686519">
        <w:t>“.</w:t>
      </w:r>
    </w:p>
    <w:p w14:paraId="16A5D832" w14:textId="77777777" w:rsidR="00286ED4" w:rsidRPr="00686519" w:rsidRDefault="00286ED4" w:rsidP="00686519">
      <w:pPr>
        <w:pStyle w:val="Paragraphedeliste"/>
        <w:tabs>
          <w:tab w:val="left" w:pos="567"/>
        </w:tabs>
        <w:spacing w:line="240" w:lineRule="atLeast"/>
        <w:ind w:left="567" w:firstLine="0"/>
      </w:pPr>
    </w:p>
    <w:p w14:paraId="7363B83F" w14:textId="3FFDABC9" w:rsidR="00576571" w:rsidRPr="00686519" w:rsidRDefault="00686519" w:rsidP="00686519">
      <w:pPr>
        <w:tabs>
          <w:tab w:val="left" w:pos="567"/>
          <w:tab w:val="left" w:pos="1134"/>
        </w:tabs>
        <w:spacing w:line="240" w:lineRule="atLeast"/>
        <w:ind w:left="567" w:firstLine="0"/>
      </w:pPr>
      <w:r>
        <w:t>33.</w:t>
      </w:r>
      <w:r>
        <w:tab/>
      </w:r>
      <w:r w:rsidR="00405183" w:rsidRPr="00686519">
        <w:t>Es handelt sich um die redaktionelle Berichtigung des Zitats im ADN. Eine Übergangsvorschrift ist nicht erforderlich.</w:t>
      </w:r>
    </w:p>
    <w:p w14:paraId="78F7A336" w14:textId="77777777" w:rsidR="00E11708" w:rsidRPr="006C5859" w:rsidRDefault="00E11708" w:rsidP="000A72C7">
      <w:pPr>
        <w:pStyle w:val="Paragraphedeliste"/>
        <w:tabs>
          <w:tab w:val="left" w:pos="567"/>
        </w:tabs>
        <w:spacing w:line="240" w:lineRule="atLeast"/>
        <w:ind w:left="1080" w:firstLine="0"/>
      </w:pPr>
    </w:p>
    <w:p w14:paraId="4F3D406F" w14:textId="77777777" w:rsidR="00286ED4" w:rsidRPr="009A378F" w:rsidRDefault="00286ED4" w:rsidP="009A378F">
      <w:pPr>
        <w:pStyle w:val="Paragraphedeliste"/>
        <w:numPr>
          <w:ilvl w:val="0"/>
          <w:numId w:val="4"/>
        </w:numPr>
        <w:tabs>
          <w:tab w:val="left" w:pos="567"/>
          <w:tab w:val="left" w:pos="1134"/>
        </w:tabs>
        <w:spacing w:line="240" w:lineRule="atLeast"/>
        <w:ind w:left="567" w:firstLine="0"/>
        <w:rPr>
          <w:i/>
          <w:iCs/>
        </w:rPr>
      </w:pPr>
      <w:r w:rsidRPr="009A378F">
        <w:rPr>
          <w:i/>
          <w:iCs/>
        </w:rPr>
        <w:t>„EEx (m)“ durch EEx m“ ersetzen und das Zitat „IEC 60079-18:2014“ durch „IEC 60079-18:2014; A1:2017; Cor.:2018“ ersetzen.</w:t>
      </w:r>
    </w:p>
    <w:p w14:paraId="7BDDB8DD" w14:textId="77777777" w:rsidR="00286ED4" w:rsidRPr="006C5859" w:rsidRDefault="00286ED4" w:rsidP="000A72C7">
      <w:pPr>
        <w:pStyle w:val="Paragraphedeliste"/>
        <w:tabs>
          <w:tab w:val="left" w:pos="567"/>
        </w:tabs>
        <w:spacing w:line="240" w:lineRule="atLeast"/>
        <w:ind w:left="1080" w:firstLine="0"/>
      </w:pPr>
    </w:p>
    <w:p w14:paraId="0409EEA0" w14:textId="0470D1AA" w:rsidR="00286ED4" w:rsidRPr="00686519" w:rsidRDefault="00686519" w:rsidP="00686519">
      <w:pPr>
        <w:tabs>
          <w:tab w:val="left" w:pos="567"/>
          <w:tab w:val="left" w:pos="1134"/>
        </w:tabs>
        <w:spacing w:line="240" w:lineRule="atLeast"/>
        <w:ind w:left="567" w:firstLine="0"/>
      </w:pPr>
      <w:r>
        <w:t>34.</w:t>
      </w:r>
      <w:r>
        <w:tab/>
      </w:r>
      <w:r w:rsidR="00286ED4" w:rsidRPr="00686519">
        <w:t xml:space="preserve">Titel des Standards: </w:t>
      </w:r>
      <w:r w:rsidR="00BB79DB" w:rsidRPr="00686519">
        <w:t>„</w:t>
      </w:r>
      <w:r w:rsidR="00286ED4" w:rsidRPr="00686519">
        <w:t>Explosionsgefährdete Bereiche</w:t>
      </w:r>
      <w:r w:rsidR="00405183" w:rsidRPr="00686519">
        <w:t xml:space="preserve"> –</w:t>
      </w:r>
      <w:r w:rsidR="00286ED4" w:rsidRPr="00686519">
        <w:t xml:space="preserve"> Teil</w:t>
      </w:r>
      <w:r w:rsidR="00405183" w:rsidRPr="00686519">
        <w:t xml:space="preserve"> </w:t>
      </w:r>
      <w:r w:rsidR="00286ED4" w:rsidRPr="00686519">
        <w:t xml:space="preserve">18: Geräteschutz durch Vergusskapselung </w:t>
      </w:r>
      <w:r w:rsidR="00027248" w:rsidRPr="00686519">
        <w:t>„</w:t>
      </w:r>
      <w:r w:rsidR="00286ED4" w:rsidRPr="00686519">
        <w:t>m</w:t>
      </w:r>
      <w:r w:rsidR="00027248" w:rsidRPr="00686519">
        <w:t>“</w:t>
      </w:r>
      <w:r w:rsidR="00BB79DB" w:rsidRPr="00686519">
        <w:t>“.</w:t>
      </w:r>
    </w:p>
    <w:p w14:paraId="0C1418D1" w14:textId="77777777" w:rsidR="00286ED4" w:rsidRPr="00686519" w:rsidRDefault="00286ED4" w:rsidP="00686519">
      <w:pPr>
        <w:pStyle w:val="Paragraphedeliste"/>
        <w:tabs>
          <w:tab w:val="left" w:pos="567"/>
          <w:tab w:val="left" w:pos="1134"/>
        </w:tabs>
        <w:spacing w:line="240" w:lineRule="atLeast"/>
        <w:ind w:left="567" w:firstLine="0"/>
      </w:pPr>
    </w:p>
    <w:p w14:paraId="7A08AF3D" w14:textId="2F165221" w:rsidR="009A3AA4" w:rsidRPr="00686519" w:rsidRDefault="00686519" w:rsidP="00686519">
      <w:pPr>
        <w:tabs>
          <w:tab w:val="left" w:pos="567"/>
          <w:tab w:val="left" w:pos="1134"/>
        </w:tabs>
        <w:spacing w:line="240" w:lineRule="atLeast"/>
        <w:ind w:left="567" w:firstLine="0"/>
      </w:pPr>
      <w:r>
        <w:t>35.</w:t>
      </w:r>
      <w:r>
        <w:tab/>
      </w:r>
      <w:r w:rsidR="009A3AA4" w:rsidRPr="00686519">
        <w:t>Die Korrektur im Standard ist redaktionell und betrifft die Darstellung des Prüfablauf. Sie bedeutet kein Mehr an technischer Sicherheit.</w:t>
      </w:r>
    </w:p>
    <w:p w14:paraId="3CA30EC0" w14:textId="517E8FF5" w:rsidR="00E70612" w:rsidRPr="00686519" w:rsidRDefault="00E70612" w:rsidP="00686519">
      <w:pPr>
        <w:tabs>
          <w:tab w:val="left" w:pos="567"/>
          <w:tab w:val="left" w:pos="1134"/>
        </w:tabs>
        <w:spacing w:line="240" w:lineRule="atLeast"/>
        <w:ind w:left="567" w:firstLine="0"/>
      </w:pPr>
    </w:p>
    <w:p w14:paraId="0363207D" w14:textId="527050C7" w:rsidR="009A3AA4" w:rsidRPr="00686519" w:rsidRDefault="00686519" w:rsidP="00686519">
      <w:pPr>
        <w:tabs>
          <w:tab w:val="left" w:pos="567"/>
          <w:tab w:val="left" w:pos="1134"/>
        </w:tabs>
        <w:spacing w:line="240" w:lineRule="atLeast"/>
        <w:ind w:left="567" w:firstLine="0"/>
      </w:pPr>
      <w:r>
        <w:t>36.</w:t>
      </w:r>
      <w:r>
        <w:tab/>
      </w:r>
      <w:r w:rsidR="009A3AA4" w:rsidRPr="00686519">
        <w:t xml:space="preserve">Die folgende Übergangsvorschriften in 1.6.7.2.2.2 Tabelle der allgemeinen Übergangsvorschriften: </w:t>
      </w:r>
    </w:p>
    <w:p w14:paraId="0CE2102A" w14:textId="77777777" w:rsidR="009A3AA4" w:rsidRPr="00686519" w:rsidRDefault="009A3AA4" w:rsidP="00686519">
      <w:pPr>
        <w:tabs>
          <w:tab w:val="left" w:pos="567"/>
          <w:tab w:val="left" w:pos="1134"/>
        </w:tabs>
        <w:spacing w:line="240" w:lineRule="atLeast"/>
        <w:ind w:left="567" w:firstLine="0"/>
      </w:pPr>
      <w:r w:rsidRPr="00686519">
        <w:t>Tankschiffe ADN einfügen:</w:t>
      </w:r>
    </w:p>
    <w:p w14:paraId="5792C9F0" w14:textId="77777777" w:rsidR="009A3AA4" w:rsidRPr="006C5859" w:rsidRDefault="009A3AA4" w:rsidP="000A72C7">
      <w:pPr>
        <w:tabs>
          <w:tab w:val="left" w:pos="567"/>
        </w:tabs>
        <w:spacing w:line="240" w:lineRule="atLeast"/>
        <w:ind w:left="0"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9A3AA4" w:rsidRPr="006C5859" w14:paraId="739DEEB8" w14:textId="77777777" w:rsidTr="00E0183A">
        <w:trPr>
          <w:cantSplit/>
        </w:trPr>
        <w:tc>
          <w:tcPr>
            <w:tcW w:w="1207" w:type="dxa"/>
            <w:tcBorders>
              <w:top w:val="single" w:sz="6" w:space="0" w:color="auto"/>
              <w:left w:val="single" w:sz="6" w:space="0" w:color="auto"/>
              <w:bottom w:val="single" w:sz="6" w:space="0" w:color="auto"/>
              <w:right w:val="single" w:sz="6" w:space="0" w:color="auto"/>
            </w:tcBorders>
          </w:tcPr>
          <w:p w14:paraId="3559DC3F" w14:textId="77777777" w:rsidR="009A3AA4" w:rsidRPr="006C5859" w:rsidRDefault="009A3AA4"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5363317B" w14:textId="77777777" w:rsidR="009A3AA4" w:rsidRPr="006C5859" w:rsidRDefault="009A3AA4"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Zündschutzarten</w:t>
            </w:r>
          </w:p>
          <w:p w14:paraId="1F6E184C" w14:textId="77777777" w:rsidR="009A3AA4" w:rsidRPr="006C5859" w:rsidRDefault="009A3AA4" w:rsidP="000A72C7">
            <w:pPr>
              <w:pStyle w:val="N3"/>
              <w:tabs>
                <w:tab w:val="clear" w:pos="170"/>
              </w:tabs>
              <w:spacing w:line="240" w:lineRule="atLeast"/>
              <w:rPr>
                <w:rFonts w:ascii="Times New Roman" w:hAnsi="Times New Roman"/>
                <w:sz w:val="20"/>
                <w:lang w:val="de-DE"/>
              </w:rPr>
            </w:pPr>
            <w:r w:rsidRPr="006C5859">
              <w:rPr>
                <w:rFonts w:ascii="Times New Roman" w:hAnsi="Times New Roman"/>
                <w:iCs/>
                <w:sz w:val="20"/>
                <w:lang w:val="de-DE"/>
              </w:rPr>
              <w:t>EEx m, IEC Standard</w:t>
            </w:r>
          </w:p>
        </w:tc>
        <w:tc>
          <w:tcPr>
            <w:tcW w:w="5355" w:type="dxa"/>
            <w:tcBorders>
              <w:top w:val="single" w:sz="6" w:space="0" w:color="auto"/>
              <w:left w:val="single" w:sz="6" w:space="0" w:color="auto"/>
              <w:bottom w:val="single" w:sz="6" w:space="0" w:color="auto"/>
              <w:right w:val="single" w:sz="6" w:space="0" w:color="auto"/>
            </w:tcBorders>
          </w:tcPr>
          <w:p w14:paraId="664EAF0A" w14:textId="359A0C2F" w:rsidR="009A3AA4" w:rsidRPr="006C5859" w:rsidRDefault="009A3AA4" w:rsidP="0075000E">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N.E.U. ab 1. Januar 2023</w:t>
            </w:r>
          </w:p>
        </w:tc>
      </w:tr>
    </w:tbl>
    <w:p w14:paraId="6BEFF598" w14:textId="3942E981" w:rsidR="00405183" w:rsidRPr="006C5859" w:rsidRDefault="00405183" w:rsidP="000A72C7">
      <w:pPr>
        <w:pStyle w:val="Paragraphedeliste"/>
        <w:tabs>
          <w:tab w:val="left" w:pos="567"/>
        </w:tabs>
        <w:spacing w:line="240" w:lineRule="atLeast"/>
        <w:ind w:left="1287" w:firstLine="0"/>
      </w:pPr>
    </w:p>
    <w:p w14:paraId="6FADC80B" w14:textId="77777777" w:rsidR="00286ED4" w:rsidRPr="00686519" w:rsidRDefault="00286ED4" w:rsidP="00686519">
      <w:pPr>
        <w:pStyle w:val="Paragraphedeliste"/>
        <w:numPr>
          <w:ilvl w:val="0"/>
          <w:numId w:val="4"/>
        </w:numPr>
        <w:tabs>
          <w:tab w:val="left" w:pos="567"/>
          <w:tab w:val="left" w:pos="1134"/>
        </w:tabs>
        <w:spacing w:line="240" w:lineRule="atLeast"/>
        <w:ind w:left="567" w:firstLine="0"/>
        <w:rPr>
          <w:i/>
          <w:iCs/>
        </w:rPr>
      </w:pPr>
      <w:r w:rsidRPr="00686519">
        <w:rPr>
          <w:i/>
          <w:iCs/>
        </w:rPr>
        <w:t>„EEx (p)“ durch „EEx p“ ersetzen und das Zitat „IEC 60079-2:2014“ durch „IEC 60079-2:2014 Cor.:2015“ ersetzen.</w:t>
      </w:r>
    </w:p>
    <w:p w14:paraId="78E049B3" w14:textId="77777777" w:rsidR="00286ED4" w:rsidRPr="006C5859" w:rsidRDefault="00286ED4" w:rsidP="000A72C7">
      <w:pPr>
        <w:pStyle w:val="Paragraphedeliste"/>
        <w:tabs>
          <w:tab w:val="left" w:pos="567"/>
        </w:tabs>
        <w:spacing w:line="240" w:lineRule="atLeast"/>
        <w:ind w:left="1080" w:firstLine="0"/>
      </w:pPr>
    </w:p>
    <w:p w14:paraId="4F785408" w14:textId="3622E74D" w:rsidR="00286ED4" w:rsidRPr="006C5859" w:rsidRDefault="00686519" w:rsidP="00686519">
      <w:pPr>
        <w:tabs>
          <w:tab w:val="left" w:pos="567"/>
          <w:tab w:val="left" w:pos="1134"/>
        </w:tabs>
        <w:spacing w:line="240" w:lineRule="atLeast"/>
        <w:ind w:left="567" w:firstLine="0"/>
      </w:pPr>
      <w:r>
        <w:t>37.</w:t>
      </w:r>
      <w:r>
        <w:tab/>
      </w:r>
      <w:r w:rsidR="00286ED4" w:rsidRPr="006C5859">
        <w:t xml:space="preserve">Titel des Standards: </w:t>
      </w:r>
      <w:r w:rsidR="00BB79DB" w:rsidRPr="006C5859">
        <w:t>„</w:t>
      </w:r>
      <w:r w:rsidR="00286ED4" w:rsidRPr="006C5859">
        <w:t>Explosionsgefährdete Bereiche</w:t>
      </w:r>
      <w:r w:rsidR="00BD36FB" w:rsidRPr="006C5859">
        <w:t xml:space="preserve"> –</w:t>
      </w:r>
      <w:r w:rsidR="00286ED4" w:rsidRPr="006C5859">
        <w:t xml:space="preserve"> Teil</w:t>
      </w:r>
      <w:r w:rsidR="00BD36FB" w:rsidRPr="006C5859">
        <w:t xml:space="preserve"> </w:t>
      </w:r>
      <w:r w:rsidR="00286ED4" w:rsidRPr="006C5859">
        <w:t xml:space="preserve">2: Geräteschutz durch Überdruckkapselung </w:t>
      </w:r>
      <w:r w:rsidR="00027248">
        <w:t>„</w:t>
      </w:r>
      <w:r w:rsidR="00286ED4" w:rsidRPr="006C5859">
        <w:t>p</w:t>
      </w:r>
      <w:r w:rsidR="00027248">
        <w:t>“</w:t>
      </w:r>
      <w:r w:rsidR="00BB79DB" w:rsidRPr="006C5859">
        <w:t>“.</w:t>
      </w:r>
    </w:p>
    <w:p w14:paraId="563CA86C" w14:textId="6CA54FCE" w:rsidR="00286ED4" w:rsidRPr="006C5859" w:rsidRDefault="00286ED4" w:rsidP="000A72C7">
      <w:pPr>
        <w:pStyle w:val="Paragraphedeliste"/>
        <w:tabs>
          <w:tab w:val="left" w:pos="567"/>
        </w:tabs>
        <w:spacing w:line="240" w:lineRule="atLeast"/>
        <w:ind w:left="1080" w:firstLine="0"/>
      </w:pPr>
    </w:p>
    <w:p w14:paraId="70161830" w14:textId="77777777" w:rsidR="00286ED4" w:rsidRPr="00686519" w:rsidRDefault="00286ED4" w:rsidP="00686519">
      <w:pPr>
        <w:pStyle w:val="Paragraphedeliste"/>
        <w:numPr>
          <w:ilvl w:val="0"/>
          <w:numId w:val="4"/>
        </w:numPr>
        <w:tabs>
          <w:tab w:val="left" w:pos="567"/>
          <w:tab w:val="left" w:pos="1134"/>
        </w:tabs>
        <w:spacing w:line="240" w:lineRule="atLeast"/>
        <w:ind w:left="567" w:firstLine="0"/>
        <w:rPr>
          <w:i/>
          <w:iCs/>
        </w:rPr>
      </w:pPr>
      <w:r w:rsidRPr="00686519">
        <w:rPr>
          <w:i/>
          <w:iCs/>
        </w:rPr>
        <w:t>„EEx (q)“ durch „EEx q“ ersetzen.</w:t>
      </w:r>
    </w:p>
    <w:p w14:paraId="1AAAEB4A" w14:textId="0E4DB92A" w:rsidR="000116F6" w:rsidRDefault="000116F6">
      <w:pPr>
        <w:widowControl/>
        <w:overflowPunct/>
        <w:autoSpaceDE/>
        <w:autoSpaceDN/>
        <w:adjustRightInd/>
        <w:ind w:left="0" w:firstLine="0"/>
        <w:jc w:val="left"/>
        <w:textAlignment w:val="auto"/>
      </w:pPr>
      <w:r>
        <w:br w:type="page"/>
      </w:r>
    </w:p>
    <w:p w14:paraId="2A11477B" w14:textId="7AB0ED8C" w:rsidR="00286ED4" w:rsidRPr="006C5859" w:rsidRDefault="00686519" w:rsidP="00686519">
      <w:pPr>
        <w:tabs>
          <w:tab w:val="left" w:pos="567"/>
          <w:tab w:val="left" w:pos="1134"/>
        </w:tabs>
        <w:spacing w:line="240" w:lineRule="atLeast"/>
        <w:ind w:left="567" w:firstLine="0"/>
      </w:pPr>
      <w:r>
        <w:lastRenderedPageBreak/>
        <w:t>38.</w:t>
      </w:r>
      <w:r>
        <w:tab/>
      </w:r>
      <w:r w:rsidR="00286ED4" w:rsidRPr="006C5859">
        <w:t>Die zitierten Ausgaben der Standards sind veraltet. Bauteile für Neubauten und Ersatzteile für bestehende Schiffe können nicht mehr nach dieser Ausgabe beschafft werden. Es ist kein Grund bekannt, warum die aktuelle Ausgabe nicht für das ADN geeignet sein könnte.</w:t>
      </w:r>
    </w:p>
    <w:p w14:paraId="03CD1DC8" w14:textId="77777777" w:rsidR="00686519" w:rsidRDefault="00686519" w:rsidP="00686519">
      <w:pPr>
        <w:widowControl/>
        <w:tabs>
          <w:tab w:val="left" w:pos="1134"/>
        </w:tabs>
        <w:overflowPunct/>
        <w:autoSpaceDE/>
        <w:autoSpaceDN/>
        <w:adjustRightInd/>
        <w:spacing w:line="240" w:lineRule="atLeast"/>
        <w:ind w:left="567" w:firstLine="0"/>
        <w:contextualSpacing/>
        <w:textAlignment w:val="auto"/>
      </w:pPr>
    </w:p>
    <w:p w14:paraId="73F00C1A" w14:textId="06F5DF7B" w:rsidR="00286ED4" w:rsidRPr="006C5859" w:rsidRDefault="00686519" w:rsidP="00686519">
      <w:pPr>
        <w:widowControl/>
        <w:tabs>
          <w:tab w:val="left" w:pos="1134"/>
        </w:tabs>
        <w:overflowPunct/>
        <w:autoSpaceDE/>
        <w:autoSpaceDN/>
        <w:adjustRightInd/>
        <w:spacing w:line="240" w:lineRule="atLeast"/>
        <w:ind w:left="567" w:firstLine="0"/>
        <w:contextualSpacing/>
        <w:textAlignment w:val="auto"/>
      </w:pPr>
      <w:r>
        <w:t>39.</w:t>
      </w:r>
      <w:r>
        <w:tab/>
      </w:r>
      <w:r w:rsidR="00286ED4" w:rsidRPr="006C5859">
        <w:t>Die Verbesserung bei den Buchstabencodes erfolgt in Übereinstimmung mit dem aktuell gültigen IEC Standard.</w:t>
      </w:r>
    </w:p>
    <w:p w14:paraId="5B0D3A27" w14:textId="77777777" w:rsidR="00286ED4" w:rsidRPr="006C5859" w:rsidRDefault="00286ED4" w:rsidP="00686519">
      <w:pPr>
        <w:tabs>
          <w:tab w:val="left" w:pos="567"/>
          <w:tab w:val="left" w:pos="1134"/>
        </w:tabs>
        <w:spacing w:line="240" w:lineRule="atLeast"/>
        <w:ind w:left="567" w:firstLine="0"/>
      </w:pPr>
    </w:p>
    <w:p w14:paraId="257CDBFC" w14:textId="74A83961" w:rsidR="00405183" w:rsidRPr="006C5859" w:rsidRDefault="00686519" w:rsidP="00686519">
      <w:pPr>
        <w:tabs>
          <w:tab w:val="left" w:pos="567"/>
          <w:tab w:val="left" w:pos="1134"/>
        </w:tabs>
        <w:spacing w:line="240" w:lineRule="atLeast"/>
        <w:ind w:left="567" w:firstLine="0"/>
      </w:pPr>
      <w:r>
        <w:t>40.</w:t>
      </w:r>
      <w:r>
        <w:tab/>
      </w:r>
      <w:r w:rsidR="00405183" w:rsidRPr="006C5859">
        <w:t>Für die Korrektur des Standards ist kein technischer Inhalt veröffentlicht. Sie bedeutet kein Mehr an technischer Sicherheit.</w:t>
      </w:r>
    </w:p>
    <w:p w14:paraId="42102904" w14:textId="77777777" w:rsidR="00405183" w:rsidRPr="006C5859" w:rsidRDefault="00405183" w:rsidP="00686519">
      <w:pPr>
        <w:tabs>
          <w:tab w:val="left" w:pos="567"/>
          <w:tab w:val="left" w:pos="1134"/>
        </w:tabs>
        <w:spacing w:line="240" w:lineRule="atLeast"/>
        <w:ind w:left="567" w:firstLine="0"/>
      </w:pPr>
    </w:p>
    <w:p w14:paraId="4FC8E086" w14:textId="1CD64067" w:rsidR="00405183" w:rsidRPr="00686519" w:rsidRDefault="00686519" w:rsidP="00686519">
      <w:pPr>
        <w:tabs>
          <w:tab w:val="left" w:pos="567"/>
          <w:tab w:val="left" w:pos="1134"/>
        </w:tabs>
        <w:spacing w:line="240" w:lineRule="atLeast"/>
        <w:ind w:left="567" w:firstLine="0"/>
      </w:pPr>
      <w:r w:rsidRPr="00686519">
        <w:t>41.</w:t>
      </w:r>
      <w:r w:rsidRPr="00686519">
        <w:tab/>
      </w:r>
      <w:r w:rsidR="00405183" w:rsidRPr="00686519">
        <w:t>Die folgende Übergangsvorschriften in 1.6.7.2.2.2 Tabelle der allgemeinen Übergangsvorschriften: Tankschiffe ADN einfügen:</w:t>
      </w:r>
    </w:p>
    <w:p w14:paraId="685A5869" w14:textId="77777777" w:rsidR="00405183" w:rsidRPr="006C5859" w:rsidRDefault="00405183" w:rsidP="000A72C7">
      <w:pPr>
        <w:tabs>
          <w:tab w:val="left" w:pos="567"/>
        </w:tabs>
        <w:spacing w:line="240" w:lineRule="atLeast"/>
        <w:ind w:left="0"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405183" w:rsidRPr="006C5859" w14:paraId="343CBE7A" w14:textId="77777777" w:rsidTr="00E0183A">
        <w:trPr>
          <w:cantSplit/>
        </w:trPr>
        <w:tc>
          <w:tcPr>
            <w:tcW w:w="1207" w:type="dxa"/>
            <w:tcBorders>
              <w:top w:val="single" w:sz="6" w:space="0" w:color="auto"/>
              <w:left w:val="single" w:sz="6" w:space="0" w:color="auto"/>
              <w:bottom w:val="single" w:sz="6" w:space="0" w:color="auto"/>
              <w:right w:val="single" w:sz="6" w:space="0" w:color="auto"/>
            </w:tcBorders>
          </w:tcPr>
          <w:p w14:paraId="6CFE9061" w14:textId="77777777" w:rsidR="00405183" w:rsidRPr="006C5859" w:rsidRDefault="00405183"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7CF5CA14" w14:textId="77777777" w:rsidR="00405183" w:rsidRPr="006C5859" w:rsidRDefault="00405183" w:rsidP="000A72C7">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Zündschutzarten</w:t>
            </w:r>
          </w:p>
          <w:p w14:paraId="7C565062" w14:textId="77777777" w:rsidR="00405183" w:rsidRPr="006C5859" w:rsidRDefault="00405183" w:rsidP="000A72C7">
            <w:pPr>
              <w:pStyle w:val="N3"/>
              <w:tabs>
                <w:tab w:val="clear" w:pos="170"/>
              </w:tabs>
              <w:spacing w:line="240" w:lineRule="atLeast"/>
              <w:rPr>
                <w:rFonts w:ascii="Times New Roman" w:hAnsi="Times New Roman"/>
                <w:sz w:val="20"/>
                <w:lang w:val="de-DE"/>
              </w:rPr>
            </w:pPr>
            <w:r w:rsidRPr="006C5859">
              <w:rPr>
                <w:rFonts w:ascii="Times New Roman" w:hAnsi="Times New Roman"/>
                <w:iCs/>
                <w:sz w:val="20"/>
                <w:lang w:val="de-DE"/>
              </w:rPr>
              <w:t>EEx p, EEx q, IEC Standard</w:t>
            </w:r>
          </w:p>
        </w:tc>
        <w:tc>
          <w:tcPr>
            <w:tcW w:w="5355" w:type="dxa"/>
            <w:tcBorders>
              <w:top w:val="single" w:sz="6" w:space="0" w:color="auto"/>
              <w:left w:val="single" w:sz="6" w:space="0" w:color="auto"/>
              <w:bottom w:val="single" w:sz="6" w:space="0" w:color="auto"/>
              <w:right w:val="single" w:sz="6" w:space="0" w:color="auto"/>
            </w:tcBorders>
          </w:tcPr>
          <w:p w14:paraId="15713CF8" w14:textId="71D22856" w:rsidR="00405183" w:rsidRPr="006C5859" w:rsidRDefault="00405183" w:rsidP="0075000E">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N.E.U. ab 1. Januar 2023</w:t>
            </w:r>
          </w:p>
        </w:tc>
      </w:tr>
    </w:tbl>
    <w:p w14:paraId="196413A2" w14:textId="16E6EE46" w:rsidR="00576571" w:rsidRPr="006C5859" w:rsidRDefault="00576571" w:rsidP="000A72C7">
      <w:pPr>
        <w:tabs>
          <w:tab w:val="left" w:pos="567"/>
        </w:tabs>
        <w:spacing w:line="240" w:lineRule="atLeast"/>
      </w:pPr>
    </w:p>
    <w:p w14:paraId="344FC255" w14:textId="77777777" w:rsidR="005528D8" w:rsidRPr="006C5859" w:rsidRDefault="005528D8" w:rsidP="000A72C7">
      <w:pPr>
        <w:tabs>
          <w:tab w:val="left" w:pos="567"/>
        </w:tabs>
        <w:spacing w:line="240" w:lineRule="atLeast"/>
      </w:pPr>
    </w:p>
    <w:p w14:paraId="3F17A0A8" w14:textId="4753B08D" w:rsidR="00A60B88" w:rsidRPr="00686519" w:rsidRDefault="00A60B88" w:rsidP="000A72C7">
      <w:pPr>
        <w:tabs>
          <w:tab w:val="left" w:pos="567"/>
        </w:tabs>
        <w:spacing w:line="240" w:lineRule="atLeast"/>
        <w:ind w:left="0" w:firstLine="0"/>
        <w:rPr>
          <w:b/>
          <w:bCs/>
        </w:rPr>
      </w:pPr>
      <w:r w:rsidRPr="00686519">
        <w:rPr>
          <w:b/>
          <w:bCs/>
        </w:rPr>
        <w:t>f)</w:t>
      </w:r>
      <w:r w:rsidRPr="00686519">
        <w:rPr>
          <w:b/>
          <w:bCs/>
        </w:rPr>
        <w:tab/>
        <w:t>In den Begriffsbestimmungen „Gerätekategorie“ (dreimal) und „Geräteschutzniveau“</w:t>
      </w:r>
    </w:p>
    <w:p w14:paraId="087B1C75" w14:textId="77777777" w:rsidR="00A60B88" w:rsidRPr="006C5859" w:rsidRDefault="00A60B88" w:rsidP="000A72C7">
      <w:pPr>
        <w:tabs>
          <w:tab w:val="left" w:pos="567"/>
        </w:tabs>
        <w:spacing w:line="240" w:lineRule="atLeast"/>
        <w:ind w:left="0" w:firstLine="0"/>
      </w:pPr>
    </w:p>
    <w:p w14:paraId="75FF7CA8" w14:textId="77777777" w:rsidR="00A60B88" w:rsidRPr="00686519" w:rsidRDefault="00A60B88" w:rsidP="00686519">
      <w:pPr>
        <w:tabs>
          <w:tab w:val="left" w:pos="567"/>
        </w:tabs>
        <w:spacing w:line="240" w:lineRule="atLeast"/>
        <w:ind w:left="567" w:firstLine="0"/>
        <w:rPr>
          <w:i/>
          <w:iCs/>
        </w:rPr>
      </w:pPr>
      <w:r w:rsidRPr="00686519">
        <w:rPr>
          <w:i/>
          <w:iCs/>
        </w:rPr>
        <w:t>das Zitat „IEC 60079-0“ durch „IEC 60079-0:2017+COR1:2020“ ersetzen.</w:t>
      </w:r>
    </w:p>
    <w:p w14:paraId="655E3629" w14:textId="72DEF49E" w:rsidR="00A60B88" w:rsidRPr="006C5859" w:rsidRDefault="00A60B88" w:rsidP="000A72C7">
      <w:pPr>
        <w:tabs>
          <w:tab w:val="left" w:pos="567"/>
        </w:tabs>
        <w:spacing w:line="240" w:lineRule="atLeast"/>
        <w:ind w:left="0" w:firstLine="0"/>
      </w:pPr>
    </w:p>
    <w:p w14:paraId="6E5B4503" w14:textId="77777777" w:rsidR="005528D8" w:rsidRPr="006C5859" w:rsidRDefault="005528D8" w:rsidP="000A72C7">
      <w:pPr>
        <w:tabs>
          <w:tab w:val="left" w:pos="567"/>
        </w:tabs>
        <w:spacing w:line="240" w:lineRule="atLeast"/>
        <w:ind w:left="0" w:firstLine="0"/>
      </w:pPr>
    </w:p>
    <w:p w14:paraId="6A50A9EB" w14:textId="1AD01C2D" w:rsidR="00A60B88" w:rsidRPr="00686519" w:rsidRDefault="00A60B88" w:rsidP="000A72C7">
      <w:pPr>
        <w:tabs>
          <w:tab w:val="left" w:pos="567"/>
        </w:tabs>
        <w:spacing w:line="240" w:lineRule="atLeast"/>
        <w:ind w:left="0" w:firstLine="0"/>
        <w:rPr>
          <w:b/>
          <w:bCs/>
        </w:rPr>
      </w:pPr>
      <w:r w:rsidRPr="00686519">
        <w:rPr>
          <w:b/>
          <w:bCs/>
        </w:rPr>
        <w:t>g)</w:t>
      </w:r>
      <w:r w:rsidRPr="00686519">
        <w:rPr>
          <w:b/>
          <w:bCs/>
        </w:rPr>
        <w:tab/>
        <w:t>In der Begriffsbestimmung „Strahlwassergeschützte elektrische Einrichtung“</w:t>
      </w:r>
    </w:p>
    <w:p w14:paraId="33939335" w14:textId="77777777" w:rsidR="00A60B88" w:rsidRPr="006C5859" w:rsidRDefault="00A60B88" w:rsidP="000A72C7">
      <w:pPr>
        <w:tabs>
          <w:tab w:val="left" w:pos="567"/>
        </w:tabs>
        <w:spacing w:line="240" w:lineRule="atLeast"/>
        <w:ind w:left="0" w:firstLine="0"/>
      </w:pPr>
    </w:p>
    <w:p w14:paraId="3F83353E" w14:textId="33E9BE2B" w:rsidR="00A60B88" w:rsidRPr="00686519" w:rsidRDefault="00A60B88" w:rsidP="00686519">
      <w:pPr>
        <w:tabs>
          <w:tab w:val="left" w:pos="567"/>
        </w:tabs>
        <w:spacing w:line="240" w:lineRule="atLeast"/>
        <w:ind w:left="567" w:firstLine="0"/>
        <w:rPr>
          <w:i/>
          <w:iCs/>
        </w:rPr>
      </w:pPr>
      <w:r w:rsidRPr="00686519">
        <w:rPr>
          <w:i/>
          <w:iCs/>
        </w:rPr>
        <w:t>das Zitat „IEC-Publikation 60529“ durch „IEC 60529:1989 + A1:1999 + A2:2013“ ersetzen.</w:t>
      </w:r>
    </w:p>
    <w:p w14:paraId="279E4EF6" w14:textId="77777777" w:rsidR="00A60B88" w:rsidRPr="006C5859" w:rsidRDefault="00A60B88" w:rsidP="000A72C7">
      <w:pPr>
        <w:tabs>
          <w:tab w:val="left" w:pos="567"/>
        </w:tabs>
        <w:spacing w:line="240" w:lineRule="atLeast"/>
        <w:ind w:left="0" w:firstLine="0"/>
      </w:pPr>
    </w:p>
    <w:p w14:paraId="7F47F91F" w14:textId="57BAFA60" w:rsidR="00A60B88" w:rsidRPr="00686519" w:rsidRDefault="00686519" w:rsidP="00686519">
      <w:pPr>
        <w:tabs>
          <w:tab w:val="left" w:pos="567"/>
          <w:tab w:val="left" w:pos="1134"/>
        </w:tabs>
        <w:spacing w:line="240" w:lineRule="atLeast"/>
        <w:ind w:left="567" w:firstLine="0"/>
      </w:pPr>
      <w:r>
        <w:t>42.</w:t>
      </w:r>
      <w:r>
        <w:tab/>
      </w:r>
      <w:r w:rsidR="00A60B88" w:rsidRPr="00686519">
        <w:t>Normtitel: „Explosionsgefährdete Bereiche – Teil 0: Betriebsmittel - Allgemeine Anforderungen“.</w:t>
      </w:r>
    </w:p>
    <w:p w14:paraId="072D1E97" w14:textId="12F7E362" w:rsidR="00A60B88" w:rsidRPr="00686519" w:rsidRDefault="00A60B88" w:rsidP="00686519">
      <w:pPr>
        <w:tabs>
          <w:tab w:val="left" w:pos="567"/>
          <w:tab w:val="left" w:pos="1134"/>
        </w:tabs>
        <w:spacing w:line="240" w:lineRule="atLeast"/>
        <w:ind w:left="567" w:firstLine="0"/>
      </w:pPr>
    </w:p>
    <w:p w14:paraId="4ADAE6E4" w14:textId="360182FC" w:rsidR="00284155" w:rsidRPr="00686519" w:rsidRDefault="00686519" w:rsidP="00686519">
      <w:pPr>
        <w:tabs>
          <w:tab w:val="left" w:pos="567"/>
          <w:tab w:val="left" w:pos="1134"/>
        </w:tabs>
        <w:spacing w:line="240" w:lineRule="atLeast"/>
        <w:ind w:left="567" w:firstLine="0"/>
      </w:pPr>
      <w:r>
        <w:t>43.</w:t>
      </w:r>
      <w:r>
        <w:tab/>
      </w:r>
      <w:r w:rsidR="00284155" w:rsidRPr="00686519">
        <w:t>Gegenüber der beim In-Kraft-Treten des ADN gültigen, vorhergehenden Ausgabe wurde lediglich ein Schutzgrad IPX9 (Prüfung der Beständigkeit von Gehäusen gegen Hochdruckreiniger) ergänzt, der für Zwecke des ADN nicht relevant ist. Sie bedeutet kein Mehr an technischer Sicherheit.</w:t>
      </w:r>
    </w:p>
    <w:p w14:paraId="0D5A0ADC" w14:textId="77777777" w:rsidR="00284155" w:rsidRPr="00686519" w:rsidRDefault="00284155" w:rsidP="00686519">
      <w:pPr>
        <w:tabs>
          <w:tab w:val="left" w:pos="567"/>
          <w:tab w:val="left" w:pos="1134"/>
        </w:tabs>
        <w:spacing w:line="240" w:lineRule="atLeast"/>
        <w:ind w:left="567" w:firstLine="0"/>
      </w:pPr>
    </w:p>
    <w:p w14:paraId="68FB31F0" w14:textId="1B642707" w:rsidR="00A60B88" w:rsidRPr="00686519" w:rsidRDefault="00686519" w:rsidP="00686519">
      <w:pPr>
        <w:tabs>
          <w:tab w:val="left" w:pos="567"/>
          <w:tab w:val="left" w:pos="1134"/>
        </w:tabs>
        <w:spacing w:line="240" w:lineRule="atLeast"/>
        <w:ind w:left="567" w:firstLine="0"/>
      </w:pPr>
      <w:r>
        <w:t>44.</w:t>
      </w:r>
      <w:r>
        <w:tab/>
      </w:r>
      <w:r w:rsidR="00A60B88" w:rsidRPr="00686519">
        <w:t>Ein dynamischer Verweis ist für die Rechtsanwender zu unbestimmt, weil er nicht erkennen kann, welche Ausgabe des Standards er zu beachten hat. Andererseits soll der Verordnungsgeber seine Regelungskompetenz in vollem Umfang in der Hand behalten und diese nicht an privatrechtliche Normungsgremien abgeben. Er soll selbst (nach sicherheitstechnischer Bewertung) entscheiden, welchen konkreten Norminhalt er im ADN für alle Rechtsanwender verbindlich machen will.</w:t>
      </w:r>
    </w:p>
    <w:p w14:paraId="07B7AF0A" w14:textId="3E73686B" w:rsidR="00A60B88" w:rsidRPr="00686519" w:rsidRDefault="00A60B88" w:rsidP="00686519">
      <w:pPr>
        <w:tabs>
          <w:tab w:val="left" w:pos="567"/>
          <w:tab w:val="left" w:pos="1134"/>
        </w:tabs>
        <w:spacing w:line="240" w:lineRule="atLeast"/>
        <w:ind w:left="567" w:firstLine="0"/>
      </w:pPr>
    </w:p>
    <w:p w14:paraId="6B70885C" w14:textId="22C94AE2" w:rsidR="00284155" w:rsidRPr="00686519" w:rsidRDefault="00686519" w:rsidP="00686519">
      <w:pPr>
        <w:tabs>
          <w:tab w:val="left" w:pos="567"/>
          <w:tab w:val="left" w:pos="1134"/>
        </w:tabs>
        <w:spacing w:line="240" w:lineRule="atLeast"/>
        <w:ind w:left="567" w:firstLine="0"/>
      </w:pPr>
      <w:r>
        <w:t>45.</w:t>
      </w:r>
      <w:r>
        <w:tab/>
      </w:r>
      <w:r w:rsidR="00284155" w:rsidRPr="00686519">
        <w:t xml:space="preserve">Die folgende Übergangsvorschriften in 1.6.7.2.2.2 Tabelle der allgemeinen Übergangsvorschriften: </w:t>
      </w:r>
    </w:p>
    <w:p w14:paraId="572C2EED" w14:textId="77777777" w:rsidR="00284155" w:rsidRPr="00686519" w:rsidRDefault="00284155" w:rsidP="00686519">
      <w:pPr>
        <w:tabs>
          <w:tab w:val="left" w:pos="567"/>
          <w:tab w:val="left" w:pos="1134"/>
        </w:tabs>
        <w:spacing w:line="240" w:lineRule="atLeast"/>
        <w:ind w:left="567" w:firstLine="0"/>
      </w:pPr>
      <w:r w:rsidRPr="00686519">
        <w:t>Tankschiffe ADN einfügen:</w:t>
      </w:r>
    </w:p>
    <w:p w14:paraId="55111D87" w14:textId="77777777" w:rsidR="00284155" w:rsidRPr="00686519" w:rsidRDefault="00284155" w:rsidP="00686519">
      <w:pPr>
        <w:tabs>
          <w:tab w:val="left" w:pos="567"/>
          <w:tab w:val="left" w:pos="1134"/>
        </w:tabs>
        <w:spacing w:line="240" w:lineRule="atLeast"/>
        <w:ind w:left="567" w:firstLine="0"/>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284155" w:rsidRPr="006C5859" w14:paraId="00C10E75" w14:textId="77777777" w:rsidTr="006C4C72">
        <w:trPr>
          <w:cantSplit/>
        </w:trPr>
        <w:tc>
          <w:tcPr>
            <w:tcW w:w="1207" w:type="dxa"/>
            <w:tcBorders>
              <w:top w:val="single" w:sz="6" w:space="0" w:color="auto"/>
              <w:left w:val="single" w:sz="6" w:space="0" w:color="auto"/>
              <w:bottom w:val="single" w:sz="6" w:space="0" w:color="auto"/>
              <w:right w:val="single" w:sz="6" w:space="0" w:color="auto"/>
            </w:tcBorders>
          </w:tcPr>
          <w:p w14:paraId="0CA69F4F" w14:textId="77777777" w:rsidR="00284155" w:rsidRPr="006C5859" w:rsidRDefault="00284155" w:rsidP="000A72C7">
            <w:pPr>
              <w:pStyle w:val="N3"/>
              <w:tabs>
                <w:tab w:val="clear" w:pos="170"/>
              </w:tabs>
              <w:spacing w:line="240" w:lineRule="atLeast"/>
              <w:rPr>
                <w:rFonts w:ascii="Times New Roman" w:hAnsi="Times New Roman"/>
                <w:sz w:val="20"/>
              </w:rPr>
            </w:pPr>
            <w:r w:rsidRPr="006C5859">
              <w:rPr>
                <w:rFonts w:ascii="Times New Roman" w:hAnsi="Times New Roman"/>
                <w:sz w:val="20"/>
              </w:rPr>
              <w:t>1.2.1</w:t>
            </w:r>
          </w:p>
        </w:tc>
        <w:tc>
          <w:tcPr>
            <w:tcW w:w="2552" w:type="dxa"/>
            <w:tcBorders>
              <w:top w:val="single" w:sz="6" w:space="0" w:color="auto"/>
              <w:left w:val="single" w:sz="6" w:space="0" w:color="auto"/>
              <w:bottom w:val="single" w:sz="6" w:space="0" w:color="auto"/>
              <w:right w:val="single" w:sz="6" w:space="0" w:color="auto"/>
            </w:tcBorders>
          </w:tcPr>
          <w:p w14:paraId="6F3A5650" w14:textId="1D58683C" w:rsidR="00284155" w:rsidRPr="006C5859" w:rsidRDefault="00284155" w:rsidP="000A72C7">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Strahlwassergeschützte elektrische Einrichtung</w:t>
            </w:r>
          </w:p>
          <w:p w14:paraId="2C0E393E" w14:textId="419F353A" w:rsidR="00284155" w:rsidRPr="006C5859" w:rsidRDefault="00284155" w:rsidP="000A72C7">
            <w:pPr>
              <w:pStyle w:val="N3"/>
              <w:tabs>
                <w:tab w:val="clear" w:pos="170"/>
              </w:tabs>
              <w:spacing w:line="240" w:lineRule="atLeast"/>
              <w:ind w:left="0" w:firstLine="0"/>
              <w:rPr>
                <w:rFonts w:ascii="Times New Roman" w:hAnsi="Times New Roman"/>
                <w:sz w:val="20"/>
                <w:lang w:val="de-DE"/>
              </w:rPr>
            </w:pPr>
            <w:r w:rsidRPr="006C5859">
              <w:rPr>
                <w:rFonts w:ascii="Times New Roman" w:hAnsi="Times New Roman"/>
                <w:sz w:val="20"/>
                <w:lang w:val="de-DE"/>
              </w:rPr>
              <w:t>IEC 60529:1989 + A1:1999 + A2:2013</w:t>
            </w:r>
          </w:p>
        </w:tc>
        <w:tc>
          <w:tcPr>
            <w:tcW w:w="5355" w:type="dxa"/>
            <w:tcBorders>
              <w:top w:val="single" w:sz="6" w:space="0" w:color="auto"/>
              <w:left w:val="single" w:sz="6" w:space="0" w:color="auto"/>
              <w:bottom w:val="single" w:sz="6" w:space="0" w:color="auto"/>
              <w:right w:val="single" w:sz="6" w:space="0" w:color="auto"/>
            </w:tcBorders>
          </w:tcPr>
          <w:p w14:paraId="59111E37" w14:textId="1E89B149" w:rsidR="00284155" w:rsidRPr="006C5859" w:rsidRDefault="00284155" w:rsidP="001912AF">
            <w:pPr>
              <w:pStyle w:val="N3"/>
              <w:tabs>
                <w:tab w:val="clear" w:pos="170"/>
              </w:tabs>
              <w:spacing w:line="240" w:lineRule="atLeast"/>
              <w:rPr>
                <w:rFonts w:ascii="Times New Roman" w:hAnsi="Times New Roman"/>
                <w:sz w:val="20"/>
                <w:lang w:val="de-DE"/>
              </w:rPr>
            </w:pPr>
            <w:r w:rsidRPr="006C5859">
              <w:rPr>
                <w:rFonts w:ascii="Times New Roman" w:hAnsi="Times New Roman"/>
                <w:sz w:val="20"/>
                <w:lang w:val="de-DE"/>
              </w:rPr>
              <w:t>N.E.U. ab 1. Januar 2023</w:t>
            </w:r>
          </w:p>
        </w:tc>
      </w:tr>
    </w:tbl>
    <w:p w14:paraId="149A4627" w14:textId="685E2DF2" w:rsidR="00E70612" w:rsidRDefault="00E70612" w:rsidP="000A72C7">
      <w:pPr>
        <w:tabs>
          <w:tab w:val="left" w:pos="567"/>
        </w:tabs>
        <w:spacing w:line="240" w:lineRule="atLeast"/>
        <w:ind w:left="0" w:firstLine="0"/>
      </w:pPr>
    </w:p>
    <w:p w14:paraId="00159807" w14:textId="77777777" w:rsidR="000116F6" w:rsidRPr="006C5859" w:rsidRDefault="000116F6" w:rsidP="000A72C7">
      <w:pPr>
        <w:tabs>
          <w:tab w:val="left" w:pos="567"/>
        </w:tabs>
        <w:spacing w:line="240" w:lineRule="atLeast"/>
        <w:ind w:left="0" w:firstLine="0"/>
      </w:pPr>
    </w:p>
    <w:p w14:paraId="4420EE3D" w14:textId="0A235FB1" w:rsidR="00A60B88" w:rsidRPr="00132B64" w:rsidRDefault="005528D8" w:rsidP="000A72C7">
      <w:pPr>
        <w:tabs>
          <w:tab w:val="left" w:pos="567"/>
        </w:tabs>
        <w:spacing w:line="240" w:lineRule="atLeast"/>
        <w:ind w:left="0" w:firstLine="0"/>
        <w:rPr>
          <w:b/>
          <w:bCs/>
        </w:rPr>
      </w:pPr>
      <w:r w:rsidRPr="00132B64">
        <w:rPr>
          <w:b/>
          <w:bCs/>
        </w:rPr>
        <w:t>h</w:t>
      </w:r>
      <w:r w:rsidR="00A60B88" w:rsidRPr="00132B64">
        <w:rPr>
          <w:b/>
          <w:bCs/>
        </w:rPr>
        <w:t>)</w:t>
      </w:r>
      <w:r w:rsidR="00A60B88" w:rsidRPr="00132B64">
        <w:rPr>
          <w:b/>
          <w:bCs/>
        </w:rPr>
        <w:tab/>
        <w:t>In der Begriffsbestimmung „Explosionsgruppe“</w:t>
      </w:r>
    </w:p>
    <w:p w14:paraId="3E607D24" w14:textId="77777777" w:rsidR="00A60B88" w:rsidRPr="006C5859" w:rsidRDefault="00A60B88" w:rsidP="000A72C7">
      <w:pPr>
        <w:tabs>
          <w:tab w:val="left" w:pos="567"/>
        </w:tabs>
        <w:spacing w:line="240" w:lineRule="atLeast"/>
        <w:ind w:left="0" w:firstLine="0"/>
      </w:pPr>
    </w:p>
    <w:p w14:paraId="16ADA5E6" w14:textId="41743C98" w:rsidR="00A60B88" w:rsidRPr="00132B64" w:rsidRDefault="00A60B88" w:rsidP="00132B64">
      <w:pPr>
        <w:tabs>
          <w:tab w:val="left" w:pos="567"/>
          <w:tab w:val="left" w:pos="1134"/>
        </w:tabs>
        <w:spacing w:line="240" w:lineRule="atLeast"/>
        <w:ind w:left="567" w:firstLine="0"/>
        <w:rPr>
          <w:i/>
          <w:iCs/>
        </w:rPr>
      </w:pPr>
      <w:r w:rsidRPr="00132B64">
        <w:rPr>
          <w:i/>
          <w:iCs/>
        </w:rPr>
        <w:t>das Zitat „IEC 60079-0:2012“ durch „IEC 60079-0:2017+COR1:2020“ ersetzen.</w:t>
      </w:r>
    </w:p>
    <w:p w14:paraId="1EC21789" w14:textId="77777777" w:rsidR="00A60B88" w:rsidRPr="006C5859" w:rsidRDefault="00A60B88" w:rsidP="00132B64">
      <w:pPr>
        <w:tabs>
          <w:tab w:val="left" w:pos="567"/>
          <w:tab w:val="left" w:pos="1134"/>
        </w:tabs>
        <w:spacing w:line="240" w:lineRule="atLeast"/>
        <w:ind w:left="567" w:firstLine="0"/>
      </w:pPr>
    </w:p>
    <w:p w14:paraId="170DB857" w14:textId="2B145ED9" w:rsidR="00A60B88" w:rsidRPr="006C5859" w:rsidRDefault="00132B64" w:rsidP="00132B64">
      <w:pPr>
        <w:tabs>
          <w:tab w:val="left" w:pos="567"/>
          <w:tab w:val="left" w:pos="1134"/>
        </w:tabs>
        <w:spacing w:line="240" w:lineRule="atLeast"/>
        <w:ind w:left="567" w:firstLine="0"/>
      </w:pPr>
      <w:r>
        <w:t>46.</w:t>
      </w:r>
      <w:r>
        <w:tab/>
      </w:r>
      <w:r w:rsidR="00A60B88" w:rsidRPr="006C5859">
        <w:t>Normtitel: „Explosionsgefährdete Bereiche – Teil 0: Betriebsmittel - Allgemeine Anforderungen“.</w:t>
      </w:r>
    </w:p>
    <w:p w14:paraId="0465A5B8" w14:textId="77777777" w:rsidR="00A60B88" w:rsidRPr="006C5859" w:rsidRDefault="00A60B88" w:rsidP="00132B64">
      <w:pPr>
        <w:tabs>
          <w:tab w:val="left" w:pos="567"/>
          <w:tab w:val="left" w:pos="1134"/>
        </w:tabs>
        <w:spacing w:line="240" w:lineRule="atLeast"/>
        <w:ind w:left="567" w:firstLine="0"/>
      </w:pPr>
    </w:p>
    <w:p w14:paraId="0D61EF18" w14:textId="45411B99" w:rsidR="00A60B88" w:rsidRDefault="00132B64" w:rsidP="00132B64">
      <w:pPr>
        <w:tabs>
          <w:tab w:val="left" w:pos="567"/>
          <w:tab w:val="left" w:pos="1134"/>
        </w:tabs>
        <w:spacing w:line="240" w:lineRule="atLeast"/>
        <w:ind w:left="567" w:firstLine="0"/>
      </w:pPr>
      <w:r>
        <w:t>47.</w:t>
      </w:r>
      <w:r>
        <w:tab/>
      </w:r>
      <w:r w:rsidR="00A60B88" w:rsidRPr="006C5859">
        <w:t>Der zitierte Standard ist veraltet. Es wurden umfangreiche inhaltliche Änderungen vorgenommen</w:t>
      </w:r>
      <w:r w:rsidR="00957E31" w:rsidRPr="006C5859">
        <w:t xml:space="preserve">. </w:t>
      </w:r>
    </w:p>
    <w:p w14:paraId="6DCC8915" w14:textId="5AB3D5ED" w:rsidR="00132B64" w:rsidRDefault="00132B64" w:rsidP="00132B64">
      <w:pPr>
        <w:tabs>
          <w:tab w:val="left" w:pos="567"/>
          <w:tab w:val="left" w:pos="1134"/>
        </w:tabs>
        <w:spacing w:line="240" w:lineRule="atLeast"/>
        <w:ind w:left="567" w:firstLine="0"/>
      </w:pPr>
    </w:p>
    <w:p w14:paraId="6079EEDD" w14:textId="77777777" w:rsidR="000116F6" w:rsidRDefault="000116F6">
      <w:pPr>
        <w:widowControl/>
        <w:overflowPunct/>
        <w:autoSpaceDE/>
        <w:autoSpaceDN/>
        <w:adjustRightInd/>
        <w:ind w:left="0" w:firstLine="0"/>
        <w:jc w:val="left"/>
        <w:textAlignment w:val="auto"/>
      </w:pPr>
      <w:r>
        <w:br w:type="page"/>
      </w:r>
    </w:p>
    <w:p w14:paraId="011E1A07" w14:textId="5775E25D" w:rsidR="00A60B88" w:rsidRPr="006C5859" w:rsidRDefault="00132B64" w:rsidP="00132B64">
      <w:pPr>
        <w:tabs>
          <w:tab w:val="left" w:pos="567"/>
          <w:tab w:val="left" w:pos="1134"/>
        </w:tabs>
        <w:spacing w:line="240" w:lineRule="atLeast"/>
        <w:ind w:left="567" w:firstLine="0"/>
      </w:pPr>
      <w:r>
        <w:lastRenderedPageBreak/>
        <w:t>48.</w:t>
      </w:r>
      <w:r>
        <w:tab/>
      </w:r>
      <w:r w:rsidR="00A60B88" w:rsidRPr="006C5859">
        <w:t>Betriebsmittel für Neubauten und als Ersatz auf bestehendem Schiffen können nicht mehr nach dem alten Standard beschafft werden. Es ist kein Grund bekannt, warum die aktuelle Ausgabe nicht für das ADN geeignet sein könnte.</w:t>
      </w:r>
    </w:p>
    <w:p w14:paraId="7AD93BC2" w14:textId="77777777" w:rsidR="00A60B88" w:rsidRPr="006C5859" w:rsidRDefault="00A60B88" w:rsidP="00132B64">
      <w:pPr>
        <w:tabs>
          <w:tab w:val="left" w:pos="567"/>
          <w:tab w:val="left" w:pos="1134"/>
        </w:tabs>
        <w:spacing w:line="240" w:lineRule="atLeast"/>
        <w:ind w:left="567" w:firstLine="0"/>
      </w:pPr>
    </w:p>
    <w:p w14:paraId="3A3AE120" w14:textId="50D8CA7C" w:rsidR="00957E31" w:rsidRPr="00132B64" w:rsidRDefault="00132B64" w:rsidP="00132B64">
      <w:pPr>
        <w:tabs>
          <w:tab w:val="left" w:pos="567"/>
          <w:tab w:val="left" w:pos="1134"/>
        </w:tabs>
        <w:spacing w:line="240" w:lineRule="atLeast"/>
        <w:ind w:left="567" w:firstLine="0"/>
      </w:pPr>
      <w:r>
        <w:t>49.</w:t>
      </w:r>
      <w:r>
        <w:tab/>
      </w:r>
      <w:r w:rsidR="00957E31" w:rsidRPr="00132B64">
        <w:t>In Absatz 1.6.7.2.2.2 Allgemeine Übergangsvorschriften: Tankschiffe die folgende neue Übergangsvorschrift einfügen:</w:t>
      </w:r>
    </w:p>
    <w:p w14:paraId="7FDB5952" w14:textId="77777777" w:rsidR="00957E31" w:rsidRPr="006C5859" w:rsidRDefault="00957E31" w:rsidP="000A72C7">
      <w:pPr>
        <w:tabs>
          <w:tab w:val="left" w:pos="567"/>
        </w:tabs>
        <w:spacing w:line="240" w:lineRule="atLeast"/>
        <w:ind w:left="0" w:firstLine="0"/>
        <w:rPr>
          <w:highlight w:val="yellow"/>
        </w:rPr>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957E31" w:rsidRPr="006C5859" w14:paraId="18BC96CF" w14:textId="77777777" w:rsidTr="006C4C72">
        <w:trPr>
          <w:cantSplit/>
        </w:trPr>
        <w:tc>
          <w:tcPr>
            <w:tcW w:w="1207" w:type="dxa"/>
            <w:tcBorders>
              <w:top w:val="single" w:sz="6" w:space="0" w:color="auto"/>
              <w:left w:val="single" w:sz="6" w:space="0" w:color="auto"/>
              <w:bottom w:val="single" w:sz="6" w:space="0" w:color="auto"/>
              <w:right w:val="single" w:sz="6" w:space="0" w:color="auto"/>
            </w:tcBorders>
          </w:tcPr>
          <w:p w14:paraId="1CFE90AF" w14:textId="7E9957E2" w:rsidR="00957E31" w:rsidRPr="006C5859" w:rsidRDefault="00957E31" w:rsidP="000A72C7">
            <w:pPr>
              <w:pStyle w:val="N3"/>
              <w:tabs>
                <w:tab w:val="clear" w:pos="170"/>
              </w:tabs>
              <w:spacing w:before="60" w:after="60" w:line="240" w:lineRule="atLeast"/>
              <w:rPr>
                <w:rFonts w:ascii="Times New Roman" w:hAnsi="Times New Roman"/>
                <w:sz w:val="20"/>
                <w:lang w:val="de-DE"/>
              </w:rPr>
            </w:pPr>
            <w:r w:rsidRPr="006C5859">
              <w:rPr>
                <w:rFonts w:ascii="Times New Roman" w:hAnsi="Times New Roman"/>
                <w:sz w:val="20"/>
                <w:lang w:val="de-DE"/>
              </w:rPr>
              <w:t>1.2.1</w:t>
            </w:r>
          </w:p>
        </w:tc>
        <w:tc>
          <w:tcPr>
            <w:tcW w:w="2552" w:type="dxa"/>
            <w:tcBorders>
              <w:top w:val="single" w:sz="6" w:space="0" w:color="auto"/>
              <w:left w:val="single" w:sz="6" w:space="0" w:color="auto"/>
              <w:bottom w:val="single" w:sz="6" w:space="0" w:color="auto"/>
              <w:right w:val="single" w:sz="6" w:space="0" w:color="auto"/>
            </w:tcBorders>
          </w:tcPr>
          <w:p w14:paraId="3B1831EA" w14:textId="77777777" w:rsidR="00957E31" w:rsidRPr="006C5859" w:rsidRDefault="00957E31" w:rsidP="000A72C7">
            <w:pPr>
              <w:tabs>
                <w:tab w:val="left" w:pos="567"/>
              </w:tabs>
              <w:spacing w:line="240" w:lineRule="atLeast"/>
              <w:ind w:left="0" w:firstLine="0"/>
            </w:pPr>
            <w:r w:rsidRPr="006C5859">
              <w:t xml:space="preserve">Explosionsgruppe </w:t>
            </w:r>
          </w:p>
          <w:p w14:paraId="5E3A1E1A" w14:textId="77777777" w:rsidR="00957E31" w:rsidRPr="006C5859" w:rsidRDefault="00957E31" w:rsidP="000A72C7">
            <w:pPr>
              <w:tabs>
                <w:tab w:val="left" w:pos="567"/>
              </w:tabs>
              <w:spacing w:line="240" w:lineRule="atLeast"/>
              <w:ind w:left="0" w:firstLine="0"/>
            </w:pPr>
            <w:r w:rsidRPr="006C5859">
              <w:t>IEC 60079-0:2017+</w:t>
            </w:r>
          </w:p>
          <w:p w14:paraId="6D0140A5" w14:textId="609F66DD" w:rsidR="00957E31" w:rsidRPr="006C5859" w:rsidRDefault="00957E31" w:rsidP="002E476F">
            <w:pPr>
              <w:tabs>
                <w:tab w:val="left" w:pos="567"/>
              </w:tabs>
              <w:spacing w:line="240" w:lineRule="atLeast"/>
              <w:ind w:left="-741" w:firstLine="0"/>
            </w:pPr>
            <w:r w:rsidRPr="006C5859">
              <w:t>COR1:2020</w:t>
            </w:r>
          </w:p>
        </w:tc>
        <w:tc>
          <w:tcPr>
            <w:tcW w:w="5355" w:type="dxa"/>
            <w:tcBorders>
              <w:top w:val="single" w:sz="6" w:space="0" w:color="auto"/>
              <w:left w:val="single" w:sz="6" w:space="0" w:color="auto"/>
              <w:bottom w:val="single" w:sz="6" w:space="0" w:color="auto"/>
              <w:right w:val="single" w:sz="6" w:space="0" w:color="auto"/>
            </w:tcBorders>
          </w:tcPr>
          <w:p w14:paraId="6419E72F" w14:textId="77777777" w:rsidR="00957E31" w:rsidRPr="006C5859" w:rsidRDefault="00957E31" w:rsidP="001778DD">
            <w:pPr>
              <w:pStyle w:val="N3"/>
              <w:spacing w:before="60" w:after="60" w:line="240" w:lineRule="atLeast"/>
              <w:ind w:left="0" w:firstLine="0"/>
              <w:rPr>
                <w:rFonts w:ascii="Times New Roman" w:hAnsi="Times New Roman"/>
                <w:sz w:val="20"/>
                <w:lang w:val="de-DE"/>
              </w:rPr>
            </w:pPr>
            <w:r w:rsidRPr="006C5859">
              <w:rPr>
                <w:rFonts w:ascii="Times New Roman" w:hAnsi="Times New Roman"/>
                <w:sz w:val="20"/>
                <w:lang w:val="de-DE"/>
              </w:rPr>
              <w:t>N.E.U. ab 1. Januar 2023</w:t>
            </w:r>
          </w:p>
          <w:p w14:paraId="7AF15E53" w14:textId="118866D3" w:rsidR="00957E31" w:rsidRPr="006C5859" w:rsidRDefault="00957E31" w:rsidP="001778DD">
            <w:pPr>
              <w:pStyle w:val="N3"/>
              <w:tabs>
                <w:tab w:val="clear" w:pos="170"/>
              </w:tabs>
              <w:spacing w:before="60" w:after="60"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 nach dem 31.</w:t>
            </w:r>
            <w:r w:rsidR="001912AF" w:rsidRPr="006C5859">
              <w:rPr>
                <w:rFonts w:ascii="Times New Roman" w:hAnsi="Times New Roman"/>
                <w:sz w:val="20"/>
                <w:lang w:val="de-DE"/>
              </w:rPr>
              <w:t xml:space="preserve"> </w:t>
            </w:r>
            <w:r w:rsidR="001912AF" w:rsidRPr="006C5859">
              <w:rPr>
                <w:rFonts w:ascii="Times New Roman" w:hAnsi="Times New Roman"/>
                <w:sz w:val="20"/>
                <w:lang w:val="de-DE"/>
              </w:rPr>
              <w:t> </w:t>
            </w:r>
            <w:r w:rsidRPr="006C5859">
              <w:rPr>
                <w:rFonts w:ascii="Times New Roman" w:hAnsi="Times New Roman"/>
                <w:sz w:val="20"/>
                <w:lang w:val="de-DE"/>
              </w:rPr>
              <w:t>Dezember</w:t>
            </w:r>
            <w:r w:rsidR="001912AF" w:rsidRPr="006C5859">
              <w:rPr>
                <w:rFonts w:ascii="Times New Roman" w:hAnsi="Times New Roman"/>
                <w:sz w:val="20"/>
                <w:lang w:val="de-DE"/>
              </w:rPr>
              <w:t> </w:t>
            </w:r>
            <w:r w:rsidRPr="006C5859">
              <w:rPr>
                <w:rFonts w:ascii="Times New Roman" w:hAnsi="Times New Roman"/>
                <w:sz w:val="20"/>
                <w:lang w:val="de-DE"/>
              </w:rPr>
              <w:t>202</w:t>
            </w:r>
            <w:r w:rsidR="00C50FF5" w:rsidRPr="006C5859">
              <w:rPr>
                <w:rFonts w:ascii="Times New Roman" w:hAnsi="Times New Roman"/>
                <w:sz w:val="20"/>
                <w:lang w:val="de-DE"/>
              </w:rPr>
              <w:t>6</w:t>
            </w:r>
          </w:p>
        </w:tc>
      </w:tr>
    </w:tbl>
    <w:p w14:paraId="15F23208" w14:textId="77777777" w:rsidR="00957E31" w:rsidRPr="006C5859" w:rsidRDefault="00957E31" w:rsidP="000A72C7">
      <w:pPr>
        <w:tabs>
          <w:tab w:val="left" w:pos="567"/>
        </w:tabs>
        <w:spacing w:line="240" w:lineRule="atLeast"/>
      </w:pPr>
    </w:p>
    <w:p w14:paraId="0776248B" w14:textId="284DFABA" w:rsidR="00957E31" w:rsidRPr="006C5859" w:rsidRDefault="00132B64" w:rsidP="00132B64">
      <w:pPr>
        <w:tabs>
          <w:tab w:val="left" w:pos="567"/>
        </w:tabs>
        <w:spacing w:line="240" w:lineRule="atLeast"/>
        <w:ind w:left="567" w:firstLine="0"/>
      </w:pPr>
      <w:r>
        <w:t>50.</w:t>
      </w:r>
      <w:r>
        <w:tab/>
      </w:r>
      <w:r w:rsidR="00957E31" w:rsidRPr="006C5859">
        <w:t xml:space="preserve">Die Änderung der Norm enthält sicherheitstechnisch relevante Gegenstände. Deswegen ist Austausch der Betriebsmittel erforderlich, um das bestmögliche Sicherheitsniveau zu erhalten. Ein Übergangszeitraum von 3 bis 8 Jahren, nachdem die Änderung beschlossen </w:t>
      </w:r>
      <w:proofErr w:type="gramStart"/>
      <w:r w:rsidR="00957E31" w:rsidRPr="006C5859">
        <w:t>wird</w:t>
      </w:r>
      <w:proofErr w:type="gramEnd"/>
      <w:r w:rsidR="00957E31" w:rsidRPr="006C5859">
        <w:t xml:space="preserve"> ist ausreichend um den erforderlichen Austausch zu organisieren.</w:t>
      </w:r>
    </w:p>
    <w:p w14:paraId="3ADA25F1" w14:textId="76A1A1E9" w:rsidR="00405183" w:rsidRPr="006C5859" w:rsidRDefault="00405183" w:rsidP="000A72C7">
      <w:pPr>
        <w:tabs>
          <w:tab w:val="left" w:pos="567"/>
        </w:tabs>
        <w:spacing w:line="240" w:lineRule="atLeast"/>
        <w:ind w:left="0" w:firstLine="0"/>
      </w:pPr>
    </w:p>
    <w:p w14:paraId="31CD5903" w14:textId="77777777" w:rsidR="00957E31" w:rsidRPr="006C5859" w:rsidRDefault="00957E31" w:rsidP="000A72C7">
      <w:pPr>
        <w:tabs>
          <w:tab w:val="left" w:pos="567"/>
        </w:tabs>
        <w:spacing w:line="240" w:lineRule="atLeast"/>
        <w:ind w:left="0" w:firstLine="0"/>
      </w:pPr>
    </w:p>
    <w:p w14:paraId="23C7B14D" w14:textId="2802F48B" w:rsidR="00A60B88" w:rsidRPr="00132B64" w:rsidRDefault="005528D8" w:rsidP="000A72C7">
      <w:pPr>
        <w:tabs>
          <w:tab w:val="left" w:pos="567"/>
        </w:tabs>
        <w:spacing w:line="240" w:lineRule="atLeast"/>
        <w:ind w:left="0" w:firstLine="0"/>
        <w:rPr>
          <w:b/>
          <w:bCs/>
        </w:rPr>
      </w:pPr>
      <w:r w:rsidRPr="00132B64">
        <w:rPr>
          <w:b/>
          <w:bCs/>
        </w:rPr>
        <w:t>i</w:t>
      </w:r>
      <w:r w:rsidR="00A60B88" w:rsidRPr="00132B64">
        <w:rPr>
          <w:b/>
          <w:bCs/>
        </w:rPr>
        <w:t>)</w:t>
      </w:r>
      <w:r w:rsidR="00A60B88" w:rsidRPr="00132B64">
        <w:rPr>
          <w:b/>
          <w:bCs/>
        </w:rPr>
        <w:tab/>
        <w:t>In der Begriffsbestimmung „Zündschutzarten“, Abschnitt „elektrische Geräte“</w:t>
      </w:r>
    </w:p>
    <w:p w14:paraId="3EE99A7C" w14:textId="77777777" w:rsidR="00A60B88" w:rsidRPr="006C5859" w:rsidRDefault="00A60B88" w:rsidP="000A72C7">
      <w:pPr>
        <w:tabs>
          <w:tab w:val="left" w:pos="567"/>
        </w:tabs>
        <w:spacing w:line="240" w:lineRule="atLeast"/>
        <w:ind w:left="0" w:firstLine="0"/>
      </w:pPr>
    </w:p>
    <w:p w14:paraId="477AD33D" w14:textId="171808DB" w:rsidR="00A60B88" w:rsidRPr="002E476F" w:rsidRDefault="00A60B88" w:rsidP="002E476F">
      <w:pPr>
        <w:tabs>
          <w:tab w:val="left" w:pos="567"/>
        </w:tabs>
        <w:spacing w:line="240" w:lineRule="atLeast"/>
        <w:ind w:left="567" w:firstLine="0"/>
        <w:rPr>
          <w:i/>
          <w:iCs/>
        </w:rPr>
      </w:pPr>
      <w:r w:rsidRPr="002E476F">
        <w:rPr>
          <w:i/>
          <w:iCs/>
        </w:rPr>
        <w:t>bei „elektrische Geräte“ das Zitat „IEC 60079-0:2014“ durch „IEC 60079-0:2017+COR1:2020“ ersetzen.</w:t>
      </w:r>
    </w:p>
    <w:p w14:paraId="4E06A48D" w14:textId="77777777" w:rsidR="00A60B88" w:rsidRPr="006C5859" w:rsidRDefault="00A60B88" w:rsidP="000A72C7">
      <w:pPr>
        <w:tabs>
          <w:tab w:val="left" w:pos="567"/>
        </w:tabs>
        <w:spacing w:line="240" w:lineRule="atLeast"/>
      </w:pPr>
    </w:p>
    <w:p w14:paraId="6FE38372" w14:textId="44DDF0BC" w:rsidR="00A60B88" w:rsidRPr="006C5859" w:rsidRDefault="00132B64" w:rsidP="00487C2C">
      <w:pPr>
        <w:tabs>
          <w:tab w:val="left" w:pos="567"/>
          <w:tab w:val="left" w:pos="1134"/>
        </w:tabs>
        <w:spacing w:line="240" w:lineRule="atLeast"/>
        <w:ind w:left="567" w:firstLine="0"/>
      </w:pPr>
      <w:r>
        <w:t>51.</w:t>
      </w:r>
      <w:r>
        <w:tab/>
      </w:r>
      <w:r w:rsidR="00A60B88" w:rsidRPr="006C5859">
        <w:t>Titel des Standards: „Explosionsgefährdete Bereiche – Teil 0: Betriebsmittel - Allgemeine Anforderungen“.</w:t>
      </w:r>
    </w:p>
    <w:p w14:paraId="06369E89" w14:textId="77777777" w:rsidR="00A60B88" w:rsidRPr="006C5859" w:rsidRDefault="00A60B88" w:rsidP="00487C2C">
      <w:pPr>
        <w:tabs>
          <w:tab w:val="left" w:pos="567"/>
          <w:tab w:val="left" w:pos="1134"/>
        </w:tabs>
        <w:spacing w:line="240" w:lineRule="atLeast"/>
        <w:ind w:left="567" w:firstLine="0"/>
      </w:pPr>
    </w:p>
    <w:p w14:paraId="786C9375" w14:textId="544D5492" w:rsidR="00A60B88" w:rsidRPr="006C5859" w:rsidRDefault="00132B64" w:rsidP="00487C2C">
      <w:pPr>
        <w:tabs>
          <w:tab w:val="left" w:pos="567"/>
          <w:tab w:val="left" w:pos="1134"/>
        </w:tabs>
        <w:spacing w:line="240" w:lineRule="atLeast"/>
        <w:ind w:left="567" w:firstLine="0"/>
      </w:pPr>
      <w:r>
        <w:t>52.</w:t>
      </w:r>
      <w:r>
        <w:tab/>
      </w:r>
      <w:r w:rsidR="00A60B88" w:rsidRPr="006C5859">
        <w:t>Der zitierte Standard ist veraltet. Es wurden umfangreiche inhaltliche Änderungen vorgenommen.</w:t>
      </w:r>
    </w:p>
    <w:p w14:paraId="7861D75A" w14:textId="77777777" w:rsidR="00A60B88" w:rsidRPr="006C5859" w:rsidRDefault="00A60B88" w:rsidP="00487C2C">
      <w:pPr>
        <w:tabs>
          <w:tab w:val="left" w:pos="567"/>
          <w:tab w:val="left" w:pos="1134"/>
        </w:tabs>
        <w:spacing w:line="240" w:lineRule="atLeast"/>
        <w:ind w:left="567" w:firstLine="0"/>
      </w:pPr>
    </w:p>
    <w:p w14:paraId="5C8F8E9B" w14:textId="22F5F035" w:rsidR="00A60B88" w:rsidRPr="006C5859" w:rsidRDefault="00132B64" w:rsidP="00487C2C">
      <w:pPr>
        <w:tabs>
          <w:tab w:val="left" w:pos="567"/>
          <w:tab w:val="left" w:pos="1134"/>
        </w:tabs>
        <w:spacing w:line="240" w:lineRule="atLeast"/>
        <w:ind w:left="567" w:firstLine="0"/>
      </w:pPr>
      <w:r>
        <w:t>53.</w:t>
      </w:r>
      <w:r>
        <w:tab/>
      </w:r>
      <w:r w:rsidR="00A60B88" w:rsidRPr="006C5859">
        <w:t>Betriebsmittel für Neubauten und als Ersatz auf bestehendem Schiffen können nicht mehr nach dem alten Standard beschafft werden. Es ist kein Grund bekannt, warum die aktuelle Ausgabe nicht für das ADN geeignet sein könnte.</w:t>
      </w:r>
    </w:p>
    <w:p w14:paraId="1DA82AD8" w14:textId="3CDA8636" w:rsidR="00E70612" w:rsidRPr="006C5859" w:rsidRDefault="00E70612" w:rsidP="00487C2C">
      <w:pPr>
        <w:tabs>
          <w:tab w:val="left" w:pos="567"/>
          <w:tab w:val="left" w:pos="1134"/>
        </w:tabs>
        <w:spacing w:line="240" w:lineRule="atLeast"/>
        <w:ind w:left="567" w:firstLine="0"/>
      </w:pPr>
    </w:p>
    <w:p w14:paraId="6825CA8A" w14:textId="4C4CD617" w:rsidR="00957E31" w:rsidRPr="00132B64" w:rsidRDefault="00132B64" w:rsidP="00487C2C">
      <w:pPr>
        <w:tabs>
          <w:tab w:val="left" w:pos="567"/>
          <w:tab w:val="left" w:pos="1134"/>
        </w:tabs>
        <w:spacing w:line="240" w:lineRule="atLeast"/>
        <w:ind w:left="567" w:firstLine="0"/>
      </w:pPr>
      <w:r>
        <w:t>54.</w:t>
      </w:r>
      <w:r>
        <w:tab/>
      </w:r>
      <w:r w:rsidR="00957E31" w:rsidRPr="00132B64">
        <w:t>In Absatz 1.6.7.2.2.2 Allgemeine Übergangsvorschriften: Tankschiffe die folgende neue Übergangsvorschrift einfügen:</w:t>
      </w:r>
    </w:p>
    <w:p w14:paraId="0CD7EFE5" w14:textId="77777777" w:rsidR="00957E31" w:rsidRPr="006C5859" w:rsidRDefault="00957E31" w:rsidP="000A72C7">
      <w:pPr>
        <w:tabs>
          <w:tab w:val="left" w:pos="567"/>
        </w:tabs>
        <w:spacing w:line="240" w:lineRule="atLeast"/>
        <w:ind w:left="0" w:firstLine="0"/>
        <w:rPr>
          <w:highlight w:val="yellow"/>
        </w:rPr>
      </w:pPr>
    </w:p>
    <w:tbl>
      <w:tblPr>
        <w:tblW w:w="9114" w:type="dxa"/>
        <w:tblInd w:w="170" w:type="dxa"/>
        <w:tblLayout w:type="fixed"/>
        <w:tblCellMar>
          <w:left w:w="70" w:type="dxa"/>
          <w:right w:w="70" w:type="dxa"/>
        </w:tblCellMar>
        <w:tblLook w:val="0000" w:firstRow="0" w:lastRow="0" w:firstColumn="0" w:lastColumn="0" w:noHBand="0" w:noVBand="0"/>
      </w:tblPr>
      <w:tblGrid>
        <w:gridCol w:w="1240"/>
        <w:gridCol w:w="2519"/>
        <w:gridCol w:w="5355"/>
      </w:tblGrid>
      <w:tr w:rsidR="00957E31" w:rsidRPr="006C5859" w14:paraId="327AEC0D" w14:textId="77777777" w:rsidTr="001778DD">
        <w:trPr>
          <w:cantSplit/>
        </w:trPr>
        <w:tc>
          <w:tcPr>
            <w:tcW w:w="1240" w:type="dxa"/>
            <w:tcBorders>
              <w:top w:val="single" w:sz="6" w:space="0" w:color="auto"/>
              <w:left w:val="single" w:sz="6" w:space="0" w:color="auto"/>
              <w:bottom w:val="single" w:sz="6" w:space="0" w:color="auto"/>
              <w:right w:val="single" w:sz="6" w:space="0" w:color="auto"/>
            </w:tcBorders>
          </w:tcPr>
          <w:p w14:paraId="531ADCE9" w14:textId="77777777" w:rsidR="00957E31" w:rsidRPr="006C5859" w:rsidRDefault="00957E31" w:rsidP="000A72C7">
            <w:pPr>
              <w:pStyle w:val="N3"/>
              <w:tabs>
                <w:tab w:val="clear" w:pos="170"/>
              </w:tabs>
              <w:spacing w:before="60" w:after="60" w:line="240" w:lineRule="atLeast"/>
              <w:rPr>
                <w:rFonts w:ascii="Times New Roman" w:hAnsi="Times New Roman"/>
                <w:sz w:val="20"/>
                <w:lang w:val="de-DE"/>
              </w:rPr>
            </w:pPr>
            <w:r w:rsidRPr="006C5859">
              <w:rPr>
                <w:rFonts w:ascii="Times New Roman" w:hAnsi="Times New Roman"/>
                <w:sz w:val="20"/>
                <w:lang w:val="de-DE"/>
              </w:rPr>
              <w:t>1.2.1</w:t>
            </w:r>
          </w:p>
        </w:tc>
        <w:tc>
          <w:tcPr>
            <w:tcW w:w="2519" w:type="dxa"/>
            <w:tcBorders>
              <w:top w:val="single" w:sz="6" w:space="0" w:color="auto"/>
              <w:left w:val="single" w:sz="6" w:space="0" w:color="auto"/>
              <w:bottom w:val="single" w:sz="6" w:space="0" w:color="auto"/>
              <w:right w:val="single" w:sz="6" w:space="0" w:color="auto"/>
            </w:tcBorders>
          </w:tcPr>
          <w:p w14:paraId="4899C3BD" w14:textId="116B6E51" w:rsidR="00957E31" w:rsidRPr="006C5859" w:rsidRDefault="00957E31" w:rsidP="000A72C7">
            <w:pPr>
              <w:tabs>
                <w:tab w:val="left" w:pos="567"/>
              </w:tabs>
              <w:spacing w:line="240" w:lineRule="atLeast"/>
              <w:ind w:left="0" w:firstLine="0"/>
            </w:pPr>
            <w:r w:rsidRPr="006C5859">
              <w:t>Zündschutzarten, elektrische Geräte</w:t>
            </w:r>
          </w:p>
          <w:p w14:paraId="4DF7157B" w14:textId="77777777" w:rsidR="00957E31" w:rsidRPr="006C5859" w:rsidRDefault="00957E31" w:rsidP="000A72C7">
            <w:pPr>
              <w:tabs>
                <w:tab w:val="left" w:pos="567"/>
              </w:tabs>
              <w:spacing w:line="240" w:lineRule="atLeast"/>
              <w:ind w:left="0" w:firstLine="0"/>
            </w:pPr>
            <w:r w:rsidRPr="006C5859">
              <w:t>IEC 60079-0:2017+</w:t>
            </w:r>
          </w:p>
          <w:p w14:paraId="1AFFF823" w14:textId="77777777" w:rsidR="00957E31" w:rsidRPr="006C5859" w:rsidRDefault="00957E31" w:rsidP="000A72C7">
            <w:pPr>
              <w:tabs>
                <w:tab w:val="left" w:pos="567"/>
              </w:tabs>
              <w:spacing w:line="240" w:lineRule="atLeast"/>
              <w:ind w:left="0" w:firstLine="0"/>
            </w:pPr>
            <w:r w:rsidRPr="006C5859">
              <w:t>COR1:2020</w:t>
            </w:r>
          </w:p>
        </w:tc>
        <w:tc>
          <w:tcPr>
            <w:tcW w:w="5355" w:type="dxa"/>
            <w:tcBorders>
              <w:top w:val="single" w:sz="6" w:space="0" w:color="auto"/>
              <w:left w:val="single" w:sz="6" w:space="0" w:color="auto"/>
              <w:bottom w:val="single" w:sz="6" w:space="0" w:color="auto"/>
              <w:right w:val="single" w:sz="6" w:space="0" w:color="auto"/>
            </w:tcBorders>
          </w:tcPr>
          <w:p w14:paraId="68DF1221" w14:textId="77777777" w:rsidR="00957E31" w:rsidRPr="006C5859" w:rsidRDefault="00957E31" w:rsidP="000A72C7">
            <w:pPr>
              <w:pStyle w:val="N3"/>
              <w:spacing w:before="60" w:after="60" w:line="240" w:lineRule="atLeast"/>
              <w:rPr>
                <w:rFonts w:ascii="Times New Roman" w:hAnsi="Times New Roman"/>
                <w:sz w:val="20"/>
                <w:lang w:val="de-DE"/>
              </w:rPr>
            </w:pPr>
            <w:r w:rsidRPr="006C5859">
              <w:rPr>
                <w:rFonts w:ascii="Times New Roman" w:hAnsi="Times New Roman"/>
                <w:sz w:val="20"/>
                <w:lang w:val="de-DE"/>
              </w:rPr>
              <w:t>N.E.U. ab 1. Januar 2023</w:t>
            </w:r>
          </w:p>
          <w:p w14:paraId="103092C3" w14:textId="4D2873EE" w:rsidR="00957E31" w:rsidRPr="006C5859" w:rsidRDefault="00957E31" w:rsidP="001778DD">
            <w:pPr>
              <w:pStyle w:val="N3"/>
              <w:tabs>
                <w:tab w:val="clear" w:pos="170"/>
              </w:tabs>
              <w:spacing w:before="60" w:after="60"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 nach dem 31.</w:t>
            </w:r>
            <w:r w:rsidR="00487C2C" w:rsidRPr="006C5859">
              <w:rPr>
                <w:rFonts w:ascii="Times New Roman" w:hAnsi="Times New Roman"/>
                <w:sz w:val="20"/>
                <w:lang w:val="de-DE"/>
              </w:rPr>
              <w:t> </w:t>
            </w:r>
            <w:r w:rsidRPr="006C5859">
              <w:rPr>
                <w:rFonts w:ascii="Times New Roman" w:hAnsi="Times New Roman"/>
                <w:sz w:val="20"/>
                <w:lang w:val="de-DE"/>
              </w:rPr>
              <w:t>Dezember</w:t>
            </w:r>
            <w:r w:rsidR="00487C2C" w:rsidRPr="006C5859">
              <w:rPr>
                <w:rFonts w:ascii="Times New Roman" w:hAnsi="Times New Roman"/>
                <w:sz w:val="20"/>
                <w:lang w:val="de-DE"/>
              </w:rPr>
              <w:t> </w:t>
            </w:r>
            <w:r w:rsidRPr="006C5859">
              <w:rPr>
                <w:rFonts w:ascii="Times New Roman" w:hAnsi="Times New Roman"/>
                <w:sz w:val="20"/>
                <w:lang w:val="de-DE"/>
              </w:rPr>
              <w:t>202</w:t>
            </w:r>
            <w:r w:rsidR="00C50FF5" w:rsidRPr="006C5859">
              <w:rPr>
                <w:rFonts w:ascii="Times New Roman" w:hAnsi="Times New Roman"/>
                <w:sz w:val="20"/>
                <w:lang w:val="de-DE"/>
              </w:rPr>
              <w:t>6</w:t>
            </w:r>
          </w:p>
        </w:tc>
      </w:tr>
    </w:tbl>
    <w:p w14:paraId="30BE84D1" w14:textId="77777777" w:rsidR="00957E31" w:rsidRPr="006C5859" w:rsidRDefault="00957E31" w:rsidP="000A72C7">
      <w:pPr>
        <w:tabs>
          <w:tab w:val="left" w:pos="567"/>
        </w:tabs>
        <w:spacing w:line="240" w:lineRule="atLeast"/>
      </w:pPr>
    </w:p>
    <w:p w14:paraId="17FA1474" w14:textId="4B02EFBB" w:rsidR="00957E31" w:rsidRPr="006C5859" w:rsidRDefault="00132B64" w:rsidP="00487C2C">
      <w:pPr>
        <w:tabs>
          <w:tab w:val="left" w:pos="567"/>
          <w:tab w:val="left" w:pos="1134"/>
        </w:tabs>
        <w:spacing w:line="240" w:lineRule="atLeast"/>
        <w:ind w:left="567" w:firstLine="0"/>
      </w:pPr>
      <w:r>
        <w:t>55.</w:t>
      </w:r>
      <w:r>
        <w:tab/>
      </w:r>
      <w:r w:rsidR="00957E31" w:rsidRPr="006C5859">
        <w:t xml:space="preserve">Die Änderung der Norm enthält sicherheitstechnisch relevante Gegenstände. Deswegen ist die Anwendung für die elektrischen Geräte erforderlich, um das bestmögliche Sicherheitsniveau zu erhalten. Ein Übergangszeitraum von 3 bis 8 Jahren, nachdem die Änderung beschlossen </w:t>
      </w:r>
      <w:proofErr w:type="gramStart"/>
      <w:r w:rsidR="00957E31" w:rsidRPr="006C5859">
        <w:t>wird</w:t>
      </w:r>
      <w:proofErr w:type="gramEnd"/>
      <w:r w:rsidR="00957E31" w:rsidRPr="006C5859">
        <w:t xml:space="preserve"> ist ausreichend um den erforderlichen Austausch zu organisieren.</w:t>
      </w:r>
    </w:p>
    <w:p w14:paraId="54DC930C" w14:textId="40CD7D09" w:rsidR="00957E31" w:rsidRDefault="00957E31" w:rsidP="000A72C7">
      <w:pPr>
        <w:tabs>
          <w:tab w:val="left" w:pos="567"/>
        </w:tabs>
        <w:spacing w:line="240" w:lineRule="atLeast"/>
        <w:ind w:left="0" w:firstLine="0"/>
      </w:pPr>
    </w:p>
    <w:p w14:paraId="26429990" w14:textId="77777777" w:rsidR="000116F6" w:rsidRPr="006C5859" w:rsidRDefault="000116F6" w:rsidP="000A72C7">
      <w:pPr>
        <w:tabs>
          <w:tab w:val="left" w:pos="567"/>
        </w:tabs>
        <w:spacing w:line="240" w:lineRule="atLeast"/>
        <w:ind w:left="0" w:firstLine="0"/>
      </w:pPr>
    </w:p>
    <w:p w14:paraId="73580405" w14:textId="247F2C76" w:rsidR="00286ED4" w:rsidRPr="00132B64" w:rsidRDefault="005528D8" w:rsidP="000A72C7">
      <w:pPr>
        <w:tabs>
          <w:tab w:val="left" w:pos="567"/>
        </w:tabs>
        <w:spacing w:line="240" w:lineRule="atLeast"/>
        <w:ind w:left="0" w:firstLine="0"/>
        <w:rPr>
          <w:b/>
          <w:bCs/>
        </w:rPr>
      </w:pPr>
      <w:r w:rsidRPr="00132B64">
        <w:rPr>
          <w:b/>
          <w:bCs/>
        </w:rPr>
        <w:t>j</w:t>
      </w:r>
      <w:r w:rsidR="00286ED4" w:rsidRPr="00132B64">
        <w:rPr>
          <w:b/>
          <w:bCs/>
        </w:rPr>
        <w:t>)</w:t>
      </w:r>
      <w:r w:rsidR="00286ED4" w:rsidRPr="00132B64">
        <w:rPr>
          <w:b/>
          <w:bCs/>
        </w:rPr>
        <w:tab/>
        <w:t>In der Begriffsbestimmung „Zündschutzarten“, Abschnitt „nicht-elektrische Geräte“</w:t>
      </w:r>
    </w:p>
    <w:p w14:paraId="129F34D9" w14:textId="77777777" w:rsidR="00286ED4" w:rsidRPr="006C5859" w:rsidRDefault="00286ED4" w:rsidP="000A72C7">
      <w:pPr>
        <w:tabs>
          <w:tab w:val="left" w:pos="567"/>
        </w:tabs>
        <w:spacing w:line="240" w:lineRule="atLeast"/>
        <w:ind w:left="0" w:firstLine="0"/>
      </w:pPr>
    </w:p>
    <w:p w14:paraId="00BB1438" w14:textId="1669B463" w:rsidR="00286ED4" w:rsidRPr="00132B64" w:rsidRDefault="00286ED4" w:rsidP="00132B64">
      <w:pPr>
        <w:pStyle w:val="Paragraphedeliste"/>
        <w:numPr>
          <w:ilvl w:val="0"/>
          <w:numId w:val="10"/>
        </w:numPr>
        <w:tabs>
          <w:tab w:val="left" w:pos="567"/>
          <w:tab w:val="left" w:pos="1134"/>
        </w:tabs>
        <w:spacing w:line="240" w:lineRule="atLeast"/>
        <w:ind w:left="567" w:firstLine="0"/>
        <w:rPr>
          <w:i/>
          <w:iCs/>
        </w:rPr>
      </w:pPr>
      <w:r w:rsidRPr="00132B64">
        <w:rPr>
          <w:i/>
          <w:iCs/>
        </w:rPr>
        <w:t>bei EEx (fr) das Zitat „EN 13463-2:2005“ durch [„IEC 60079-1:2014“] [„ISO 80079-36“] ersetzen.</w:t>
      </w:r>
    </w:p>
    <w:p w14:paraId="11DFD25A" w14:textId="77777777" w:rsidR="001778DD" w:rsidRDefault="001778DD" w:rsidP="000A72C7">
      <w:pPr>
        <w:widowControl/>
        <w:overflowPunct/>
        <w:autoSpaceDE/>
        <w:autoSpaceDN/>
        <w:adjustRightInd/>
        <w:spacing w:line="240" w:lineRule="atLeast"/>
        <w:ind w:left="0" w:firstLine="0"/>
        <w:contextualSpacing/>
        <w:textAlignment w:val="auto"/>
      </w:pPr>
    </w:p>
    <w:p w14:paraId="30E06DB6" w14:textId="2C12339A" w:rsidR="00286ED4" w:rsidRPr="00132B64" w:rsidRDefault="00132B64" w:rsidP="00132B64">
      <w:pPr>
        <w:widowControl/>
        <w:tabs>
          <w:tab w:val="left" w:pos="1134"/>
        </w:tabs>
        <w:overflowPunct/>
        <w:autoSpaceDE/>
        <w:autoSpaceDN/>
        <w:adjustRightInd/>
        <w:spacing w:line="240" w:lineRule="atLeast"/>
        <w:ind w:left="567" w:firstLine="0"/>
        <w:contextualSpacing/>
        <w:textAlignment w:val="auto"/>
      </w:pPr>
      <w:r>
        <w:t>56.</w:t>
      </w:r>
      <w:r>
        <w:tab/>
      </w:r>
      <w:r w:rsidR="00286ED4" w:rsidRPr="00132B64">
        <w:t xml:space="preserve">Die bisher zitierte Normenreihe wurde zurückgezogen Für die Bewertung erfolgte der Ersatz von EN 13463-2 durch </w:t>
      </w:r>
      <w:r w:rsidR="002E476F">
        <w:t>IEC</w:t>
      </w:r>
      <w:r w:rsidR="00286ED4" w:rsidRPr="00132B64">
        <w:t xml:space="preserve"> 60079-1 und EN ISO 80079-36.</w:t>
      </w:r>
    </w:p>
    <w:p w14:paraId="2CDDB6BF" w14:textId="77777777" w:rsidR="00286ED4" w:rsidRPr="00132B64" w:rsidRDefault="00286ED4" w:rsidP="00132B64">
      <w:pPr>
        <w:widowControl/>
        <w:tabs>
          <w:tab w:val="left" w:pos="1134"/>
        </w:tabs>
        <w:overflowPunct/>
        <w:autoSpaceDE/>
        <w:autoSpaceDN/>
        <w:adjustRightInd/>
        <w:spacing w:line="240" w:lineRule="atLeast"/>
        <w:ind w:left="567" w:firstLine="0"/>
        <w:contextualSpacing/>
        <w:textAlignment w:val="auto"/>
      </w:pPr>
    </w:p>
    <w:p w14:paraId="50B8947D" w14:textId="2A618141" w:rsidR="000116F6" w:rsidRDefault="00132B64" w:rsidP="00132B64">
      <w:pPr>
        <w:widowControl/>
        <w:tabs>
          <w:tab w:val="left" w:pos="1134"/>
        </w:tabs>
        <w:overflowPunct/>
        <w:autoSpaceDE/>
        <w:autoSpaceDN/>
        <w:adjustRightInd/>
        <w:spacing w:line="240" w:lineRule="atLeast"/>
        <w:ind w:left="567" w:firstLine="0"/>
        <w:contextualSpacing/>
        <w:textAlignment w:val="auto"/>
      </w:pPr>
      <w:r>
        <w:t>57.</w:t>
      </w:r>
      <w:r>
        <w:tab/>
      </w:r>
      <w:r w:rsidR="00286ED4" w:rsidRPr="00132B64">
        <w:t>SN EN 13463-2:2005-04: Nicht elektrische Geräte für den Einsatz in explosionsgefährdeten Bereichen - Teil 2: Schutz durch schwadenhemmende Kapselung </w:t>
      </w:r>
      <w:r w:rsidR="00B3129B" w:rsidRPr="00132B64">
        <w:t>„</w:t>
      </w:r>
      <w:r w:rsidR="00286ED4" w:rsidRPr="00132B64">
        <w:t>fr</w:t>
      </w:r>
      <w:r w:rsidR="00B3129B" w:rsidRPr="00132B64">
        <w:t>“.</w:t>
      </w:r>
    </w:p>
    <w:p w14:paraId="79A86B28" w14:textId="77777777" w:rsidR="000116F6" w:rsidRDefault="000116F6">
      <w:pPr>
        <w:widowControl/>
        <w:overflowPunct/>
        <w:autoSpaceDE/>
        <w:autoSpaceDN/>
        <w:adjustRightInd/>
        <w:ind w:left="0" w:firstLine="0"/>
        <w:jc w:val="left"/>
        <w:textAlignment w:val="auto"/>
      </w:pPr>
      <w:r>
        <w:br w:type="page"/>
      </w:r>
    </w:p>
    <w:p w14:paraId="3BA5025E" w14:textId="7937E581" w:rsidR="00286ED4" w:rsidRPr="00132B64" w:rsidRDefault="00132B64" w:rsidP="00132B64">
      <w:pPr>
        <w:widowControl/>
        <w:tabs>
          <w:tab w:val="left" w:pos="1134"/>
        </w:tabs>
        <w:overflowPunct/>
        <w:autoSpaceDE/>
        <w:autoSpaceDN/>
        <w:adjustRightInd/>
        <w:spacing w:line="240" w:lineRule="atLeast"/>
        <w:ind w:left="567" w:firstLine="0"/>
        <w:contextualSpacing/>
        <w:textAlignment w:val="auto"/>
      </w:pPr>
      <w:r>
        <w:lastRenderedPageBreak/>
        <w:t>58.</w:t>
      </w:r>
      <w:r>
        <w:tab/>
      </w:r>
      <w:r w:rsidR="00286ED4" w:rsidRPr="00132B64">
        <w:t xml:space="preserve">IEC 60079-1:2014: Explosionsgefährdete Bereiche - Teil 1: Geräteschutz durch druckfeste Kapselung </w:t>
      </w:r>
      <w:r w:rsidR="00B3129B" w:rsidRPr="00132B64">
        <w:t>„</w:t>
      </w:r>
      <w:r w:rsidR="00286ED4" w:rsidRPr="00132B64">
        <w:t>d</w:t>
      </w:r>
      <w:r w:rsidR="00B3129B" w:rsidRPr="00132B64">
        <w:t>“</w:t>
      </w:r>
      <w:r w:rsidR="00286ED4" w:rsidRPr="00132B64">
        <w:t xml:space="preserve"> ()</w:t>
      </w:r>
    </w:p>
    <w:p w14:paraId="4458A066" w14:textId="77777777" w:rsidR="00286ED4" w:rsidRPr="00132B64" w:rsidRDefault="00286ED4" w:rsidP="00132B64">
      <w:pPr>
        <w:widowControl/>
        <w:tabs>
          <w:tab w:val="left" w:pos="1134"/>
        </w:tabs>
        <w:overflowPunct/>
        <w:autoSpaceDE/>
        <w:autoSpaceDN/>
        <w:adjustRightInd/>
        <w:spacing w:line="240" w:lineRule="atLeast"/>
        <w:ind w:left="567" w:firstLine="0"/>
        <w:contextualSpacing/>
        <w:textAlignment w:val="auto"/>
      </w:pPr>
    </w:p>
    <w:p w14:paraId="170E3123" w14:textId="073DAAEC" w:rsidR="00286ED4" w:rsidRPr="00132B64" w:rsidRDefault="00132B64" w:rsidP="00132B64">
      <w:pPr>
        <w:widowControl/>
        <w:tabs>
          <w:tab w:val="left" w:pos="1134"/>
        </w:tabs>
        <w:overflowPunct/>
        <w:autoSpaceDE/>
        <w:autoSpaceDN/>
        <w:adjustRightInd/>
        <w:spacing w:line="240" w:lineRule="atLeast"/>
        <w:ind w:left="567" w:firstLine="0"/>
        <w:contextualSpacing/>
        <w:textAlignment w:val="auto"/>
      </w:pPr>
      <w:r>
        <w:t>59.</w:t>
      </w:r>
      <w:r>
        <w:tab/>
      </w:r>
      <w:r w:rsidR="00286ED4" w:rsidRPr="00132B64">
        <w:t>ISO 80079-36:2016-02: Explosionsfähige Atmosphären - Teil 36: Nicht-elektrische Geräte für den Einsatz in explosionsfähigen Atmosphären - Grundlagen und Anforderungen</w:t>
      </w:r>
    </w:p>
    <w:p w14:paraId="167FDB84" w14:textId="77777777" w:rsidR="00286ED4" w:rsidRPr="00132B64" w:rsidRDefault="00286ED4" w:rsidP="00132B64">
      <w:pPr>
        <w:tabs>
          <w:tab w:val="left" w:pos="567"/>
          <w:tab w:val="left" w:pos="1134"/>
        </w:tabs>
        <w:spacing w:line="240" w:lineRule="atLeast"/>
        <w:ind w:left="567"/>
        <w:rPr>
          <w:highlight w:val="yellow"/>
        </w:rPr>
      </w:pPr>
    </w:p>
    <w:p w14:paraId="42151B96" w14:textId="3C9F7505" w:rsidR="00F010AD" w:rsidRPr="00132B64" w:rsidRDefault="00132B64" w:rsidP="00132B64">
      <w:pPr>
        <w:tabs>
          <w:tab w:val="left" w:pos="567"/>
          <w:tab w:val="left" w:pos="1134"/>
        </w:tabs>
        <w:spacing w:line="240" w:lineRule="atLeast"/>
        <w:ind w:left="567" w:firstLine="0"/>
      </w:pPr>
      <w:r>
        <w:t>60.</w:t>
      </w:r>
      <w:r>
        <w:tab/>
      </w:r>
      <w:r w:rsidR="00F010AD" w:rsidRPr="00132B64">
        <w:t>Deutschland bittet den Sicherheitsausschuss, über eine angemessene Übergangsvorschrift zu beraten.</w:t>
      </w:r>
    </w:p>
    <w:p w14:paraId="40AA6AE5" w14:textId="77777777" w:rsidR="00576571" w:rsidRPr="006C5859" w:rsidRDefault="00576571" w:rsidP="00132B64">
      <w:pPr>
        <w:tabs>
          <w:tab w:val="left" w:pos="567"/>
          <w:tab w:val="left" w:pos="1134"/>
        </w:tabs>
        <w:spacing w:line="240" w:lineRule="atLeast"/>
        <w:ind w:left="567" w:firstLine="0"/>
      </w:pPr>
    </w:p>
    <w:p w14:paraId="541BAC34" w14:textId="77777777" w:rsidR="00286ED4" w:rsidRPr="00132B64" w:rsidRDefault="00286ED4" w:rsidP="00132B64">
      <w:pPr>
        <w:tabs>
          <w:tab w:val="left" w:pos="1134"/>
        </w:tabs>
        <w:spacing w:line="240" w:lineRule="atLeast"/>
        <w:ind w:left="567" w:firstLine="0"/>
        <w:rPr>
          <w:i/>
          <w:iCs/>
        </w:rPr>
      </w:pPr>
      <w:r w:rsidRPr="00132B64">
        <w:rPr>
          <w:i/>
          <w:iCs/>
        </w:rPr>
        <w:t>ii)</w:t>
      </w:r>
      <w:r w:rsidRPr="00132B64">
        <w:rPr>
          <w:i/>
          <w:iCs/>
        </w:rPr>
        <w:tab/>
        <w:t>bei EEx (d) das Zitat „EN 13463-3:2005“ durch [„IEC 60079-15:2017“] [„ISO 80079-36“] ersetzen.</w:t>
      </w:r>
    </w:p>
    <w:p w14:paraId="44AA1E2F"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pPr>
    </w:p>
    <w:p w14:paraId="4D54BC01" w14:textId="406628AA"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61.</w:t>
      </w:r>
      <w:r>
        <w:tab/>
      </w:r>
      <w:r w:rsidR="00286ED4" w:rsidRPr="006C5859">
        <w:t>Die bisher zitierte Normenreihe wurde zurückgezogen Für die Kennzeichnung erfolgte der Ersatz von EN 13463-3 durch und EN ISO 80079-36 Kennzeichnung mit Ex h.</w:t>
      </w:r>
    </w:p>
    <w:p w14:paraId="46BD3E6A" w14:textId="77777777" w:rsidR="00286ED4" w:rsidRPr="006C5859" w:rsidRDefault="00286ED4" w:rsidP="00132B64">
      <w:pPr>
        <w:tabs>
          <w:tab w:val="left" w:pos="1134"/>
        </w:tabs>
        <w:ind w:left="567"/>
      </w:pPr>
    </w:p>
    <w:p w14:paraId="6510505B" w14:textId="383540BE"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62.</w:t>
      </w:r>
      <w:r>
        <w:tab/>
      </w:r>
      <w:r w:rsidR="00286ED4" w:rsidRPr="006C5859">
        <w:t>SN EN 13463-3:2005-07: Nicht-elektrische Geräte für den Einsatz in explosionsgefährdeten Bereichen - Teil 3: Schutz durch druckfeste Kapselung 'd'</w:t>
      </w:r>
    </w:p>
    <w:p w14:paraId="3DE7A9D2"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pPr>
    </w:p>
    <w:p w14:paraId="7B6AB34E" w14:textId="6EE35E8F"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63.</w:t>
      </w:r>
      <w:r>
        <w:tab/>
      </w:r>
      <w:r w:rsidR="00286ED4" w:rsidRPr="006C5859">
        <w:t xml:space="preserve">IEC 60079-15:2017: Explosionsfähige Atmosphäre - Teil 15: Geräteschutz durch Zündschutzart </w:t>
      </w:r>
      <w:r w:rsidR="00B3129B">
        <w:t>„</w:t>
      </w:r>
      <w:r w:rsidR="00286ED4" w:rsidRPr="006C5859">
        <w:t>n</w:t>
      </w:r>
      <w:r w:rsidR="00B3129B">
        <w:t>“.</w:t>
      </w:r>
    </w:p>
    <w:p w14:paraId="476DA541"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pPr>
    </w:p>
    <w:p w14:paraId="54699A6F" w14:textId="5F6BA77C"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64.</w:t>
      </w:r>
      <w:r>
        <w:tab/>
      </w:r>
      <w:r w:rsidR="00286ED4" w:rsidRPr="006C5859">
        <w:t>ISO 80079-36:2016-02: Explosionsfähige Atmosphären - Teil 36: Nicht-elektrische Geräte für den Einsatz in explosionsfähigen Atmosphären - Grundlagen und Anforderungen</w:t>
      </w:r>
    </w:p>
    <w:p w14:paraId="72567CC6"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pPr>
    </w:p>
    <w:p w14:paraId="7AFD99B5" w14:textId="00D0DFEF" w:rsidR="00286ED4" w:rsidRDefault="00132B64" w:rsidP="00132B64">
      <w:pPr>
        <w:tabs>
          <w:tab w:val="left" w:pos="567"/>
          <w:tab w:val="left" w:pos="1134"/>
        </w:tabs>
        <w:spacing w:line="240" w:lineRule="atLeast"/>
        <w:ind w:left="567" w:firstLine="0"/>
      </w:pPr>
      <w:r>
        <w:t>65.</w:t>
      </w:r>
      <w:r>
        <w:tab/>
      </w:r>
      <w:r w:rsidR="00286ED4" w:rsidRPr="006C5859">
        <w:t>Bauteile für Neubauten und Ersatzteile für bestehende Schiffe können nicht mehr nach der alten Normausgabe beschafft werden. Es ist kein Grund bekannt, warum die aktuelle Ausgabe nicht für das ADN geeignet sein könnte.</w:t>
      </w:r>
    </w:p>
    <w:p w14:paraId="682B8DAB" w14:textId="77777777" w:rsidR="00132B64" w:rsidRPr="006C5859" w:rsidRDefault="00132B64" w:rsidP="00132B64">
      <w:pPr>
        <w:tabs>
          <w:tab w:val="left" w:pos="567"/>
          <w:tab w:val="left" w:pos="1134"/>
        </w:tabs>
        <w:spacing w:line="240" w:lineRule="atLeast"/>
        <w:ind w:left="567" w:firstLine="0"/>
      </w:pPr>
    </w:p>
    <w:p w14:paraId="5FB029E7" w14:textId="12EA8B33" w:rsidR="00F010AD" w:rsidRPr="00487C2C" w:rsidRDefault="00132B64" w:rsidP="00132B64">
      <w:pPr>
        <w:tabs>
          <w:tab w:val="left" w:pos="567"/>
          <w:tab w:val="left" w:pos="1134"/>
        </w:tabs>
        <w:spacing w:line="240" w:lineRule="atLeast"/>
        <w:ind w:left="567" w:firstLine="0"/>
      </w:pPr>
      <w:r>
        <w:t>66.</w:t>
      </w:r>
      <w:r>
        <w:tab/>
      </w:r>
      <w:r w:rsidR="00F010AD" w:rsidRPr="006C5859">
        <w:t xml:space="preserve">Deutschland bittet den Sicherheitsausschuss, </w:t>
      </w:r>
      <w:r w:rsidR="00F010AD" w:rsidRPr="00487C2C">
        <w:t>über eine angemessene Übergangsvorschrift zu beraten.</w:t>
      </w:r>
    </w:p>
    <w:p w14:paraId="04447BC8" w14:textId="77777777" w:rsidR="00286ED4" w:rsidRPr="00487C2C" w:rsidRDefault="00286ED4" w:rsidP="000A72C7">
      <w:pPr>
        <w:widowControl/>
        <w:overflowPunct/>
        <w:autoSpaceDE/>
        <w:autoSpaceDN/>
        <w:adjustRightInd/>
        <w:spacing w:line="240" w:lineRule="atLeast"/>
        <w:ind w:left="0" w:firstLine="0"/>
        <w:contextualSpacing/>
        <w:textAlignment w:val="auto"/>
      </w:pPr>
    </w:p>
    <w:p w14:paraId="524D5A9B" w14:textId="77777777" w:rsidR="00286ED4" w:rsidRPr="00132B64" w:rsidRDefault="00286ED4" w:rsidP="00132B64">
      <w:pPr>
        <w:tabs>
          <w:tab w:val="left" w:pos="1134"/>
        </w:tabs>
        <w:spacing w:line="240" w:lineRule="atLeast"/>
        <w:ind w:left="567" w:firstLine="0"/>
        <w:rPr>
          <w:i/>
          <w:iCs/>
        </w:rPr>
      </w:pPr>
      <w:r w:rsidRPr="00132B64">
        <w:rPr>
          <w:i/>
          <w:iCs/>
        </w:rPr>
        <w:t>iii)</w:t>
      </w:r>
      <w:r w:rsidRPr="00132B64">
        <w:rPr>
          <w:i/>
          <w:iCs/>
        </w:rPr>
        <w:tab/>
        <w:t>„EEx (c)“ durch „EEx c“ ersetzen.</w:t>
      </w:r>
    </w:p>
    <w:p w14:paraId="445DA30D" w14:textId="265B8AEE" w:rsidR="00E70612" w:rsidRPr="00132B64" w:rsidRDefault="00E70612" w:rsidP="00132B64">
      <w:pPr>
        <w:tabs>
          <w:tab w:val="left" w:pos="1134"/>
        </w:tabs>
        <w:spacing w:line="240" w:lineRule="atLeast"/>
        <w:ind w:left="567" w:firstLine="0"/>
        <w:rPr>
          <w:i/>
          <w:iCs/>
        </w:rPr>
      </w:pPr>
    </w:p>
    <w:p w14:paraId="354A4F56" w14:textId="71076940" w:rsidR="00286ED4" w:rsidRPr="00132B64" w:rsidRDefault="00286ED4" w:rsidP="00132B64">
      <w:pPr>
        <w:tabs>
          <w:tab w:val="left" w:pos="1134"/>
        </w:tabs>
        <w:spacing w:line="240" w:lineRule="atLeast"/>
        <w:ind w:left="567" w:firstLine="0"/>
        <w:rPr>
          <w:i/>
          <w:iCs/>
        </w:rPr>
      </w:pPr>
      <w:r w:rsidRPr="00132B64">
        <w:rPr>
          <w:i/>
          <w:iCs/>
        </w:rPr>
        <w:t>iv)</w:t>
      </w:r>
      <w:r w:rsidRPr="00132B64">
        <w:rPr>
          <w:i/>
          <w:iCs/>
        </w:rPr>
        <w:tab/>
        <w:t>„EEx (b)“ durch „EEx b“ ersetzen und das Zitat „EN 13463-6:2005“ durch „ISO 80079-37:2016“ ersetzen.</w:t>
      </w:r>
    </w:p>
    <w:p w14:paraId="7ED261FE" w14:textId="77777777" w:rsidR="00286ED4" w:rsidRPr="006C5859" w:rsidRDefault="00286ED4" w:rsidP="00132B64">
      <w:pPr>
        <w:tabs>
          <w:tab w:val="left" w:pos="567"/>
          <w:tab w:val="left" w:pos="1134"/>
        </w:tabs>
        <w:spacing w:line="240" w:lineRule="atLeast"/>
        <w:ind w:left="567" w:firstLine="0"/>
        <w:rPr>
          <w:highlight w:val="yellow"/>
        </w:rPr>
      </w:pPr>
    </w:p>
    <w:p w14:paraId="68063F9D" w14:textId="679B45EE"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67.</w:t>
      </w:r>
      <w:r>
        <w:tab/>
      </w:r>
      <w:r w:rsidR="00286ED4" w:rsidRPr="006C5859">
        <w:t>EN 13463-5:2011: Nicht-elektrische Geräte für den Einsatz in explosionsgefährdeten Bereichen - Teil 6: Schutz durch Zündquellenüberwachung </w:t>
      </w:r>
      <w:r w:rsidR="00027248">
        <w:t>„</w:t>
      </w:r>
      <w:r w:rsidR="00286ED4" w:rsidRPr="006C5859">
        <w:t>b</w:t>
      </w:r>
      <w:r w:rsidR="00027248">
        <w:t>“.</w:t>
      </w:r>
    </w:p>
    <w:p w14:paraId="52C34B11" w14:textId="77777777" w:rsidR="00286ED4" w:rsidRPr="006C5859" w:rsidRDefault="00286ED4" w:rsidP="00132B64">
      <w:pPr>
        <w:tabs>
          <w:tab w:val="left" w:pos="567"/>
          <w:tab w:val="left" w:pos="1134"/>
        </w:tabs>
        <w:spacing w:line="240" w:lineRule="atLeast"/>
        <w:ind w:left="567" w:firstLine="0"/>
        <w:rPr>
          <w:highlight w:val="yellow"/>
        </w:rPr>
      </w:pPr>
    </w:p>
    <w:p w14:paraId="2923ADA2" w14:textId="58176192"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68.</w:t>
      </w:r>
      <w:r>
        <w:tab/>
      </w:r>
      <w:r w:rsidR="00286ED4" w:rsidRPr="006C5859">
        <w:t xml:space="preserve">ISO 80079-37:2016: Explosionsfähige Atmosphären - Teil 37: Nicht-elektrische Geräte für den Einsatz in explosionsfähigen Atmosphären - Schutz durch konstruktive Sicherheit </w:t>
      </w:r>
      <w:r w:rsidR="00B3129B">
        <w:t>„</w:t>
      </w:r>
      <w:r w:rsidR="00286ED4" w:rsidRPr="006C5859">
        <w:t>c</w:t>
      </w:r>
      <w:r w:rsidR="00B3129B">
        <w:t>“</w:t>
      </w:r>
      <w:r w:rsidR="00286ED4" w:rsidRPr="006C5859">
        <w:t xml:space="preserve">, Zündquellenüberwachung </w:t>
      </w:r>
      <w:r w:rsidR="00B3129B">
        <w:t>„</w:t>
      </w:r>
      <w:r w:rsidR="00286ED4" w:rsidRPr="006C5859">
        <w:t>b</w:t>
      </w:r>
      <w:r w:rsidR="00B3129B">
        <w:t>“</w:t>
      </w:r>
      <w:r w:rsidR="00286ED4" w:rsidRPr="006C5859">
        <w:t xml:space="preserve">, Flüssigkeitskapselung </w:t>
      </w:r>
      <w:r w:rsidR="00B3129B">
        <w:t>„</w:t>
      </w:r>
      <w:r w:rsidR="00286ED4" w:rsidRPr="006C5859">
        <w:t>k</w:t>
      </w:r>
      <w:r w:rsidR="00B3129B">
        <w:t>“.</w:t>
      </w:r>
    </w:p>
    <w:p w14:paraId="58C8ED40" w14:textId="77777777" w:rsidR="00286ED4" w:rsidRPr="006C5859" w:rsidRDefault="00286ED4" w:rsidP="00132B64">
      <w:pPr>
        <w:tabs>
          <w:tab w:val="left" w:pos="567"/>
          <w:tab w:val="left" w:pos="1134"/>
        </w:tabs>
        <w:spacing w:line="240" w:lineRule="atLeast"/>
        <w:ind w:left="567" w:firstLine="0"/>
        <w:rPr>
          <w:highlight w:val="yellow"/>
        </w:rPr>
      </w:pPr>
    </w:p>
    <w:p w14:paraId="2F42A271" w14:textId="56FE0857" w:rsidR="00F010AD" w:rsidRPr="00132B64" w:rsidRDefault="00132B64" w:rsidP="00132B64">
      <w:pPr>
        <w:tabs>
          <w:tab w:val="left" w:pos="567"/>
          <w:tab w:val="left" w:pos="1134"/>
        </w:tabs>
        <w:spacing w:line="240" w:lineRule="atLeast"/>
        <w:ind w:left="567" w:firstLine="0"/>
      </w:pPr>
      <w:r w:rsidRPr="00132B64">
        <w:t>69.</w:t>
      </w:r>
      <w:r w:rsidRPr="00132B64">
        <w:tab/>
      </w:r>
      <w:r w:rsidR="00F010AD" w:rsidRPr="00132B64">
        <w:t>Deutschland bittet den Sicherheitsausschuss, über eine angemessene Übergangsvorschrift zu beraten.</w:t>
      </w:r>
    </w:p>
    <w:p w14:paraId="0EDCEF05" w14:textId="77777777" w:rsidR="00E70612" w:rsidRPr="006C5859" w:rsidRDefault="00E70612" w:rsidP="00132B64">
      <w:pPr>
        <w:tabs>
          <w:tab w:val="left" w:pos="567"/>
          <w:tab w:val="left" w:pos="1134"/>
        </w:tabs>
        <w:spacing w:line="240" w:lineRule="atLeast"/>
        <w:ind w:left="567" w:firstLine="0"/>
        <w:rPr>
          <w:highlight w:val="yellow"/>
        </w:rPr>
      </w:pPr>
    </w:p>
    <w:p w14:paraId="0A936267" w14:textId="77777777" w:rsidR="00286ED4" w:rsidRPr="00132B64" w:rsidRDefault="00286ED4" w:rsidP="00132B64">
      <w:pPr>
        <w:tabs>
          <w:tab w:val="left" w:pos="567"/>
          <w:tab w:val="left" w:pos="1134"/>
        </w:tabs>
        <w:spacing w:line="240" w:lineRule="atLeast"/>
        <w:ind w:left="567" w:firstLine="0"/>
        <w:rPr>
          <w:i/>
          <w:iCs/>
        </w:rPr>
      </w:pPr>
      <w:r w:rsidRPr="00132B64">
        <w:rPr>
          <w:i/>
          <w:iCs/>
        </w:rPr>
        <w:t>v)</w:t>
      </w:r>
      <w:r w:rsidRPr="00132B64">
        <w:rPr>
          <w:i/>
          <w:iCs/>
        </w:rPr>
        <w:tab/>
        <w:t>„EEx (k)“ durch „EEx k“ ersetzen und das Zitat „EN 13463-8:2003“ durch „ISO 80079-37:2016“ ersetzen.</w:t>
      </w:r>
    </w:p>
    <w:p w14:paraId="5332B7F3" w14:textId="77777777" w:rsidR="00286ED4" w:rsidRPr="006C5859" w:rsidRDefault="00286ED4" w:rsidP="00132B64">
      <w:pPr>
        <w:tabs>
          <w:tab w:val="left" w:pos="567"/>
          <w:tab w:val="left" w:pos="1134"/>
        </w:tabs>
        <w:spacing w:line="240" w:lineRule="atLeast"/>
        <w:ind w:left="567" w:firstLine="0"/>
      </w:pPr>
    </w:p>
    <w:p w14:paraId="5BC7B766" w14:textId="6F22D09C"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70.</w:t>
      </w:r>
      <w:r>
        <w:tab/>
      </w:r>
      <w:r w:rsidR="00286ED4" w:rsidRPr="006C5859">
        <w:t>EN</w:t>
      </w:r>
      <w:r w:rsidR="00BB79DB" w:rsidRPr="006C5859">
        <w:t xml:space="preserve"> </w:t>
      </w:r>
      <w:r w:rsidR="00286ED4" w:rsidRPr="006C5859">
        <w:t xml:space="preserve">13463-8:2003: </w:t>
      </w:r>
      <w:r w:rsidR="00BB79DB" w:rsidRPr="006C5859">
        <w:t>„</w:t>
      </w:r>
      <w:r w:rsidR="00286ED4" w:rsidRPr="006C5859">
        <w:t>Nicht-elektrische Geräte für den Einsatz in explosionsgefährdeten Bereichen</w:t>
      </w:r>
      <w:r w:rsidR="00BB79DB" w:rsidRPr="006C5859">
        <w:t xml:space="preserve"> –</w:t>
      </w:r>
      <w:r w:rsidR="00286ED4" w:rsidRPr="006C5859">
        <w:t xml:space="preserve"> Teil</w:t>
      </w:r>
      <w:r w:rsidR="00BB79DB" w:rsidRPr="006C5859">
        <w:t xml:space="preserve"> </w:t>
      </w:r>
      <w:r w:rsidR="00286ED4" w:rsidRPr="006C5859">
        <w:t>8: Schutz durch Flüssigkeitskapselung</w:t>
      </w:r>
      <w:r w:rsidR="00BB79DB" w:rsidRPr="006C5859">
        <w:t xml:space="preserve"> </w:t>
      </w:r>
      <w:r w:rsidR="00B3129B">
        <w:t>„</w:t>
      </w:r>
      <w:r w:rsidR="00286ED4" w:rsidRPr="006C5859">
        <w:t>k</w:t>
      </w:r>
      <w:r w:rsidR="00B3129B">
        <w:t>“</w:t>
      </w:r>
      <w:r w:rsidR="00BB79DB" w:rsidRPr="006C5859">
        <w:t>“.</w:t>
      </w:r>
    </w:p>
    <w:p w14:paraId="17D3A0E5"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pPr>
    </w:p>
    <w:p w14:paraId="2CD026B1" w14:textId="1CB77404"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71.</w:t>
      </w:r>
      <w:r>
        <w:tab/>
      </w:r>
      <w:r w:rsidR="00286ED4" w:rsidRPr="006C5859">
        <w:t>ISO</w:t>
      </w:r>
      <w:r w:rsidR="00BB79DB" w:rsidRPr="006C5859">
        <w:t xml:space="preserve"> </w:t>
      </w:r>
      <w:r w:rsidR="00286ED4" w:rsidRPr="006C5859">
        <w:t xml:space="preserve">80079-37:2016: </w:t>
      </w:r>
      <w:r w:rsidR="00BB79DB" w:rsidRPr="006C5859">
        <w:t>„</w:t>
      </w:r>
      <w:r w:rsidR="00286ED4" w:rsidRPr="006C5859">
        <w:t xml:space="preserve">Explosionsfähige Atmosphären - Teil 37: Nicht-elektrische Geräte für den Einsatz in explosionsfähigen Atmosphären - Schutz durch konstruktive Sicherheit </w:t>
      </w:r>
      <w:r w:rsidR="00307DE5">
        <w:t>„</w:t>
      </w:r>
      <w:r w:rsidR="00286ED4" w:rsidRPr="006C5859">
        <w:t>c</w:t>
      </w:r>
      <w:r w:rsidR="00307DE5">
        <w:t>“</w:t>
      </w:r>
      <w:r w:rsidR="00286ED4" w:rsidRPr="006C5859">
        <w:t xml:space="preserve">, Zündquellenüberwachung </w:t>
      </w:r>
      <w:r w:rsidR="00307DE5">
        <w:t>„</w:t>
      </w:r>
      <w:r w:rsidR="00286ED4" w:rsidRPr="006C5859">
        <w:t>b</w:t>
      </w:r>
      <w:r w:rsidR="00307DE5">
        <w:t>“</w:t>
      </w:r>
      <w:r w:rsidR="00286ED4" w:rsidRPr="006C5859">
        <w:t xml:space="preserve">, Flüssigkeitskapselung </w:t>
      </w:r>
      <w:r w:rsidR="00307DE5">
        <w:t>„</w:t>
      </w:r>
      <w:r w:rsidR="00286ED4" w:rsidRPr="006C5859">
        <w:t>k</w:t>
      </w:r>
      <w:r w:rsidR="00307DE5">
        <w:t>“</w:t>
      </w:r>
      <w:r w:rsidR="00BB79DB" w:rsidRPr="006C5859">
        <w:t>“.</w:t>
      </w:r>
    </w:p>
    <w:p w14:paraId="4869224D"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rPr>
          <w:i/>
        </w:rPr>
      </w:pPr>
    </w:p>
    <w:p w14:paraId="0455C130" w14:textId="3C94759F" w:rsidR="00286ED4" w:rsidRPr="006C5859" w:rsidRDefault="00132B64" w:rsidP="00132B64">
      <w:pPr>
        <w:widowControl/>
        <w:tabs>
          <w:tab w:val="left" w:pos="1134"/>
        </w:tabs>
        <w:overflowPunct/>
        <w:autoSpaceDE/>
        <w:autoSpaceDN/>
        <w:adjustRightInd/>
        <w:spacing w:line="240" w:lineRule="atLeast"/>
        <w:ind w:left="567" w:firstLine="0"/>
        <w:contextualSpacing/>
        <w:textAlignment w:val="auto"/>
      </w:pPr>
      <w:r>
        <w:t>7</w:t>
      </w:r>
      <w:r w:rsidR="003F6274">
        <w:t>2</w:t>
      </w:r>
      <w:r>
        <w:t>.</w:t>
      </w:r>
      <w:r>
        <w:tab/>
      </w:r>
      <w:r w:rsidR="00286ED4" w:rsidRPr="006C5859">
        <w:t>Die bisher zitierte Normenreihe wurde zurückgezogen und durch die Reihe 80079 ersetzt, mit de</w:t>
      </w:r>
      <w:r w:rsidR="00AC0F12" w:rsidRPr="006C5859">
        <w:t>n</w:t>
      </w:r>
      <w:r w:rsidR="00286ED4" w:rsidRPr="006C5859">
        <w:t xml:space="preserve"> umfangreiche</w:t>
      </w:r>
      <w:r w:rsidR="00AC0F12" w:rsidRPr="006C5859">
        <w:t>n</w:t>
      </w:r>
      <w:r w:rsidR="00286ED4" w:rsidRPr="006C5859">
        <w:t xml:space="preserve"> inhaltliche</w:t>
      </w:r>
      <w:r w:rsidR="00AC0F12" w:rsidRPr="006C5859">
        <w:t>n</w:t>
      </w:r>
      <w:r w:rsidR="00286ED4" w:rsidRPr="006C5859">
        <w:t xml:space="preserve"> Änderungen vorgenommen wurden.</w:t>
      </w:r>
    </w:p>
    <w:p w14:paraId="68E1006A"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pPr>
    </w:p>
    <w:p w14:paraId="1AD9C245" w14:textId="602C6F12" w:rsidR="00286ED4" w:rsidRPr="006C5859" w:rsidRDefault="00132B64" w:rsidP="00132B64">
      <w:pPr>
        <w:tabs>
          <w:tab w:val="left" w:pos="567"/>
          <w:tab w:val="left" w:pos="1134"/>
        </w:tabs>
        <w:spacing w:line="240" w:lineRule="atLeast"/>
        <w:ind w:left="567" w:firstLine="0"/>
      </w:pPr>
      <w:r>
        <w:t>7</w:t>
      </w:r>
      <w:r w:rsidR="003F6274">
        <w:t>3</w:t>
      </w:r>
      <w:r>
        <w:t>.</w:t>
      </w:r>
      <w:r>
        <w:tab/>
      </w:r>
      <w:r w:rsidR="00286ED4" w:rsidRPr="006C5859">
        <w:t>Bauteile für Neubauten und Ersatzteile für bestehende Schiffe können nicht mehr nach der alten Normausgabe beschafft werden. Es ist kein Grund bekannt, warum die aktuelle Ausgabe nicht für das ADN geeignet sein könnte.</w:t>
      </w:r>
    </w:p>
    <w:p w14:paraId="2EFE89CA" w14:textId="77777777" w:rsidR="00286ED4" w:rsidRPr="006C5859" w:rsidRDefault="00286ED4" w:rsidP="00132B64">
      <w:pPr>
        <w:widowControl/>
        <w:tabs>
          <w:tab w:val="left" w:pos="1134"/>
        </w:tabs>
        <w:overflowPunct/>
        <w:autoSpaceDE/>
        <w:autoSpaceDN/>
        <w:adjustRightInd/>
        <w:spacing w:line="240" w:lineRule="atLeast"/>
        <w:ind w:left="567" w:firstLine="0"/>
        <w:contextualSpacing/>
        <w:textAlignment w:val="auto"/>
        <w:rPr>
          <w:i/>
        </w:rPr>
      </w:pPr>
    </w:p>
    <w:p w14:paraId="75F8D11D" w14:textId="63A3D846" w:rsidR="00286ED4" w:rsidRPr="006C5859" w:rsidRDefault="00132B64" w:rsidP="00132B64">
      <w:pPr>
        <w:tabs>
          <w:tab w:val="left" w:pos="567"/>
          <w:tab w:val="left" w:pos="1134"/>
        </w:tabs>
        <w:spacing w:line="240" w:lineRule="atLeast"/>
        <w:ind w:left="567" w:firstLine="0"/>
      </w:pPr>
      <w:r>
        <w:t>7</w:t>
      </w:r>
      <w:r w:rsidR="003F6274">
        <w:t>4</w:t>
      </w:r>
      <w:r>
        <w:t>.</w:t>
      </w:r>
      <w:r>
        <w:tab/>
      </w:r>
      <w:r w:rsidR="00286ED4" w:rsidRPr="006C5859">
        <w:t xml:space="preserve">Die Verbesserung bei den Buchstabencodes erfolgt in Übereinstimmung mit dem aktuell gültigen IEC Standard. </w:t>
      </w:r>
    </w:p>
    <w:p w14:paraId="657B315B" w14:textId="77777777" w:rsidR="00286ED4" w:rsidRPr="006C5859" w:rsidRDefault="00286ED4" w:rsidP="00132B64">
      <w:pPr>
        <w:tabs>
          <w:tab w:val="left" w:pos="567"/>
          <w:tab w:val="left" w:pos="1134"/>
        </w:tabs>
        <w:spacing w:line="240" w:lineRule="atLeast"/>
        <w:ind w:left="567" w:firstLine="0"/>
      </w:pPr>
    </w:p>
    <w:p w14:paraId="42215895" w14:textId="2002A658" w:rsidR="00F010AD" w:rsidRPr="003F6274" w:rsidRDefault="00132B64" w:rsidP="00132B64">
      <w:pPr>
        <w:tabs>
          <w:tab w:val="left" w:pos="567"/>
          <w:tab w:val="left" w:pos="1134"/>
        </w:tabs>
        <w:spacing w:line="240" w:lineRule="atLeast"/>
        <w:ind w:left="567" w:firstLine="0"/>
      </w:pPr>
      <w:r w:rsidRPr="003F6274">
        <w:t>7</w:t>
      </w:r>
      <w:r w:rsidR="003F6274">
        <w:t>5</w:t>
      </w:r>
      <w:r w:rsidR="003F6274" w:rsidRPr="003F6274">
        <w:t>.</w:t>
      </w:r>
      <w:r w:rsidR="003F6274" w:rsidRPr="003F6274">
        <w:tab/>
      </w:r>
      <w:r w:rsidR="00F010AD" w:rsidRPr="003F6274">
        <w:t>Deutschland bittet den Sicherheitsausschuss, über eine angemessene Übergangsvorschrift zu beraten.</w:t>
      </w:r>
    </w:p>
    <w:p w14:paraId="145034E2" w14:textId="77777777" w:rsidR="00576571" w:rsidRPr="006C5859" w:rsidRDefault="00576571" w:rsidP="000A72C7">
      <w:pPr>
        <w:tabs>
          <w:tab w:val="left" w:pos="567"/>
        </w:tabs>
        <w:spacing w:line="240" w:lineRule="atLeast"/>
        <w:ind w:left="0" w:firstLine="0"/>
      </w:pPr>
    </w:p>
    <w:p w14:paraId="607D5BCF" w14:textId="77777777" w:rsidR="00D168FC" w:rsidRPr="006C5859" w:rsidRDefault="00D168FC" w:rsidP="000A72C7">
      <w:pPr>
        <w:tabs>
          <w:tab w:val="left" w:pos="567"/>
        </w:tabs>
        <w:spacing w:line="240" w:lineRule="atLeast"/>
        <w:ind w:left="0" w:firstLine="0"/>
      </w:pPr>
    </w:p>
    <w:p w14:paraId="0A3E8D1C" w14:textId="739C8444" w:rsidR="00286ED4" w:rsidRPr="006C5859" w:rsidRDefault="003F6274" w:rsidP="000A72C7">
      <w:pPr>
        <w:tabs>
          <w:tab w:val="left" w:pos="567"/>
        </w:tabs>
        <w:spacing w:line="240" w:lineRule="atLeast"/>
        <w:ind w:left="426" w:hanging="426"/>
        <w:rPr>
          <w:b/>
          <w:bCs/>
        </w:rPr>
      </w:pPr>
      <w:r>
        <w:rPr>
          <w:b/>
          <w:bCs/>
        </w:rPr>
        <w:t>2</w:t>
      </w:r>
      <w:r w:rsidR="00286ED4" w:rsidRPr="006C5859">
        <w:rPr>
          <w:b/>
          <w:bCs/>
        </w:rPr>
        <w:t>.</w:t>
      </w:r>
      <w:r w:rsidR="00286ED4" w:rsidRPr="006C5859">
        <w:rPr>
          <w:b/>
          <w:bCs/>
        </w:rPr>
        <w:tab/>
        <w:t>In Unterabschnitt 3.2.4.2 Antragsvordruck für Ausnahmegenehmigungen nach Abschnitt 1.5.2</w:t>
      </w:r>
    </w:p>
    <w:p w14:paraId="1CB81403" w14:textId="77777777" w:rsidR="00286ED4" w:rsidRPr="006C5859" w:rsidRDefault="00286ED4" w:rsidP="000A72C7">
      <w:pPr>
        <w:tabs>
          <w:tab w:val="left" w:pos="567"/>
        </w:tabs>
        <w:spacing w:line="240" w:lineRule="atLeast"/>
        <w:ind w:left="0" w:firstLine="0"/>
        <w:rPr>
          <w:b/>
        </w:rPr>
      </w:pPr>
    </w:p>
    <w:p w14:paraId="5CE46A57" w14:textId="15CBBD48" w:rsidR="00286ED4" w:rsidRPr="003F6274" w:rsidRDefault="00286ED4" w:rsidP="000A72C7">
      <w:pPr>
        <w:tabs>
          <w:tab w:val="left" w:pos="567"/>
        </w:tabs>
        <w:spacing w:line="240" w:lineRule="atLeast"/>
        <w:ind w:left="0" w:firstLine="0"/>
        <w:rPr>
          <w:b/>
        </w:rPr>
      </w:pPr>
      <w:r w:rsidRPr="003F6274">
        <w:rPr>
          <w:b/>
        </w:rPr>
        <w:t>a)</w:t>
      </w:r>
      <w:r w:rsidR="00B20810" w:rsidRPr="003F6274">
        <w:rPr>
          <w:b/>
        </w:rPr>
        <w:tab/>
      </w:r>
      <w:r w:rsidRPr="003F6274">
        <w:rPr>
          <w:b/>
        </w:rPr>
        <w:t xml:space="preserve">unter 2.12 </w:t>
      </w:r>
      <w:r w:rsidR="0075000E">
        <w:rPr>
          <w:b/>
        </w:rPr>
        <w:t>„</w:t>
      </w:r>
      <w:r w:rsidRPr="003F6274">
        <w:rPr>
          <w:b/>
        </w:rPr>
        <w:t>Auslaufzeit</w:t>
      </w:r>
      <w:r w:rsidR="0075000E">
        <w:rPr>
          <w:b/>
        </w:rPr>
        <w:t>“</w:t>
      </w:r>
    </w:p>
    <w:p w14:paraId="41D06EBC" w14:textId="77777777" w:rsidR="00286ED4" w:rsidRPr="006C5859" w:rsidRDefault="00286ED4" w:rsidP="000A72C7">
      <w:pPr>
        <w:tabs>
          <w:tab w:val="left" w:pos="567"/>
        </w:tabs>
        <w:spacing w:line="240" w:lineRule="atLeast"/>
        <w:ind w:left="0" w:firstLine="0"/>
      </w:pPr>
    </w:p>
    <w:p w14:paraId="7435080C" w14:textId="77777777" w:rsidR="00286ED4" w:rsidRPr="003F6274" w:rsidRDefault="00286ED4" w:rsidP="003F6274">
      <w:pPr>
        <w:tabs>
          <w:tab w:val="left" w:pos="567"/>
        </w:tabs>
        <w:spacing w:line="240" w:lineRule="atLeast"/>
        <w:ind w:left="567" w:firstLine="0"/>
        <w:rPr>
          <w:i/>
          <w:iCs/>
        </w:rPr>
      </w:pPr>
      <w:r w:rsidRPr="003F6274">
        <w:rPr>
          <w:i/>
          <w:iCs/>
        </w:rPr>
        <w:t xml:space="preserve">das Zitat „ISO 2431-1996“ durch „ISO 2431:2019“ ersetzen. </w:t>
      </w:r>
    </w:p>
    <w:p w14:paraId="3182A7D3" w14:textId="77777777" w:rsidR="00286ED4" w:rsidRPr="006C5859" w:rsidRDefault="00286ED4" w:rsidP="003F6274">
      <w:pPr>
        <w:tabs>
          <w:tab w:val="left" w:pos="567"/>
        </w:tabs>
        <w:spacing w:line="240" w:lineRule="atLeast"/>
        <w:ind w:left="567" w:firstLine="0"/>
      </w:pPr>
    </w:p>
    <w:p w14:paraId="7C6D200B" w14:textId="4C180204" w:rsidR="00286ED4" w:rsidRPr="003F6274" w:rsidRDefault="003F6274" w:rsidP="003F6274">
      <w:pPr>
        <w:tabs>
          <w:tab w:val="left" w:pos="567"/>
          <w:tab w:val="left" w:pos="1134"/>
        </w:tabs>
        <w:spacing w:line="240" w:lineRule="atLeast"/>
        <w:ind w:left="567" w:firstLine="0"/>
      </w:pPr>
      <w:r w:rsidRPr="003F6274">
        <w:t>76.</w:t>
      </w:r>
      <w:r w:rsidRPr="003F6274">
        <w:tab/>
      </w:r>
      <w:r w:rsidR="00286ED4" w:rsidRPr="003F6274">
        <w:t>Normtitel: „Beschichtungsstoffe - Bestimmung der Auslaufzeit mit Auslaufbechern“</w:t>
      </w:r>
      <w:r w:rsidR="00BB79DB" w:rsidRPr="003F6274">
        <w:t>.</w:t>
      </w:r>
    </w:p>
    <w:p w14:paraId="01733066" w14:textId="77777777" w:rsidR="00286ED4" w:rsidRPr="003F6274" w:rsidRDefault="00286ED4" w:rsidP="003F6274">
      <w:pPr>
        <w:tabs>
          <w:tab w:val="left" w:pos="567"/>
          <w:tab w:val="left" w:pos="1134"/>
        </w:tabs>
        <w:spacing w:line="240" w:lineRule="atLeast"/>
        <w:ind w:left="567" w:firstLine="0"/>
      </w:pPr>
    </w:p>
    <w:p w14:paraId="3B1469D5" w14:textId="264475EE" w:rsidR="00286ED4" w:rsidRPr="003F6274" w:rsidRDefault="003F6274" w:rsidP="003F6274">
      <w:pPr>
        <w:tabs>
          <w:tab w:val="left" w:pos="567"/>
          <w:tab w:val="left" w:pos="1134"/>
        </w:tabs>
        <w:spacing w:line="240" w:lineRule="atLeast"/>
        <w:ind w:left="567" w:firstLine="0"/>
      </w:pPr>
      <w:r w:rsidRPr="003F6274">
        <w:t>77.</w:t>
      </w:r>
      <w:r w:rsidRPr="003F6274">
        <w:tab/>
      </w:r>
      <w:r w:rsidR="00286ED4" w:rsidRPr="003F6274">
        <w:t>Die Änderung ist erforderlich, weil die Norm inzwischen schon in der übernächsten Ausgabe erschienen ist.</w:t>
      </w:r>
    </w:p>
    <w:p w14:paraId="2B6CF784" w14:textId="77777777" w:rsidR="003F6274" w:rsidRPr="003F6274" w:rsidRDefault="003F6274" w:rsidP="003F6274">
      <w:pPr>
        <w:tabs>
          <w:tab w:val="left" w:pos="567"/>
          <w:tab w:val="left" w:pos="1134"/>
        </w:tabs>
        <w:spacing w:line="240" w:lineRule="atLeast"/>
        <w:ind w:left="567" w:firstLine="0"/>
      </w:pPr>
    </w:p>
    <w:p w14:paraId="192CF3BD" w14:textId="35FCD1AB" w:rsidR="00286ED4" w:rsidRPr="003F6274" w:rsidRDefault="003F6274" w:rsidP="003F6274">
      <w:pPr>
        <w:tabs>
          <w:tab w:val="left" w:pos="567"/>
          <w:tab w:val="left" w:pos="1134"/>
        </w:tabs>
        <w:spacing w:line="240" w:lineRule="atLeast"/>
        <w:ind w:left="567" w:firstLine="0"/>
      </w:pPr>
      <w:r w:rsidRPr="003F6274">
        <w:t>78.</w:t>
      </w:r>
      <w:r w:rsidRPr="003F6274">
        <w:tab/>
      </w:r>
      <w:r w:rsidR="00286ED4" w:rsidRPr="003F6274">
        <w:t>Es gab inhaltliche Änderungen insbesondere zur allgemeine</w:t>
      </w:r>
      <w:r w:rsidR="00BB79DB" w:rsidRPr="003F6274">
        <w:t>n</w:t>
      </w:r>
      <w:r w:rsidR="00286ED4" w:rsidRPr="003F6274">
        <w:t xml:space="preserve"> Verweisung auf ISO 4618 über Begriffe, einen Hinweis auf die Messung bei anderen Temperaturen und Feuchten als die in dieser Norm festgelegten und zu Angaben zur Durchführung von Messungen in einem Laborabzug.</w:t>
      </w:r>
    </w:p>
    <w:p w14:paraId="6C8F530E" w14:textId="77777777" w:rsidR="00286ED4" w:rsidRPr="003F6274" w:rsidRDefault="00286ED4" w:rsidP="003F6274">
      <w:pPr>
        <w:tabs>
          <w:tab w:val="left" w:pos="567"/>
          <w:tab w:val="left" w:pos="1134"/>
        </w:tabs>
        <w:spacing w:line="240" w:lineRule="atLeast"/>
        <w:ind w:left="567" w:firstLine="0"/>
      </w:pPr>
    </w:p>
    <w:p w14:paraId="51721F2B" w14:textId="65603740" w:rsidR="00286ED4" w:rsidRPr="003F6274" w:rsidRDefault="003F6274" w:rsidP="003F6274">
      <w:pPr>
        <w:tabs>
          <w:tab w:val="left" w:pos="567"/>
          <w:tab w:val="left" w:pos="1134"/>
        </w:tabs>
        <w:spacing w:line="240" w:lineRule="atLeast"/>
        <w:ind w:left="567" w:firstLine="0"/>
      </w:pPr>
      <w:r w:rsidRPr="003F6274">
        <w:t>79.</w:t>
      </w:r>
      <w:r w:rsidRPr="003F6274">
        <w:tab/>
      </w:r>
      <w:r w:rsidR="00286ED4" w:rsidRPr="003F6274">
        <w:t>Testungen nach der alten Norm sind in Laboren nicht mehr zu erwarten. Es ist kein Grund bekannt, warum die aktuelle Ausgabe nicht für das ADN geeignet sein könnte.</w:t>
      </w:r>
    </w:p>
    <w:p w14:paraId="5B71B4AF" w14:textId="77777777" w:rsidR="005528D8" w:rsidRPr="003F6274" w:rsidRDefault="005528D8" w:rsidP="003F6274">
      <w:pPr>
        <w:tabs>
          <w:tab w:val="left" w:pos="567"/>
          <w:tab w:val="left" w:pos="1134"/>
        </w:tabs>
        <w:spacing w:line="240" w:lineRule="atLeast"/>
        <w:ind w:left="567" w:firstLine="0"/>
      </w:pPr>
    </w:p>
    <w:p w14:paraId="25A5B52D" w14:textId="016ACE95" w:rsidR="00576571" w:rsidRPr="003F6274" w:rsidRDefault="003F6274" w:rsidP="003F6274">
      <w:pPr>
        <w:tabs>
          <w:tab w:val="left" w:pos="567"/>
          <w:tab w:val="left" w:pos="1134"/>
        </w:tabs>
        <w:spacing w:line="240" w:lineRule="atLeast"/>
        <w:ind w:left="567" w:firstLine="0"/>
      </w:pPr>
      <w:r w:rsidRPr="003F6274">
        <w:t>80.</w:t>
      </w:r>
      <w:r w:rsidRPr="003F6274">
        <w:tab/>
      </w:r>
      <w:r w:rsidR="00576571" w:rsidRPr="003F6274">
        <w:t>Eine Übergangsvorschrift ist nicht erforderlich, weil es sich um mit vertretbarem Aufwand umzustellende Prüfverfahren handelt und keine Bau- oder Betriebsvorschriften für Schiffe verändert werden.</w:t>
      </w:r>
    </w:p>
    <w:p w14:paraId="61243D50" w14:textId="77777777" w:rsidR="00576571" w:rsidRPr="003F6274" w:rsidRDefault="00576571" w:rsidP="003F6274">
      <w:pPr>
        <w:tabs>
          <w:tab w:val="left" w:pos="567"/>
          <w:tab w:val="left" w:pos="1134"/>
        </w:tabs>
        <w:spacing w:line="240" w:lineRule="atLeast"/>
        <w:ind w:left="567" w:firstLine="0"/>
      </w:pPr>
    </w:p>
    <w:p w14:paraId="46510838" w14:textId="77777777" w:rsidR="00576571" w:rsidRPr="006C5859" w:rsidRDefault="00576571" w:rsidP="003F6274">
      <w:pPr>
        <w:tabs>
          <w:tab w:val="left" w:pos="567"/>
        </w:tabs>
        <w:spacing w:line="240" w:lineRule="atLeast"/>
        <w:ind w:left="567" w:firstLine="0"/>
      </w:pPr>
    </w:p>
    <w:p w14:paraId="2DB5243C" w14:textId="3E8091D2" w:rsidR="00286ED4" w:rsidRPr="003F6274" w:rsidRDefault="00286ED4" w:rsidP="000A72C7">
      <w:pPr>
        <w:tabs>
          <w:tab w:val="left" w:pos="567"/>
        </w:tabs>
        <w:spacing w:line="240" w:lineRule="atLeast"/>
        <w:ind w:left="0" w:firstLine="0"/>
        <w:rPr>
          <w:b/>
        </w:rPr>
      </w:pPr>
      <w:r w:rsidRPr="003F6274">
        <w:rPr>
          <w:b/>
        </w:rPr>
        <w:t>b)</w:t>
      </w:r>
      <w:r w:rsidR="00B20810" w:rsidRPr="003F6274">
        <w:rPr>
          <w:b/>
        </w:rPr>
        <w:tab/>
      </w:r>
      <w:r w:rsidRPr="003F6274">
        <w:rPr>
          <w:b/>
        </w:rPr>
        <w:t xml:space="preserve">unter 3.2 </w:t>
      </w:r>
      <w:r w:rsidR="0075000E">
        <w:rPr>
          <w:b/>
        </w:rPr>
        <w:t>„</w:t>
      </w:r>
      <w:r w:rsidRPr="003F6274">
        <w:rPr>
          <w:b/>
        </w:rPr>
        <w:t>Flammpunkt</w:t>
      </w:r>
      <w:r w:rsidR="0075000E">
        <w:rPr>
          <w:b/>
        </w:rPr>
        <w:t>“</w:t>
      </w:r>
    </w:p>
    <w:p w14:paraId="193BEE1C" w14:textId="77777777" w:rsidR="00286ED4" w:rsidRPr="006C5859" w:rsidRDefault="00286ED4" w:rsidP="000A72C7">
      <w:pPr>
        <w:tabs>
          <w:tab w:val="left" w:pos="567"/>
        </w:tabs>
        <w:spacing w:line="240" w:lineRule="atLeast"/>
        <w:ind w:left="0" w:firstLine="0"/>
        <w:rPr>
          <w:b/>
        </w:rPr>
      </w:pPr>
    </w:p>
    <w:p w14:paraId="2B2A799F" w14:textId="62447702" w:rsidR="00286ED4" w:rsidRPr="003F6274" w:rsidRDefault="00286ED4" w:rsidP="003F6274">
      <w:pPr>
        <w:pStyle w:val="Paragraphedeliste"/>
        <w:numPr>
          <w:ilvl w:val="0"/>
          <w:numId w:val="11"/>
        </w:numPr>
        <w:tabs>
          <w:tab w:val="left" w:pos="567"/>
          <w:tab w:val="left" w:pos="1134"/>
        </w:tabs>
        <w:spacing w:line="240" w:lineRule="atLeast"/>
        <w:ind w:left="567" w:firstLine="0"/>
        <w:rPr>
          <w:i/>
          <w:iCs/>
        </w:rPr>
      </w:pPr>
      <w:r w:rsidRPr="003F6274">
        <w:rPr>
          <w:i/>
          <w:iCs/>
        </w:rPr>
        <w:t>das Zitat „DIN 51755-1:1974“ durch „DIN 51755:1974-03“ ersetzen;</w:t>
      </w:r>
    </w:p>
    <w:p w14:paraId="17888D40" w14:textId="77777777" w:rsidR="00286ED4" w:rsidRPr="006C5859" w:rsidRDefault="00286ED4" w:rsidP="003F6274">
      <w:pPr>
        <w:tabs>
          <w:tab w:val="left" w:pos="567"/>
          <w:tab w:val="left" w:pos="1134"/>
        </w:tabs>
        <w:spacing w:line="240" w:lineRule="atLeast"/>
        <w:ind w:left="567" w:firstLine="0"/>
      </w:pPr>
    </w:p>
    <w:p w14:paraId="6C9F8479" w14:textId="36DD15EB" w:rsidR="00286ED4" w:rsidRPr="006C5859" w:rsidRDefault="003F6274" w:rsidP="003F6274">
      <w:pPr>
        <w:tabs>
          <w:tab w:val="left" w:pos="567"/>
          <w:tab w:val="left" w:pos="1134"/>
        </w:tabs>
        <w:spacing w:line="240" w:lineRule="atLeast"/>
        <w:ind w:left="567" w:firstLine="0"/>
      </w:pPr>
      <w:r>
        <w:t>81.</w:t>
      </w:r>
      <w:r>
        <w:tab/>
      </w:r>
      <w:r w:rsidR="00286ED4" w:rsidRPr="006C5859">
        <w:t>Normtitel: „Prüfung von Mineralölen und anderen brennbaren Flüssigkeiten; Bestimmung des Flammpunktes im geschlossenen Tiegel, nach Abel-Pensky“.</w:t>
      </w:r>
    </w:p>
    <w:p w14:paraId="3EAA06F3" w14:textId="77777777" w:rsidR="00286ED4" w:rsidRPr="006C5859" w:rsidRDefault="00286ED4" w:rsidP="003F6274">
      <w:pPr>
        <w:tabs>
          <w:tab w:val="left" w:pos="567"/>
          <w:tab w:val="left" w:pos="1134"/>
        </w:tabs>
        <w:spacing w:line="240" w:lineRule="atLeast"/>
        <w:ind w:left="567" w:firstLine="0"/>
      </w:pPr>
    </w:p>
    <w:p w14:paraId="1BD96ED2" w14:textId="13B790B9" w:rsidR="00286ED4" w:rsidRPr="006C5859" w:rsidRDefault="003F6274" w:rsidP="003F6274">
      <w:pPr>
        <w:widowControl/>
        <w:tabs>
          <w:tab w:val="left" w:pos="1134"/>
        </w:tabs>
        <w:overflowPunct/>
        <w:autoSpaceDE/>
        <w:autoSpaceDN/>
        <w:adjustRightInd/>
        <w:spacing w:line="240" w:lineRule="atLeast"/>
        <w:ind w:left="567" w:firstLine="0"/>
        <w:contextualSpacing/>
        <w:textAlignment w:val="auto"/>
      </w:pPr>
      <w:r>
        <w:t>82.</w:t>
      </w:r>
      <w:r>
        <w:tab/>
      </w:r>
      <w:r w:rsidR="00286ED4" w:rsidRPr="006C5859">
        <w:t>Es handelt sich um eine redaktionelle Berichtigung in der Bezeichnung der Norm.</w:t>
      </w:r>
    </w:p>
    <w:p w14:paraId="7F7D4042" w14:textId="77777777" w:rsidR="00286ED4" w:rsidRPr="006C5859" w:rsidRDefault="00286ED4" w:rsidP="003F6274">
      <w:pPr>
        <w:widowControl/>
        <w:overflowPunct/>
        <w:autoSpaceDE/>
        <w:autoSpaceDN/>
        <w:adjustRightInd/>
        <w:spacing w:line="240" w:lineRule="atLeast"/>
        <w:ind w:left="567" w:firstLine="0"/>
        <w:contextualSpacing/>
        <w:textAlignment w:val="auto"/>
      </w:pPr>
    </w:p>
    <w:p w14:paraId="0317193E" w14:textId="0075A22B" w:rsidR="00286ED4" w:rsidRDefault="003F6274" w:rsidP="003F6274">
      <w:pPr>
        <w:widowControl/>
        <w:overflowPunct/>
        <w:autoSpaceDE/>
        <w:autoSpaceDN/>
        <w:adjustRightInd/>
        <w:spacing w:line="240" w:lineRule="atLeast"/>
        <w:ind w:left="567" w:firstLine="0"/>
        <w:contextualSpacing/>
        <w:textAlignment w:val="auto"/>
      </w:pPr>
      <w:r>
        <w:t>83.</w:t>
      </w:r>
      <w:r>
        <w:tab/>
      </w:r>
      <w:r w:rsidR="00286ED4" w:rsidRPr="006C5859">
        <w:t>Im ADN wird fast ausschließlich auf international verfügbare Normen (ISO, EN) verwiesen, die in allen Vertragsparteien geläufig sind und angewendet werden können.</w:t>
      </w:r>
    </w:p>
    <w:p w14:paraId="3BDAF296" w14:textId="77777777" w:rsidR="003F6274" w:rsidRPr="006C5859" w:rsidRDefault="003F6274" w:rsidP="003F6274">
      <w:pPr>
        <w:widowControl/>
        <w:overflowPunct/>
        <w:autoSpaceDE/>
        <w:autoSpaceDN/>
        <w:adjustRightInd/>
        <w:spacing w:line="240" w:lineRule="atLeast"/>
        <w:ind w:left="567" w:firstLine="0"/>
        <w:contextualSpacing/>
        <w:textAlignment w:val="auto"/>
      </w:pPr>
    </w:p>
    <w:p w14:paraId="28301D57" w14:textId="291541B0" w:rsidR="00286ED4" w:rsidRPr="003F6274" w:rsidRDefault="003F6274" w:rsidP="003F6274">
      <w:pPr>
        <w:widowControl/>
        <w:tabs>
          <w:tab w:val="left" w:pos="1134"/>
        </w:tabs>
        <w:overflowPunct/>
        <w:autoSpaceDE/>
        <w:autoSpaceDN/>
        <w:adjustRightInd/>
        <w:spacing w:line="240" w:lineRule="atLeast"/>
        <w:ind w:left="567" w:firstLine="0"/>
        <w:contextualSpacing/>
        <w:textAlignment w:val="auto"/>
      </w:pPr>
      <w:r w:rsidRPr="003F6274">
        <w:t>84.</w:t>
      </w:r>
      <w:r w:rsidRPr="003F6274">
        <w:tab/>
      </w:r>
      <w:r w:rsidR="00286ED4" w:rsidRPr="003F6274">
        <w:t>Hier wird eine rein deutsche DIN-Norm für anwendbar erklärt. Leider ist der deutschen Delegation keine internationale Norm bekannt, die diesen Anwendungsbereich abdeckt. Die informelle Arbeitsgruppe Stoffe könnte gebeten werden, den Ersatz durch eine Internationale Norm zu prüfen.</w:t>
      </w:r>
    </w:p>
    <w:p w14:paraId="58E266D3" w14:textId="77777777" w:rsidR="00286ED4" w:rsidRPr="003F6274" w:rsidRDefault="00286ED4" w:rsidP="003F6274">
      <w:pPr>
        <w:widowControl/>
        <w:tabs>
          <w:tab w:val="left" w:pos="1134"/>
        </w:tabs>
        <w:overflowPunct/>
        <w:autoSpaceDE/>
        <w:autoSpaceDN/>
        <w:adjustRightInd/>
        <w:spacing w:line="240" w:lineRule="atLeast"/>
        <w:ind w:left="567" w:firstLine="0"/>
        <w:contextualSpacing/>
        <w:textAlignment w:val="auto"/>
      </w:pPr>
    </w:p>
    <w:p w14:paraId="008FA3CB" w14:textId="04F1EBE8" w:rsidR="00576571" w:rsidRPr="003F6274" w:rsidRDefault="003F6274" w:rsidP="003F6274">
      <w:pPr>
        <w:tabs>
          <w:tab w:val="left" w:pos="567"/>
          <w:tab w:val="left" w:pos="1134"/>
        </w:tabs>
        <w:spacing w:line="240" w:lineRule="atLeast"/>
        <w:ind w:left="567" w:firstLine="0"/>
      </w:pPr>
      <w:r w:rsidRPr="003F6274">
        <w:t>85.</w:t>
      </w:r>
      <w:r w:rsidRPr="003F6274">
        <w:tab/>
      </w:r>
      <w:r w:rsidR="00576571" w:rsidRPr="003F6274">
        <w:t>Eine Übergangsvorschrift ist nicht erforderlich, weil es sich um mit vertretbarem Aufwand umzustellende Prüfverfahren handelt und keine Bau- oder Betriebsvorschriften für Schiffe verändert werden.</w:t>
      </w:r>
    </w:p>
    <w:p w14:paraId="218B4EE2" w14:textId="77777777" w:rsidR="00576571" w:rsidRPr="006C5859" w:rsidRDefault="00576571" w:rsidP="003F6274">
      <w:pPr>
        <w:tabs>
          <w:tab w:val="left" w:pos="567"/>
        </w:tabs>
        <w:spacing w:line="240" w:lineRule="atLeast"/>
        <w:ind w:left="567" w:firstLine="0"/>
      </w:pPr>
    </w:p>
    <w:p w14:paraId="4575D6D8" w14:textId="3D4B7EED" w:rsidR="00286ED4" w:rsidRPr="003F6274" w:rsidRDefault="00286ED4" w:rsidP="003F6274">
      <w:pPr>
        <w:pStyle w:val="Paragraphedeliste"/>
        <w:widowControl/>
        <w:numPr>
          <w:ilvl w:val="0"/>
          <w:numId w:val="10"/>
        </w:numPr>
        <w:tabs>
          <w:tab w:val="left" w:pos="1134"/>
        </w:tabs>
        <w:overflowPunct/>
        <w:autoSpaceDE/>
        <w:autoSpaceDN/>
        <w:adjustRightInd/>
        <w:spacing w:line="240" w:lineRule="atLeast"/>
        <w:ind w:left="567" w:firstLine="0"/>
        <w:textAlignment w:val="auto"/>
        <w:rPr>
          <w:i/>
          <w:iCs/>
        </w:rPr>
      </w:pPr>
      <w:r w:rsidRPr="003F6274">
        <w:rPr>
          <w:i/>
          <w:iCs/>
        </w:rPr>
        <w:t>Nicht geprüft werden konnte, ob die französische Norm „NF M T60-103:1968“ noch gültig ist.</w:t>
      </w:r>
    </w:p>
    <w:p w14:paraId="1016BB5C" w14:textId="77777777" w:rsidR="00AC0F12" w:rsidRPr="003F6274" w:rsidRDefault="00AC0F12" w:rsidP="003F6274">
      <w:pPr>
        <w:tabs>
          <w:tab w:val="left" w:pos="567"/>
          <w:tab w:val="left" w:pos="1134"/>
        </w:tabs>
        <w:spacing w:line="240" w:lineRule="atLeast"/>
        <w:ind w:left="567" w:firstLine="0"/>
        <w:rPr>
          <w:i/>
          <w:iCs/>
        </w:rPr>
      </w:pPr>
    </w:p>
    <w:p w14:paraId="090B1429" w14:textId="79BB2A35" w:rsidR="00286ED4" w:rsidRPr="003F6274" w:rsidRDefault="00286ED4" w:rsidP="003F6274">
      <w:pPr>
        <w:pStyle w:val="Paragraphedeliste"/>
        <w:numPr>
          <w:ilvl w:val="0"/>
          <w:numId w:val="10"/>
        </w:numPr>
        <w:tabs>
          <w:tab w:val="left" w:pos="567"/>
          <w:tab w:val="left" w:pos="1134"/>
        </w:tabs>
        <w:spacing w:line="240" w:lineRule="atLeast"/>
        <w:ind w:left="567" w:firstLine="0"/>
        <w:rPr>
          <w:i/>
          <w:iCs/>
        </w:rPr>
      </w:pPr>
      <w:r w:rsidRPr="003F6274">
        <w:rPr>
          <w:i/>
          <w:iCs/>
        </w:rPr>
        <w:t>das Zitat „EN ISO 3679:2004“ durch „ISO 3679:2015“ ersetzen.</w:t>
      </w:r>
    </w:p>
    <w:p w14:paraId="091130C1" w14:textId="77777777" w:rsidR="00286ED4" w:rsidRPr="006C5859" w:rsidRDefault="00286ED4" w:rsidP="000A72C7">
      <w:pPr>
        <w:tabs>
          <w:tab w:val="left" w:pos="567"/>
        </w:tabs>
        <w:spacing w:line="240" w:lineRule="atLeast"/>
        <w:ind w:left="567" w:firstLine="0"/>
      </w:pPr>
    </w:p>
    <w:p w14:paraId="73881701" w14:textId="10368ED7" w:rsidR="00286ED4" w:rsidRPr="006C5859" w:rsidRDefault="003F6274" w:rsidP="003F6274">
      <w:pPr>
        <w:widowControl/>
        <w:tabs>
          <w:tab w:val="left" w:pos="1134"/>
        </w:tabs>
        <w:overflowPunct/>
        <w:autoSpaceDE/>
        <w:autoSpaceDN/>
        <w:adjustRightInd/>
        <w:spacing w:line="240" w:lineRule="atLeast"/>
        <w:ind w:left="567" w:firstLine="0"/>
        <w:contextualSpacing/>
        <w:textAlignment w:val="auto"/>
      </w:pPr>
      <w:r>
        <w:t>86.</w:t>
      </w:r>
      <w:r>
        <w:tab/>
      </w:r>
      <w:r w:rsidR="00286ED4" w:rsidRPr="006C5859">
        <w:t>Normtitel: „Bestimmung des Flammpunktes mit dem Ja/Nein-Verfahren - Nach dem schnellen Gleichgewichtsverfahren mit geschlossenem Tiegel“.</w:t>
      </w:r>
    </w:p>
    <w:p w14:paraId="46E778B9" w14:textId="77777777" w:rsidR="00286ED4" w:rsidRPr="006C5859" w:rsidRDefault="00286ED4" w:rsidP="003F6274">
      <w:pPr>
        <w:widowControl/>
        <w:tabs>
          <w:tab w:val="left" w:pos="1134"/>
        </w:tabs>
        <w:overflowPunct/>
        <w:autoSpaceDE/>
        <w:autoSpaceDN/>
        <w:adjustRightInd/>
        <w:spacing w:line="240" w:lineRule="atLeast"/>
        <w:ind w:left="567" w:firstLine="0"/>
        <w:contextualSpacing/>
        <w:textAlignment w:val="auto"/>
      </w:pPr>
    </w:p>
    <w:p w14:paraId="390F38AF" w14:textId="0C54BBB3" w:rsidR="00286ED4" w:rsidRPr="006C5859" w:rsidRDefault="003F6274" w:rsidP="003F6274">
      <w:pPr>
        <w:widowControl/>
        <w:tabs>
          <w:tab w:val="left" w:pos="1134"/>
        </w:tabs>
        <w:overflowPunct/>
        <w:autoSpaceDE/>
        <w:autoSpaceDN/>
        <w:adjustRightInd/>
        <w:spacing w:line="240" w:lineRule="atLeast"/>
        <w:ind w:left="567" w:firstLine="0"/>
        <w:contextualSpacing/>
        <w:textAlignment w:val="auto"/>
      </w:pPr>
      <w:r>
        <w:t>87.</w:t>
      </w:r>
      <w:r>
        <w:tab/>
      </w:r>
      <w:r w:rsidR="00286ED4" w:rsidRPr="006C5859">
        <w:t xml:space="preserve">Gegenüber EN ISO 3679:2004 wurden folgende Änderungen vorgenommen: Änderung des Titels; Überarbeitung der Anforderungen an Temperaturmessgeräte; Einführung </w:t>
      </w:r>
      <w:proofErr w:type="gramStart"/>
      <w:r w:rsidR="00286ED4" w:rsidRPr="006C5859">
        <w:t>des Verfahrens nach</w:t>
      </w:r>
      <w:proofErr w:type="gramEnd"/>
      <w:r w:rsidR="00286ED4" w:rsidRPr="006C5859">
        <w:t xml:space="preserve"> ISO 3680 in das Ja/Nein-Verfahren als separates Verfahren; neue Präzisionswerte, die sowohl Gas- als auch elektrische Zündung abdecken.</w:t>
      </w:r>
    </w:p>
    <w:p w14:paraId="17FE657F" w14:textId="77777777" w:rsidR="00286ED4" w:rsidRPr="006C5859" w:rsidRDefault="00286ED4" w:rsidP="003F6274">
      <w:pPr>
        <w:widowControl/>
        <w:tabs>
          <w:tab w:val="left" w:pos="1134"/>
        </w:tabs>
        <w:overflowPunct/>
        <w:autoSpaceDE/>
        <w:autoSpaceDN/>
        <w:adjustRightInd/>
        <w:spacing w:line="240" w:lineRule="atLeast"/>
        <w:ind w:left="567"/>
        <w:contextualSpacing/>
        <w:textAlignment w:val="auto"/>
      </w:pPr>
    </w:p>
    <w:p w14:paraId="15887D66" w14:textId="522B19A0" w:rsidR="00286ED4" w:rsidRPr="006C5859" w:rsidRDefault="003F6274" w:rsidP="003F6274">
      <w:pPr>
        <w:tabs>
          <w:tab w:val="left" w:pos="567"/>
          <w:tab w:val="left" w:pos="1134"/>
        </w:tabs>
        <w:spacing w:line="240" w:lineRule="atLeast"/>
        <w:ind w:left="567" w:firstLine="0"/>
      </w:pPr>
      <w:r>
        <w:t>88.</w:t>
      </w:r>
      <w:r>
        <w:tab/>
      </w:r>
      <w:r w:rsidR="00286ED4" w:rsidRPr="006C5859">
        <w:t>Testungen nach der alten Norm sind in Laboren nicht mehr zu erwarten. Es ist kein Grund bekannt, warum die aktuelle Ausgabe nicht für das ADN geeignet sein könnte.</w:t>
      </w:r>
    </w:p>
    <w:p w14:paraId="303F77BD" w14:textId="77777777" w:rsidR="00286ED4" w:rsidRPr="006C5859" w:rsidRDefault="00286ED4" w:rsidP="003F6274">
      <w:pPr>
        <w:widowControl/>
        <w:tabs>
          <w:tab w:val="left" w:pos="1134"/>
        </w:tabs>
        <w:overflowPunct/>
        <w:autoSpaceDE/>
        <w:autoSpaceDN/>
        <w:adjustRightInd/>
        <w:spacing w:line="240" w:lineRule="atLeast"/>
        <w:ind w:left="567" w:firstLine="0"/>
        <w:contextualSpacing/>
        <w:textAlignment w:val="auto"/>
      </w:pPr>
    </w:p>
    <w:p w14:paraId="0DE164A8" w14:textId="5DC40636" w:rsidR="00576571" w:rsidRPr="003F6274" w:rsidRDefault="003F6274" w:rsidP="003F6274">
      <w:pPr>
        <w:tabs>
          <w:tab w:val="left" w:pos="567"/>
          <w:tab w:val="left" w:pos="1134"/>
        </w:tabs>
        <w:spacing w:line="240" w:lineRule="atLeast"/>
        <w:ind w:left="567" w:firstLine="0"/>
      </w:pPr>
      <w:r w:rsidRPr="003F6274">
        <w:t>89.</w:t>
      </w:r>
      <w:r w:rsidRPr="003F6274">
        <w:tab/>
      </w:r>
      <w:r w:rsidR="00576571" w:rsidRPr="003F6274">
        <w:t>Eine Übergangsvorschrift ist nicht erforderlich, weil es sich um mit vertretbarem Aufwand umzustellende Prüfverfahren handelt und keine Bau- oder Betriebsvorschriften für Schiffe verändert werden.</w:t>
      </w:r>
    </w:p>
    <w:p w14:paraId="7F449886" w14:textId="77777777" w:rsidR="00576571" w:rsidRPr="006C5859" w:rsidRDefault="00576571" w:rsidP="000A72C7">
      <w:pPr>
        <w:tabs>
          <w:tab w:val="left" w:pos="567"/>
        </w:tabs>
        <w:spacing w:line="240" w:lineRule="atLeast"/>
        <w:ind w:left="0" w:firstLine="0"/>
      </w:pPr>
    </w:p>
    <w:p w14:paraId="059C5966" w14:textId="2FD01349" w:rsidR="00286ED4" w:rsidRPr="003F6274" w:rsidRDefault="00286ED4" w:rsidP="00B20810">
      <w:pPr>
        <w:pStyle w:val="Paragraphedeliste"/>
        <w:numPr>
          <w:ilvl w:val="0"/>
          <w:numId w:val="10"/>
        </w:numPr>
        <w:tabs>
          <w:tab w:val="left" w:pos="567"/>
        </w:tabs>
        <w:spacing w:line="240" w:lineRule="atLeast"/>
        <w:rPr>
          <w:i/>
          <w:iCs/>
        </w:rPr>
      </w:pPr>
      <w:r w:rsidRPr="003F6274">
        <w:rPr>
          <w:i/>
          <w:iCs/>
        </w:rPr>
        <w:t>das Zitat „EN ISO 2592:2002“ durch „ISO 2592:2017“ ersetzen.</w:t>
      </w:r>
    </w:p>
    <w:p w14:paraId="5A1E5653" w14:textId="77777777" w:rsidR="00286ED4" w:rsidRPr="006C5859" w:rsidRDefault="00286ED4" w:rsidP="000A72C7">
      <w:pPr>
        <w:tabs>
          <w:tab w:val="left" w:pos="567"/>
        </w:tabs>
        <w:spacing w:line="240" w:lineRule="atLeast"/>
        <w:ind w:left="0" w:firstLine="0"/>
      </w:pPr>
    </w:p>
    <w:p w14:paraId="58E297CD" w14:textId="6108E181" w:rsidR="00286ED4" w:rsidRPr="006C5859" w:rsidRDefault="003F6274" w:rsidP="003F6274">
      <w:pPr>
        <w:tabs>
          <w:tab w:val="left" w:pos="567"/>
          <w:tab w:val="left" w:pos="1134"/>
        </w:tabs>
        <w:spacing w:line="240" w:lineRule="atLeast"/>
        <w:ind w:left="567" w:firstLine="0"/>
      </w:pPr>
      <w:r>
        <w:t>90.</w:t>
      </w:r>
      <w:r>
        <w:tab/>
      </w:r>
      <w:r w:rsidR="00286ED4" w:rsidRPr="006C5859">
        <w:t>Normtitel: „Mineralölerzeugnisse und verwandte Produkte - Bestimmung des Flamm- und Brennpunktes - Verfahren mit offenem Tiegel nach Cleveland“.</w:t>
      </w:r>
    </w:p>
    <w:p w14:paraId="530F71DA" w14:textId="526BCAB2" w:rsidR="00AC0F12" w:rsidRPr="006C5859" w:rsidRDefault="00AC0F12" w:rsidP="003F6274">
      <w:pPr>
        <w:widowControl/>
        <w:tabs>
          <w:tab w:val="left" w:pos="1134"/>
        </w:tabs>
        <w:overflowPunct/>
        <w:autoSpaceDE/>
        <w:autoSpaceDN/>
        <w:adjustRightInd/>
        <w:ind w:left="567" w:firstLine="0"/>
        <w:jc w:val="left"/>
        <w:textAlignment w:val="auto"/>
      </w:pPr>
    </w:p>
    <w:p w14:paraId="2EA3203C" w14:textId="725B8B87" w:rsidR="00286ED4" w:rsidRPr="006C5859" w:rsidRDefault="003F6274" w:rsidP="003F6274">
      <w:pPr>
        <w:tabs>
          <w:tab w:val="left" w:pos="567"/>
          <w:tab w:val="left" w:pos="1134"/>
        </w:tabs>
        <w:spacing w:line="240" w:lineRule="atLeast"/>
        <w:ind w:left="567" w:firstLine="0"/>
      </w:pPr>
      <w:r>
        <w:t>91.</w:t>
      </w:r>
      <w:r>
        <w:tab/>
      </w:r>
      <w:r w:rsidR="00286ED4" w:rsidRPr="006C5859">
        <w:t>Gegenüber ISO 2592:2002-09 wurden folgende Änderungen vorgenommen: Ergänzung des Anhangs D zu einem alternativen Verfahren der Handhabung von Produkten, die eine Haut bilden; Überarbeitung der Anforderungen an die Temperaturmesseinrichtung in Anhang B; Änderung der Vergleichbarkeit des Flammpunktes von 17 °C auf 18 °C zur Angleichung an ASTM D92 auf der Grundlage von aktuellen Werten für die Präzision; Aufnahme eines Verfahrens zur Bestimmung eines annähernden Flammpunktes einer Probe mit unbekanntem erwartetem Flammpunkt zur Angleichung an ASTM D92.</w:t>
      </w:r>
    </w:p>
    <w:p w14:paraId="43186E58" w14:textId="77777777" w:rsidR="00286ED4" w:rsidRPr="006C5859" w:rsidRDefault="00286ED4" w:rsidP="003F6274">
      <w:pPr>
        <w:tabs>
          <w:tab w:val="left" w:pos="567"/>
          <w:tab w:val="left" w:pos="1134"/>
        </w:tabs>
        <w:spacing w:line="240" w:lineRule="atLeast"/>
        <w:ind w:left="567" w:firstLine="0"/>
        <w:rPr>
          <w:highlight w:val="yellow"/>
        </w:rPr>
      </w:pPr>
    </w:p>
    <w:p w14:paraId="1B4E09ED" w14:textId="151C05EF" w:rsidR="00286ED4" w:rsidRPr="006C5859" w:rsidRDefault="003F6274" w:rsidP="003F6274">
      <w:pPr>
        <w:tabs>
          <w:tab w:val="left" w:pos="567"/>
          <w:tab w:val="left" w:pos="1134"/>
        </w:tabs>
        <w:spacing w:line="240" w:lineRule="atLeast"/>
        <w:ind w:left="567" w:firstLine="0"/>
      </w:pPr>
      <w:r>
        <w:t>92.</w:t>
      </w:r>
      <w:r>
        <w:tab/>
      </w:r>
      <w:r w:rsidR="00286ED4" w:rsidRPr="006C5859">
        <w:t>Testungen nach der alten Norm sind in Laboren nicht mehr zu erwarten. Es ist kein Grund bekannt, warum die aktuelle Ausgabe nicht für das ADN geeignet sein könnte.</w:t>
      </w:r>
    </w:p>
    <w:p w14:paraId="1BDF886A" w14:textId="77777777" w:rsidR="00286ED4" w:rsidRPr="006C5859" w:rsidRDefault="00286ED4" w:rsidP="003F6274">
      <w:pPr>
        <w:widowControl/>
        <w:tabs>
          <w:tab w:val="left" w:pos="1134"/>
        </w:tabs>
        <w:overflowPunct/>
        <w:autoSpaceDE/>
        <w:autoSpaceDN/>
        <w:adjustRightInd/>
        <w:spacing w:line="240" w:lineRule="atLeast"/>
        <w:ind w:left="567"/>
        <w:contextualSpacing/>
        <w:textAlignment w:val="auto"/>
      </w:pPr>
    </w:p>
    <w:p w14:paraId="698110A3" w14:textId="499659B7" w:rsidR="00576571" w:rsidRPr="003F6274" w:rsidRDefault="003F6274" w:rsidP="003F6274">
      <w:pPr>
        <w:tabs>
          <w:tab w:val="left" w:pos="567"/>
          <w:tab w:val="left" w:pos="1134"/>
        </w:tabs>
        <w:spacing w:line="240" w:lineRule="atLeast"/>
        <w:ind w:left="567" w:firstLine="0"/>
      </w:pPr>
      <w:r w:rsidRPr="003F6274">
        <w:t>93.</w:t>
      </w:r>
      <w:r w:rsidRPr="003F6274">
        <w:tab/>
      </w:r>
      <w:r w:rsidR="00576571" w:rsidRPr="003F6274">
        <w:t>Eine Übergangsvorschrift ist nicht erforderlich, weil es sich um mit vertretbarem Aufwand umzustellende Prüfverfahren handelt und keine Bau- oder Betriebsvorschriften für Schiffe verändert werden.</w:t>
      </w:r>
    </w:p>
    <w:p w14:paraId="17683E05" w14:textId="77777777" w:rsidR="00576571" w:rsidRPr="006C5859" w:rsidRDefault="00576571" w:rsidP="003F6274">
      <w:pPr>
        <w:tabs>
          <w:tab w:val="left" w:pos="567"/>
          <w:tab w:val="left" w:pos="1134"/>
        </w:tabs>
        <w:spacing w:line="240" w:lineRule="atLeast"/>
        <w:ind w:left="567" w:firstLine="0"/>
      </w:pPr>
    </w:p>
    <w:p w14:paraId="2A978298" w14:textId="0DE4ED89" w:rsidR="00286ED4" w:rsidRPr="003F6274" w:rsidRDefault="00286ED4" w:rsidP="003F6274">
      <w:pPr>
        <w:pStyle w:val="Paragraphedeliste"/>
        <w:numPr>
          <w:ilvl w:val="0"/>
          <w:numId w:val="10"/>
        </w:numPr>
        <w:tabs>
          <w:tab w:val="left" w:pos="1134"/>
        </w:tabs>
        <w:spacing w:line="240" w:lineRule="atLeast"/>
        <w:ind w:left="567" w:firstLine="0"/>
        <w:rPr>
          <w:i/>
          <w:iCs/>
        </w:rPr>
      </w:pPr>
      <w:r w:rsidRPr="003F6274">
        <w:rPr>
          <w:i/>
          <w:iCs/>
        </w:rPr>
        <w:t>Nicht geprüft werden konnte, ob die französische Norm „Luchaire-Gerät: französische Norm NF T60-103:1968“ noch gültig ist.</w:t>
      </w:r>
      <w:r w:rsidR="00C658C0" w:rsidRPr="003F6274">
        <w:rPr>
          <w:rStyle w:val="Appelnotedebasdep"/>
          <w:i/>
          <w:iCs/>
        </w:rPr>
        <w:footnoteReference w:id="3"/>
      </w:r>
    </w:p>
    <w:p w14:paraId="1179D118" w14:textId="77777777" w:rsidR="00286ED4" w:rsidRPr="003F6274" w:rsidRDefault="00286ED4" w:rsidP="000A72C7">
      <w:pPr>
        <w:tabs>
          <w:tab w:val="left" w:pos="567"/>
        </w:tabs>
        <w:spacing w:line="240" w:lineRule="atLeast"/>
        <w:ind w:left="0" w:firstLine="0"/>
        <w:rPr>
          <w:i/>
          <w:iCs/>
        </w:rPr>
      </w:pPr>
    </w:p>
    <w:p w14:paraId="7E053616" w14:textId="77777777" w:rsidR="00230580" w:rsidRPr="006C5859" w:rsidRDefault="00230580" w:rsidP="000A72C7">
      <w:pPr>
        <w:tabs>
          <w:tab w:val="left" w:pos="567"/>
        </w:tabs>
        <w:spacing w:line="240" w:lineRule="atLeast"/>
        <w:ind w:left="0" w:firstLine="0"/>
      </w:pPr>
    </w:p>
    <w:p w14:paraId="75D79B31" w14:textId="5E4254C8" w:rsidR="00286ED4" w:rsidRPr="003F6274" w:rsidRDefault="00286ED4" w:rsidP="000A72C7">
      <w:pPr>
        <w:tabs>
          <w:tab w:val="left" w:pos="567"/>
        </w:tabs>
        <w:spacing w:line="240" w:lineRule="atLeast"/>
        <w:ind w:left="0" w:firstLine="0"/>
        <w:rPr>
          <w:b/>
        </w:rPr>
      </w:pPr>
      <w:r w:rsidRPr="003F6274">
        <w:rPr>
          <w:b/>
        </w:rPr>
        <w:t>c)</w:t>
      </w:r>
      <w:r w:rsidR="003D7C67" w:rsidRPr="003F6274">
        <w:rPr>
          <w:b/>
        </w:rPr>
        <w:tab/>
      </w:r>
      <w:r w:rsidRPr="003F6274">
        <w:rPr>
          <w:b/>
        </w:rPr>
        <w:t xml:space="preserve">unter Ziffer 3.3 </w:t>
      </w:r>
      <w:r w:rsidR="0075000E">
        <w:rPr>
          <w:b/>
        </w:rPr>
        <w:t>„</w:t>
      </w:r>
      <w:r w:rsidRPr="003F6274">
        <w:rPr>
          <w:b/>
        </w:rPr>
        <w:t>Explosionsgrenzen</w:t>
      </w:r>
      <w:r w:rsidR="0075000E">
        <w:rPr>
          <w:b/>
        </w:rPr>
        <w:t>“</w:t>
      </w:r>
      <w:r w:rsidRPr="003F6274">
        <w:rPr>
          <w:b/>
        </w:rPr>
        <w:t xml:space="preserve"> (Zündgrenzen)</w:t>
      </w:r>
    </w:p>
    <w:p w14:paraId="6B698FEC" w14:textId="77777777" w:rsidR="00286ED4" w:rsidRPr="006C5859" w:rsidRDefault="00286ED4" w:rsidP="000A72C7">
      <w:pPr>
        <w:tabs>
          <w:tab w:val="left" w:pos="567"/>
        </w:tabs>
        <w:spacing w:line="240" w:lineRule="atLeast"/>
        <w:ind w:left="0" w:firstLine="0"/>
      </w:pPr>
    </w:p>
    <w:p w14:paraId="4BC34AF1" w14:textId="77777777" w:rsidR="00286ED4" w:rsidRPr="003F6274" w:rsidRDefault="00286ED4" w:rsidP="003F6274">
      <w:pPr>
        <w:tabs>
          <w:tab w:val="left" w:pos="567"/>
        </w:tabs>
        <w:spacing w:line="240" w:lineRule="atLeast"/>
        <w:ind w:left="567" w:firstLine="0"/>
        <w:rPr>
          <w:i/>
          <w:iCs/>
        </w:rPr>
      </w:pPr>
      <w:r w:rsidRPr="003F6274">
        <w:rPr>
          <w:i/>
          <w:iCs/>
        </w:rPr>
        <w:t>das Zitat „EN 1839:2012“ durch „EN 1839:2017“ ersetzen.</w:t>
      </w:r>
    </w:p>
    <w:p w14:paraId="1E1EE348" w14:textId="77777777" w:rsidR="00286ED4" w:rsidRPr="006C5859" w:rsidRDefault="00286ED4" w:rsidP="000A72C7">
      <w:pPr>
        <w:tabs>
          <w:tab w:val="left" w:pos="567"/>
        </w:tabs>
        <w:spacing w:line="240" w:lineRule="atLeast"/>
        <w:ind w:left="0" w:firstLine="0"/>
      </w:pPr>
    </w:p>
    <w:p w14:paraId="220211EE" w14:textId="0F11AF66" w:rsidR="00286ED4" w:rsidRPr="006C5859" w:rsidRDefault="003F6274" w:rsidP="003F6274">
      <w:pPr>
        <w:tabs>
          <w:tab w:val="left" w:pos="567"/>
          <w:tab w:val="left" w:pos="1134"/>
        </w:tabs>
        <w:spacing w:line="240" w:lineRule="atLeast"/>
        <w:ind w:left="567" w:firstLine="0"/>
      </w:pPr>
      <w:r>
        <w:t>94.</w:t>
      </w:r>
      <w:r>
        <w:tab/>
      </w:r>
      <w:r w:rsidR="00286ED4" w:rsidRPr="006C5859">
        <w:t>Normtitel: „Bestimmung der Explosionsgrenzen von Gasen und Dämpfen und Bestimmung der Sauerstoffgrenzkonzentration (SGK) für brennbare Gase und Dämpfe</w:t>
      </w:r>
      <w:bookmarkStart w:id="1" w:name="_Hlk84925700"/>
      <w:r w:rsidR="00286ED4" w:rsidRPr="006C5859">
        <w:t>“</w:t>
      </w:r>
      <w:bookmarkEnd w:id="1"/>
      <w:r w:rsidR="00286ED4" w:rsidRPr="006C5859">
        <w:t>.</w:t>
      </w:r>
    </w:p>
    <w:p w14:paraId="4476A9F5" w14:textId="77777777" w:rsidR="00286ED4" w:rsidRPr="006C5859" w:rsidRDefault="00286ED4" w:rsidP="003F6274">
      <w:pPr>
        <w:widowControl/>
        <w:tabs>
          <w:tab w:val="left" w:pos="1134"/>
        </w:tabs>
        <w:overflowPunct/>
        <w:autoSpaceDE/>
        <w:autoSpaceDN/>
        <w:adjustRightInd/>
        <w:spacing w:line="240" w:lineRule="atLeast"/>
        <w:ind w:left="567" w:firstLine="0"/>
        <w:contextualSpacing/>
        <w:textAlignment w:val="auto"/>
        <w:rPr>
          <w:i/>
        </w:rPr>
      </w:pPr>
    </w:p>
    <w:p w14:paraId="1762F552" w14:textId="6A39970B" w:rsidR="00286ED4" w:rsidRPr="006C5859" w:rsidRDefault="003F6274" w:rsidP="003F6274">
      <w:pPr>
        <w:tabs>
          <w:tab w:val="left" w:pos="567"/>
          <w:tab w:val="left" w:pos="1134"/>
        </w:tabs>
        <w:spacing w:line="240" w:lineRule="atLeast"/>
        <w:ind w:left="567" w:firstLine="0"/>
      </w:pPr>
      <w:r>
        <w:t>95.</w:t>
      </w:r>
      <w:r>
        <w:tab/>
      </w:r>
      <w:r w:rsidR="00286ED4" w:rsidRPr="006C5859">
        <w:t>Die zitierte Normausgabe ist veraltet. Die wesentliche Änderung besteht in der Ergänzung um die Festlegungen der DIN EN 14756:2007-02, d. h. Aufnahme des Verfahrens zur Bestimmung der Sauerstoffgrenzkonzentration für brennbare Gase und Dämpfe.</w:t>
      </w:r>
    </w:p>
    <w:p w14:paraId="4A6A120C" w14:textId="77777777" w:rsidR="00576571" w:rsidRPr="006C5859" w:rsidRDefault="00576571" w:rsidP="003F6274">
      <w:pPr>
        <w:tabs>
          <w:tab w:val="left" w:pos="567"/>
          <w:tab w:val="left" w:pos="1134"/>
        </w:tabs>
        <w:spacing w:line="240" w:lineRule="atLeast"/>
        <w:ind w:left="567" w:firstLine="0"/>
      </w:pPr>
    </w:p>
    <w:p w14:paraId="6243263B" w14:textId="6F1ADA55" w:rsidR="00576571" w:rsidRPr="006C5859" w:rsidRDefault="003F6274" w:rsidP="003F6274">
      <w:pPr>
        <w:tabs>
          <w:tab w:val="left" w:pos="567"/>
          <w:tab w:val="left" w:pos="1134"/>
        </w:tabs>
        <w:spacing w:line="240" w:lineRule="atLeast"/>
        <w:ind w:left="567" w:firstLine="0"/>
      </w:pPr>
      <w:r>
        <w:t>96.</w:t>
      </w:r>
      <w:r>
        <w:tab/>
      </w:r>
      <w:r w:rsidR="00576571" w:rsidRPr="006C5859">
        <w:t>Testungen nach der alten Norm sind in Laboren nicht mehr zu erwarten. Es ist kein Grund bekannt, warum die aktuelle Ausgabe nicht für das ADN geeignet sein könnte.</w:t>
      </w:r>
    </w:p>
    <w:p w14:paraId="451E9766" w14:textId="77777777" w:rsidR="00286ED4" w:rsidRPr="006C5859" w:rsidRDefault="00286ED4" w:rsidP="003F6274">
      <w:pPr>
        <w:tabs>
          <w:tab w:val="left" w:pos="567"/>
          <w:tab w:val="left" w:pos="1134"/>
        </w:tabs>
        <w:spacing w:line="240" w:lineRule="atLeast"/>
        <w:ind w:left="567" w:firstLine="0"/>
      </w:pPr>
    </w:p>
    <w:p w14:paraId="758255A8" w14:textId="77777777" w:rsidR="000116F6" w:rsidRDefault="000116F6">
      <w:pPr>
        <w:widowControl/>
        <w:overflowPunct/>
        <w:autoSpaceDE/>
        <w:autoSpaceDN/>
        <w:adjustRightInd/>
        <w:ind w:left="0" w:firstLine="0"/>
        <w:jc w:val="left"/>
        <w:textAlignment w:val="auto"/>
      </w:pPr>
      <w:r>
        <w:br w:type="page"/>
      </w:r>
    </w:p>
    <w:p w14:paraId="41A30875" w14:textId="4D23E7D9" w:rsidR="00576571" w:rsidRPr="003F6274" w:rsidRDefault="003F6274" w:rsidP="003F6274">
      <w:pPr>
        <w:tabs>
          <w:tab w:val="left" w:pos="567"/>
          <w:tab w:val="left" w:pos="1134"/>
        </w:tabs>
        <w:spacing w:line="240" w:lineRule="atLeast"/>
        <w:ind w:left="567" w:firstLine="0"/>
      </w:pPr>
      <w:r w:rsidRPr="003F6274">
        <w:lastRenderedPageBreak/>
        <w:t>97.</w:t>
      </w:r>
      <w:r w:rsidRPr="003F6274">
        <w:tab/>
      </w:r>
      <w:r w:rsidR="00576571" w:rsidRPr="003F6274">
        <w:t>Eine Übergangsvorschrift ist nicht erforderlich, weil es sich um mit vertretbarem Aufwand umzustellende Prüfverfahren handelt und keine Bau- oder Betriebsvorschriften für Schiffe verändert werden.</w:t>
      </w:r>
    </w:p>
    <w:p w14:paraId="75AD56D8" w14:textId="77777777" w:rsidR="001F3ED9" w:rsidRPr="006C5859" w:rsidRDefault="001F3ED9" w:rsidP="000A72C7">
      <w:pPr>
        <w:tabs>
          <w:tab w:val="left" w:pos="567"/>
        </w:tabs>
        <w:spacing w:line="240" w:lineRule="atLeast"/>
        <w:ind w:left="0" w:firstLine="0"/>
      </w:pPr>
    </w:p>
    <w:p w14:paraId="57430D1D" w14:textId="2CEDF7B1" w:rsidR="006C5859" w:rsidRDefault="006C5859">
      <w:pPr>
        <w:widowControl/>
        <w:overflowPunct/>
        <w:autoSpaceDE/>
        <w:autoSpaceDN/>
        <w:adjustRightInd/>
        <w:ind w:left="0" w:firstLine="0"/>
        <w:jc w:val="left"/>
        <w:textAlignment w:val="auto"/>
      </w:pPr>
    </w:p>
    <w:p w14:paraId="457E45AA" w14:textId="5F26E4EE" w:rsidR="00286ED4" w:rsidRPr="00B20810" w:rsidRDefault="002E476F" w:rsidP="000A72C7">
      <w:pPr>
        <w:tabs>
          <w:tab w:val="left" w:pos="567"/>
        </w:tabs>
        <w:spacing w:line="240" w:lineRule="atLeast"/>
        <w:ind w:left="0" w:firstLine="0"/>
        <w:rPr>
          <w:b/>
          <w:bCs/>
        </w:rPr>
      </w:pPr>
      <w:r>
        <w:rPr>
          <w:b/>
          <w:bCs/>
        </w:rPr>
        <w:t>3</w:t>
      </w:r>
      <w:r w:rsidR="00286ED4" w:rsidRPr="00B20810">
        <w:rPr>
          <w:b/>
          <w:bCs/>
        </w:rPr>
        <w:t>.</w:t>
      </w:r>
      <w:r w:rsidR="00286ED4" w:rsidRPr="00B20810">
        <w:rPr>
          <w:b/>
          <w:bCs/>
        </w:rPr>
        <w:tab/>
        <w:t>In Unterabschnitt 8.1.6.2 (Prüfung und Untersuchung der Ausrüstung)</w:t>
      </w:r>
    </w:p>
    <w:p w14:paraId="184358B0" w14:textId="77777777" w:rsidR="00286ED4" w:rsidRPr="006C5859" w:rsidRDefault="00286ED4" w:rsidP="000A72C7">
      <w:pPr>
        <w:tabs>
          <w:tab w:val="left" w:pos="567"/>
        </w:tabs>
        <w:spacing w:line="240" w:lineRule="atLeast"/>
        <w:ind w:left="0" w:firstLine="0"/>
        <w:rPr>
          <w:b/>
        </w:rPr>
      </w:pPr>
    </w:p>
    <w:p w14:paraId="6AAE07D0" w14:textId="5BB079ED" w:rsidR="00286ED4" w:rsidRPr="003F6274" w:rsidRDefault="00286ED4" w:rsidP="000A72C7">
      <w:pPr>
        <w:tabs>
          <w:tab w:val="left" w:pos="567"/>
        </w:tabs>
        <w:spacing w:line="240" w:lineRule="atLeast"/>
        <w:ind w:left="0" w:firstLine="0"/>
        <w:rPr>
          <w:b/>
        </w:rPr>
      </w:pPr>
      <w:r w:rsidRPr="003F6274">
        <w:rPr>
          <w:b/>
        </w:rPr>
        <w:t>a)</w:t>
      </w:r>
      <w:r w:rsidR="00B20810" w:rsidRPr="003F6274">
        <w:rPr>
          <w:b/>
        </w:rPr>
        <w:tab/>
      </w:r>
      <w:r w:rsidRPr="003F6274">
        <w:rPr>
          <w:b/>
        </w:rPr>
        <w:t>im 1. Satz</w:t>
      </w:r>
    </w:p>
    <w:p w14:paraId="316EB963" w14:textId="77777777" w:rsidR="00286ED4" w:rsidRPr="006C5859" w:rsidRDefault="00286ED4" w:rsidP="000A72C7">
      <w:pPr>
        <w:tabs>
          <w:tab w:val="left" w:pos="567"/>
        </w:tabs>
        <w:spacing w:line="240" w:lineRule="atLeast"/>
        <w:ind w:left="0" w:firstLine="0"/>
      </w:pPr>
    </w:p>
    <w:p w14:paraId="7FCAEA58" w14:textId="48DF242C" w:rsidR="00286ED4" w:rsidRPr="003F6274" w:rsidRDefault="00286ED4" w:rsidP="003F6274">
      <w:pPr>
        <w:pStyle w:val="Paragraphedeliste"/>
        <w:numPr>
          <w:ilvl w:val="0"/>
          <w:numId w:val="12"/>
        </w:numPr>
        <w:tabs>
          <w:tab w:val="left" w:pos="567"/>
          <w:tab w:val="left" w:pos="1134"/>
        </w:tabs>
        <w:spacing w:line="240" w:lineRule="atLeast"/>
        <w:ind w:left="1134" w:hanging="567"/>
        <w:rPr>
          <w:i/>
          <w:iCs/>
        </w:rPr>
      </w:pPr>
      <w:r w:rsidRPr="003F6274">
        <w:rPr>
          <w:i/>
          <w:iCs/>
        </w:rPr>
        <w:t>das Zitat „EN ISO 10380:2003-10“ durch „ISO 10380:2012“ ersetzen.</w:t>
      </w:r>
    </w:p>
    <w:p w14:paraId="268D3AF1" w14:textId="77777777" w:rsidR="00286ED4" w:rsidRPr="006C5859" w:rsidRDefault="00286ED4" w:rsidP="000A72C7">
      <w:pPr>
        <w:tabs>
          <w:tab w:val="left" w:pos="567"/>
        </w:tabs>
        <w:spacing w:line="240" w:lineRule="atLeast"/>
        <w:ind w:left="0" w:firstLine="0"/>
      </w:pPr>
    </w:p>
    <w:p w14:paraId="131AE487" w14:textId="56E54BF3" w:rsidR="00286ED4" w:rsidRPr="006C5859" w:rsidRDefault="003F43D4" w:rsidP="003F6274">
      <w:pPr>
        <w:tabs>
          <w:tab w:val="left" w:pos="567"/>
          <w:tab w:val="left" w:pos="1134"/>
        </w:tabs>
        <w:spacing w:line="240" w:lineRule="atLeast"/>
        <w:ind w:left="567" w:firstLine="0"/>
      </w:pPr>
      <w:r>
        <w:t>98.</w:t>
      </w:r>
      <w:r>
        <w:tab/>
      </w:r>
      <w:r w:rsidR="00286ED4" w:rsidRPr="006C5859">
        <w:t>Normtitel: „Rohrleitungen - Gewellte Metallschläuche und Metallschlauchleitungen“.</w:t>
      </w:r>
    </w:p>
    <w:p w14:paraId="09BDD2A2" w14:textId="77777777" w:rsidR="00286ED4" w:rsidRPr="006C5859" w:rsidRDefault="00286ED4" w:rsidP="003F6274">
      <w:pPr>
        <w:widowControl/>
        <w:tabs>
          <w:tab w:val="left" w:pos="1134"/>
        </w:tabs>
        <w:overflowPunct/>
        <w:autoSpaceDE/>
        <w:autoSpaceDN/>
        <w:adjustRightInd/>
        <w:spacing w:line="240" w:lineRule="atLeast"/>
        <w:ind w:left="567" w:firstLine="0"/>
        <w:contextualSpacing/>
        <w:textAlignment w:val="auto"/>
        <w:rPr>
          <w:i/>
        </w:rPr>
      </w:pPr>
    </w:p>
    <w:p w14:paraId="52463E2F" w14:textId="6332D11A" w:rsidR="00286ED4" w:rsidRPr="006C5859" w:rsidRDefault="003F43D4" w:rsidP="003F6274">
      <w:pPr>
        <w:tabs>
          <w:tab w:val="left" w:pos="567"/>
          <w:tab w:val="left" w:pos="1134"/>
        </w:tabs>
        <w:spacing w:line="240" w:lineRule="atLeast"/>
        <w:ind w:left="567" w:firstLine="0"/>
      </w:pPr>
      <w:r>
        <w:t>99.</w:t>
      </w:r>
      <w:r>
        <w:tab/>
      </w:r>
      <w:r w:rsidR="00286ED4" w:rsidRPr="006C5859">
        <w:t xml:space="preserve">Die zitierte Normausgabe ist veraltet. Es wurden folgende Änderungen vorgenommen: </w:t>
      </w:r>
    </w:p>
    <w:p w14:paraId="45693F48" w14:textId="67086158" w:rsidR="003F43D4" w:rsidRDefault="003F43D4" w:rsidP="003F43D4">
      <w:pPr>
        <w:tabs>
          <w:tab w:val="left" w:pos="567"/>
          <w:tab w:val="left" w:pos="1134"/>
        </w:tabs>
        <w:spacing w:before="60" w:line="240" w:lineRule="atLeast"/>
        <w:ind w:left="567" w:firstLine="0"/>
      </w:pPr>
      <w:r>
        <w:t>a)</w:t>
      </w:r>
      <w:r>
        <w:tab/>
      </w:r>
      <w:r w:rsidR="00286ED4" w:rsidRPr="006C5859">
        <w:t>Aktualisierung und Ergänzung der Normativen Verweisungen;</w:t>
      </w:r>
    </w:p>
    <w:p w14:paraId="2AEF817D" w14:textId="22347970" w:rsidR="003F43D4" w:rsidRDefault="003F43D4" w:rsidP="003F43D4">
      <w:pPr>
        <w:tabs>
          <w:tab w:val="left" w:pos="567"/>
          <w:tab w:val="left" w:pos="1134"/>
        </w:tabs>
        <w:spacing w:before="60" w:line="240" w:lineRule="atLeast"/>
        <w:ind w:left="567" w:firstLine="0"/>
      </w:pPr>
      <w:r>
        <w:t>b)</w:t>
      </w:r>
      <w:r>
        <w:tab/>
      </w:r>
      <w:r w:rsidR="00286ED4" w:rsidRPr="006C5859">
        <w:t>Aktualisierung des Normaufbaus, inklusive Bilder und Tabellen;</w:t>
      </w:r>
    </w:p>
    <w:p w14:paraId="6B366718" w14:textId="691CB0E5" w:rsidR="003F43D4" w:rsidRDefault="003F43D4" w:rsidP="003F43D4">
      <w:pPr>
        <w:tabs>
          <w:tab w:val="left" w:pos="567"/>
          <w:tab w:val="left" w:pos="1134"/>
        </w:tabs>
        <w:spacing w:before="60" w:line="240" w:lineRule="atLeast"/>
        <w:ind w:left="567" w:firstLine="0"/>
      </w:pPr>
      <w:r>
        <w:t>c)</w:t>
      </w:r>
      <w:r>
        <w:tab/>
      </w:r>
      <w:r w:rsidR="00286ED4" w:rsidRPr="006C5859">
        <w:t>Aktualisierung der Prüf- und Leistungsanforderungen an die gegenwärtige Industriepraxis;</w:t>
      </w:r>
    </w:p>
    <w:p w14:paraId="1613974C" w14:textId="3467A147" w:rsidR="003F43D4" w:rsidRDefault="003F43D4" w:rsidP="003F43D4">
      <w:pPr>
        <w:tabs>
          <w:tab w:val="left" w:pos="567"/>
          <w:tab w:val="left" w:pos="1134"/>
        </w:tabs>
        <w:spacing w:before="60" w:line="240" w:lineRule="atLeast"/>
        <w:ind w:left="567" w:firstLine="0"/>
      </w:pPr>
      <w:r>
        <w:t>d)</w:t>
      </w:r>
      <w:r>
        <w:tab/>
      </w:r>
      <w:r w:rsidR="00286ED4" w:rsidRPr="006C5859">
        <w:t>Einführung einer Konformitätsbewertung und eines Zertifizierungssystems;</w:t>
      </w:r>
    </w:p>
    <w:p w14:paraId="6BCC66CA" w14:textId="2D4B3A91" w:rsidR="00286ED4" w:rsidRPr="006C5859" w:rsidRDefault="003F43D4" w:rsidP="003F43D4">
      <w:pPr>
        <w:tabs>
          <w:tab w:val="left" w:pos="567"/>
          <w:tab w:val="left" w:pos="1134"/>
        </w:tabs>
        <w:spacing w:before="60" w:line="240" w:lineRule="atLeast"/>
        <w:ind w:left="567" w:firstLine="0"/>
      </w:pPr>
      <w:r>
        <w:t>e)</w:t>
      </w:r>
      <w:r>
        <w:tab/>
      </w:r>
      <w:r w:rsidR="00286ED4" w:rsidRPr="006C5859">
        <w:t>die Norm wurde redaktionell überarbeitet.</w:t>
      </w:r>
    </w:p>
    <w:p w14:paraId="1B904BCC" w14:textId="77777777" w:rsidR="00286ED4" w:rsidRPr="006C5859" w:rsidRDefault="00286ED4" w:rsidP="003F6274">
      <w:pPr>
        <w:tabs>
          <w:tab w:val="left" w:pos="567"/>
          <w:tab w:val="left" w:pos="1134"/>
        </w:tabs>
        <w:spacing w:line="240" w:lineRule="atLeast"/>
        <w:ind w:left="567" w:firstLine="0"/>
      </w:pPr>
    </w:p>
    <w:p w14:paraId="0B21FA2B" w14:textId="4DCBA1D1" w:rsidR="00AC1928" w:rsidRDefault="003F43D4" w:rsidP="003F6274">
      <w:pPr>
        <w:tabs>
          <w:tab w:val="left" w:pos="567"/>
          <w:tab w:val="left" w:pos="1134"/>
        </w:tabs>
        <w:spacing w:line="240" w:lineRule="atLeast"/>
        <w:ind w:left="567" w:firstLine="0"/>
      </w:pPr>
      <w:r>
        <w:t>100.</w:t>
      </w:r>
      <w:r>
        <w:tab/>
      </w:r>
      <w:r w:rsidR="00286ED4" w:rsidRPr="006C5859">
        <w:t>Rohrleitungen für Neubauten oder Ersatzteile für bestehende Schiffe können nicht mehr nach der alten Normausgabe beschafft werden. Es ist kein Grund bekannt, warum die aktuelle Ausgabe nicht für das ADN geeignet sein könnte.</w:t>
      </w:r>
    </w:p>
    <w:p w14:paraId="66624812" w14:textId="77777777" w:rsidR="006C5859" w:rsidRPr="006C5859" w:rsidRDefault="006C5859" w:rsidP="003F6274">
      <w:pPr>
        <w:tabs>
          <w:tab w:val="left" w:pos="567"/>
          <w:tab w:val="left" w:pos="1134"/>
        </w:tabs>
        <w:spacing w:line="240" w:lineRule="atLeast"/>
        <w:ind w:left="567" w:firstLine="0"/>
      </w:pPr>
    </w:p>
    <w:p w14:paraId="2533E256" w14:textId="465244F6" w:rsidR="00576571" w:rsidRPr="003F43D4" w:rsidRDefault="003F43D4" w:rsidP="003F6274">
      <w:pPr>
        <w:tabs>
          <w:tab w:val="left" w:pos="567"/>
          <w:tab w:val="left" w:pos="1134"/>
        </w:tabs>
        <w:spacing w:line="240" w:lineRule="atLeast"/>
        <w:ind w:left="567" w:firstLine="0"/>
      </w:pPr>
      <w:r w:rsidRPr="003F43D4">
        <w:t>101.</w:t>
      </w:r>
      <w:r w:rsidRPr="003F43D4">
        <w:tab/>
      </w:r>
      <w:r w:rsidR="00576571" w:rsidRPr="003F43D4">
        <w:t>In Absatz 1.6.7.2.2.2 Allgemeine Übergangsvorschriften: Tankschiffe die folgende neue Übergangsvorschrift einfügen:</w:t>
      </w:r>
    </w:p>
    <w:p w14:paraId="527EB7FC" w14:textId="77777777" w:rsidR="00576571" w:rsidRPr="006C5859" w:rsidRDefault="00576571" w:rsidP="000A72C7">
      <w:pPr>
        <w:tabs>
          <w:tab w:val="left" w:pos="567"/>
        </w:tabs>
        <w:spacing w:line="240" w:lineRule="atLeast"/>
        <w:ind w:left="0" w:firstLine="0"/>
        <w:rPr>
          <w:highlight w:val="yellow"/>
        </w:rPr>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230580" w:rsidRPr="006C5859" w14:paraId="3C3C9932" w14:textId="77777777" w:rsidTr="00E0183A">
        <w:trPr>
          <w:cantSplit/>
        </w:trPr>
        <w:tc>
          <w:tcPr>
            <w:tcW w:w="1207" w:type="dxa"/>
            <w:tcBorders>
              <w:top w:val="single" w:sz="6" w:space="0" w:color="auto"/>
              <w:left w:val="single" w:sz="6" w:space="0" w:color="auto"/>
              <w:bottom w:val="single" w:sz="6" w:space="0" w:color="auto"/>
              <w:right w:val="single" w:sz="6" w:space="0" w:color="auto"/>
            </w:tcBorders>
          </w:tcPr>
          <w:p w14:paraId="626527F8" w14:textId="77777777" w:rsidR="00230580" w:rsidRPr="006C5859" w:rsidRDefault="00230580" w:rsidP="000A72C7">
            <w:pPr>
              <w:pStyle w:val="N3"/>
              <w:tabs>
                <w:tab w:val="clear" w:pos="170"/>
              </w:tabs>
              <w:spacing w:before="60" w:after="60" w:line="240" w:lineRule="atLeast"/>
              <w:rPr>
                <w:rFonts w:ascii="Times New Roman" w:hAnsi="Times New Roman"/>
                <w:sz w:val="20"/>
                <w:lang w:val="de-DE"/>
              </w:rPr>
            </w:pPr>
            <w:r w:rsidRPr="006C5859">
              <w:rPr>
                <w:rFonts w:ascii="Times New Roman" w:hAnsi="Times New Roman"/>
                <w:sz w:val="20"/>
                <w:lang w:val="de-DE"/>
              </w:rPr>
              <w:t>8.1.6.2</w:t>
            </w:r>
          </w:p>
        </w:tc>
        <w:tc>
          <w:tcPr>
            <w:tcW w:w="2552" w:type="dxa"/>
            <w:tcBorders>
              <w:top w:val="single" w:sz="6" w:space="0" w:color="auto"/>
              <w:left w:val="single" w:sz="6" w:space="0" w:color="auto"/>
              <w:bottom w:val="single" w:sz="6" w:space="0" w:color="auto"/>
              <w:right w:val="single" w:sz="6" w:space="0" w:color="auto"/>
            </w:tcBorders>
          </w:tcPr>
          <w:p w14:paraId="5DBB44BC" w14:textId="77777777" w:rsidR="00230580" w:rsidRPr="006C5859" w:rsidRDefault="00230580" w:rsidP="000A72C7">
            <w:pPr>
              <w:tabs>
                <w:tab w:val="left" w:pos="567"/>
              </w:tabs>
              <w:spacing w:line="240" w:lineRule="atLeast"/>
              <w:ind w:left="0" w:firstLine="0"/>
            </w:pPr>
            <w:r w:rsidRPr="006C5859">
              <w:t>EN ISO 10380:2012</w:t>
            </w:r>
          </w:p>
        </w:tc>
        <w:tc>
          <w:tcPr>
            <w:tcW w:w="5355" w:type="dxa"/>
            <w:tcBorders>
              <w:top w:val="single" w:sz="6" w:space="0" w:color="auto"/>
              <w:left w:val="single" w:sz="6" w:space="0" w:color="auto"/>
              <w:bottom w:val="single" w:sz="6" w:space="0" w:color="auto"/>
              <w:right w:val="single" w:sz="6" w:space="0" w:color="auto"/>
            </w:tcBorders>
          </w:tcPr>
          <w:p w14:paraId="7448D2DC" w14:textId="77777777" w:rsidR="00230580" w:rsidRPr="006C5859" w:rsidRDefault="00230580" w:rsidP="001778DD">
            <w:pPr>
              <w:pStyle w:val="N3"/>
              <w:spacing w:before="60" w:after="60" w:line="240" w:lineRule="atLeast"/>
              <w:ind w:left="0" w:firstLine="0"/>
              <w:rPr>
                <w:rFonts w:ascii="Times New Roman" w:hAnsi="Times New Roman"/>
                <w:sz w:val="20"/>
                <w:lang w:val="de-DE"/>
              </w:rPr>
            </w:pPr>
            <w:r w:rsidRPr="006C5859">
              <w:rPr>
                <w:rFonts w:ascii="Times New Roman" w:hAnsi="Times New Roman"/>
                <w:sz w:val="20"/>
                <w:lang w:val="de-DE"/>
              </w:rPr>
              <w:t>N.E.U. ab 1. Januar 2023</w:t>
            </w:r>
          </w:p>
          <w:p w14:paraId="0A3C0947" w14:textId="319469A8" w:rsidR="00230580" w:rsidRPr="006C5859" w:rsidRDefault="00230580" w:rsidP="001778DD">
            <w:pPr>
              <w:pStyle w:val="N3"/>
              <w:tabs>
                <w:tab w:val="clear" w:pos="170"/>
              </w:tabs>
              <w:spacing w:before="60" w:after="60"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 nach dem 31.</w:t>
            </w:r>
            <w:r w:rsidR="00487C2C" w:rsidRPr="006C5859">
              <w:rPr>
                <w:rFonts w:ascii="Times New Roman" w:hAnsi="Times New Roman"/>
                <w:sz w:val="20"/>
                <w:lang w:val="de-DE"/>
              </w:rPr>
              <w:t xml:space="preserve"> </w:t>
            </w:r>
            <w:r w:rsidR="00487C2C" w:rsidRPr="006C5859">
              <w:rPr>
                <w:rFonts w:ascii="Times New Roman" w:hAnsi="Times New Roman"/>
                <w:sz w:val="20"/>
                <w:lang w:val="de-DE"/>
              </w:rPr>
              <w:t> </w:t>
            </w:r>
            <w:r w:rsidRPr="006C5859">
              <w:rPr>
                <w:rFonts w:ascii="Times New Roman" w:hAnsi="Times New Roman"/>
                <w:sz w:val="20"/>
                <w:lang w:val="de-DE"/>
              </w:rPr>
              <w:t>Dezember</w:t>
            </w:r>
            <w:r w:rsidR="00487C2C" w:rsidRPr="006C5859">
              <w:rPr>
                <w:rFonts w:ascii="Times New Roman" w:hAnsi="Times New Roman"/>
                <w:sz w:val="20"/>
                <w:lang w:val="de-DE"/>
              </w:rPr>
              <w:t> </w:t>
            </w:r>
            <w:r w:rsidRPr="006C5859">
              <w:rPr>
                <w:rFonts w:ascii="Times New Roman" w:hAnsi="Times New Roman"/>
                <w:sz w:val="20"/>
                <w:lang w:val="de-DE"/>
              </w:rPr>
              <w:t>202</w:t>
            </w:r>
            <w:r w:rsidR="00C50FF5" w:rsidRPr="006C5859">
              <w:rPr>
                <w:rFonts w:ascii="Times New Roman" w:hAnsi="Times New Roman"/>
                <w:sz w:val="20"/>
                <w:lang w:val="de-DE"/>
              </w:rPr>
              <w:t>6</w:t>
            </w:r>
          </w:p>
        </w:tc>
      </w:tr>
    </w:tbl>
    <w:p w14:paraId="7BCDFA0A" w14:textId="77777777" w:rsidR="00230580" w:rsidRPr="006C5859" w:rsidRDefault="00230580" w:rsidP="000A72C7">
      <w:pPr>
        <w:tabs>
          <w:tab w:val="left" w:pos="567"/>
        </w:tabs>
        <w:spacing w:line="240" w:lineRule="atLeast"/>
      </w:pPr>
    </w:p>
    <w:p w14:paraId="27FE3A89" w14:textId="28AEEBC3" w:rsidR="00576571" w:rsidRPr="006C5859" w:rsidRDefault="003F43D4" w:rsidP="003F43D4">
      <w:pPr>
        <w:tabs>
          <w:tab w:val="left" w:pos="567"/>
          <w:tab w:val="left" w:pos="1134"/>
        </w:tabs>
        <w:spacing w:line="240" w:lineRule="atLeast"/>
        <w:ind w:left="567" w:firstLine="0"/>
      </w:pPr>
      <w:r>
        <w:t>102.</w:t>
      </w:r>
      <w:r>
        <w:tab/>
      </w:r>
      <w:r w:rsidR="00576571" w:rsidRPr="006C5859">
        <w:t xml:space="preserve">Die Änderung der Norm enthält sicherheitstechnisch relevante Bestandteile. Deswegen ist Austausch der Schläuche und Schlauchleitungen erforderlich, um das bestmögliche Sicherheitsniveau zu erhalten. Ein Übergangszeitraum von </w:t>
      </w:r>
      <w:r w:rsidR="00A11CA1">
        <w:t>drei</w:t>
      </w:r>
      <w:r w:rsidR="00576571" w:rsidRPr="006C5859">
        <w:t xml:space="preserve"> bis </w:t>
      </w:r>
      <w:r w:rsidR="00A11CA1">
        <w:t>acht</w:t>
      </w:r>
      <w:r w:rsidR="00576571" w:rsidRPr="006C5859">
        <w:t xml:space="preserve"> Jahren, nachdem die Änderung beschlossen </w:t>
      </w:r>
      <w:proofErr w:type="gramStart"/>
      <w:r w:rsidR="00576571" w:rsidRPr="006C5859">
        <w:t>wird</w:t>
      </w:r>
      <w:proofErr w:type="gramEnd"/>
      <w:r w:rsidR="00576571" w:rsidRPr="006C5859">
        <w:t xml:space="preserve"> ist ausreichend um den erforderlichen Austausch zu organisieren.</w:t>
      </w:r>
    </w:p>
    <w:p w14:paraId="43C7F781" w14:textId="77777777" w:rsidR="00576571" w:rsidRPr="006C5859" w:rsidRDefault="00576571" w:rsidP="003F43D4">
      <w:pPr>
        <w:tabs>
          <w:tab w:val="left" w:pos="567"/>
          <w:tab w:val="left" w:pos="1134"/>
        </w:tabs>
        <w:spacing w:line="240" w:lineRule="atLeast"/>
        <w:ind w:left="567"/>
      </w:pPr>
    </w:p>
    <w:p w14:paraId="440D27E7" w14:textId="53B46F2D" w:rsidR="00286ED4" w:rsidRPr="003F43D4" w:rsidRDefault="00286ED4" w:rsidP="003F43D4">
      <w:pPr>
        <w:pStyle w:val="Paragraphedeliste"/>
        <w:numPr>
          <w:ilvl w:val="0"/>
          <w:numId w:val="12"/>
        </w:numPr>
        <w:tabs>
          <w:tab w:val="left" w:pos="567"/>
          <w:tab w:val="left" w:pos="1134"/>
        </w:tabs>
        <w:spacing w:line="240" w:lineRule="atLeast"/>
        <w:ind w:left="567" w:firstLine="0"/>
        <w:rPr>
          <w:i/>
          <w:iCs/>
        </w:rPr>
      </w:pPr>
      <w:r w:rsidRPr="003F43D4">
        <w:rPr>
          <w:i/>
          <w:iCs/>
        </w:rPr>
        <w:t>das Zitat „EN 13765:2010-08“ durch „ISO 13765:2018“ ersetzen.</w:t>
      </w:r>
    </w:p>
    <w:p w14:paraId="47C095B8" w14:textId="77777777" w:rsidR="00286ED4" w:rsidRPr="006C5859" w:rsidRDefault="00286ED4" w:rsidP="003F43D4">
      <w:pPr>
        <w:tabs>
          <w:tab w:val="left" w:pos="567"/>
          <w:tab w:val="left" w:pos="1134"/>
        </w:tabs>
        <w:spacing w:line="240" w:lineRule="atLeast"/>
        <w:ind w:left="567" w:firstLine="0"/>
      </w:pPr>
    </w:p>
    <w:p w14:paraId="423C94A7" w14:textId="1C207F15" w:rsidR="00286ED4" w:rsidRPr="006C5859" w:rsidRDefault="003F43D4" w:rsidP="003F43D4">
      <w:pPr>
        <w:tabs>
          <w:tab w:val="left" w:pos="567"/>
          <w:tab w:val="left" w:pos="1134"/>
        </w:tabs>
        <w:spacing w:line="240" w:lineRule="atLeast"/>
        <w:ind w:left="567" w:firstLine="0"/>
      </w:pPr>
      <w:r>
        <w:t>103.</w:t>
      </w:r>
      <w:r>
        <w:tab/>
      </w:r>
      <w:r w:rsidR="00286ED4" w:rsidRPr="006C5859">
        <w:t>Normtitel: „Thermoplastische, mehrlagige (nicht vulkanisierte) Schläuche und Schlauchleitungen für die Förderung von Kohlenwasserstoffen, Lösungsmitteln und Chemikalien – Spezifikation“.</w:t>
      </w:r>
    </w:p>
    <w:p w14:paraId="291F9838" w14:textId="77777777" w:rsidR="00286ED4" w:rsidRPr="006C5859" w:rsidRDefault="00286ED4" w:rsidP="003F43D4">
      <w:pPr>
        <w:tabs>
          <w:tab w:val="left" w:pos="567"/>
          <w:tab w:val="left" w:pos="1134"/>
        </w:tabs>
        <w:spacing w:line="240" w:lineRule="atLeast"/>
        <w:ind w:left="567" w:firstLine="0"/>
      </w:pPr>
    </w:p>
    <w:p w14:paraId="3C1F761C" w14:textId="1FBF58EE" w:rsidR="00286ED4" w:rsidRPr="006C5859" w:rsidRDefault="003F43D4" w:rsidP="003F43D4">
      <w:pPr>
        <w:tabs>
          <w:tab w:val="left" w:pos="567"/>
          <w:tab w:val="left" w:pos="1134"/>
        </w:tabs>
        <w:spacing w:line="240" w:lineRule="atLeast"/>
        <w:ind w:left="567" w:firstLine="0"/>
      </w:pPr>
      <w:r>
        <w:t>104.</w:t>
      </w:r>
      <w:r>
        <w:tab/>
      </w:r>
      <w:r w:rsidR="00286ED4" w:rsidRPr="006C5859">
        <w:t>Die zitierte Normausgabe ist veraltet, es gab schon eine vorhergehende Änderung im Jahr 2015. Für 2018 wurden umfangreiche inhaltliche Änderungen vorgenommen:</w:t>
      </w:r>
    </w:p>
    <w:p w14:paraId="7C4CFF86" w14:textId="12371B77" w:rsidR="003F43D4" w:rsidRDefault="004F7170" w:rsidP="004F7170">
      <w:pPr>
        <w:tabs>
          <w:tab w:val="left" w:pos="1134"/>
        </w:tabs>
        <w:spacing w:before="60" w:line="240" w:lineRule="atLeast"/>
        <w:ind w:hanging="567"/>
      </w:pPr>
      <w:r>
        <w:t>a)</w:t>
      </w:r>
      <w:r>
        <w:tab/>
      </w:r>
      <w:r w:rsidR="00286ED4" w:rsidRPr="006C5859">
        <w:t xml:space="preserve">Normative Verweisungen (Abschnitt 2) wurden aktualisiert; </w:t>
      </w:r>
    </w:p>
    <w:p w14:paraId="101BD3DA" w14:textId="20A23568" w:rsidR="003F43D4" w:rsidRDefault="004F7170" w:rsidP="004F7170">
      <w:pPr>
        <w:tabs>
          <w:tab w:val="left" w:pos="1134"/>
        </w:tabs>
        <w:spacing w:before="60" w:line="240" w:lineRule="atLeast"/>
        <w:ind w:hanging="567"/>
      </w:pPr>
      <w:r>
        <w:t>b</w:t>
      </w:r>
      <w:r w:rsidR="003F43D4">
        <w:t>)</w:t>
      </w:r>
      <w:r w:rsidR="003F43D4">
        <w:tab/>
      </w:r>
      <w:r w:rsidR="00286ED4" w:rsidRPr="006C5859">
        <w:t xml:space="preserve">es wurde hinzugefügt, dass niedrigere Mindes- und/oder höhere Maximal-Temperaturwerte in Rücksprache mit dem Hersteller möglich sind (Abschnitt 4); </w:t>
      </w:r>
    </w:p>
    <w:p w14:paraId="52D998CE" w14:textId="17AC1E3B" w:rsidR="003F43D4" w:rsidRDefault="004F7170" w:rsidP="004F7170">
      <w:pPr>
        <w:tabs>
          <w:tab w:val="left" w:pos="1134"/>
        </w:tabs>
        <w:spacing w:before="60" w:line="240" w:lineRule="atLeast"/>
        <w:ind w:hanging="567"/>
      </w:pPr>
      <w:r>
        <w:t>c</w:t>
      </w:r>
      <w:r w:rsidR="003F43D4">
        <w:t>)</w:t>
      </w:r>
      <w:r w:rsidR="003F43D4">
        <w:tab/>
      </w:r>
      <w:r w:rsidR="00286ED4" w:rsidRPr="006C5859">
        <w:t>die Anforderung zum elektrischen Durchgang zwischen den Endarmaturen (Abschnitt 7) wurde geändert;</w:t>
      </w:r>
    </w:p>
    <w:p w14:paraId="1154CF6E" w14:textId="27EA16F1" w:rsidR="003F43D4" w:rsidRDefault="004F7170" w:rsidP="004F7170">
      <w:pPr>
        <w:tabs>
          <w:tab w:val="left" w:pos="1134"/>
        </w:tabs>
        <w:spacing w:before="60" w:line="240" w:lineRule="atLeast"/>
        <w:ind w:hanging="567"/>
      </w:pPr>
      <w:r>
        <w:t>d</w:t>
      </w:r>
      <w:r w:rsidR="003F43D4">
        <w:t>)</w:t>
      </w:r>
      <w:r w:rsidR="003F43D4">
        <w:tab/>
      </w:r>
      <w:r w:rsidR="00286ED4" w:rsidRPr="006C5859">
        <w:t>die Kennzeichnung des Schlauchs und der Schlauchleitung (Abschnitt 10) wurde aktualisiert;</w:t>
      </w:r>
    </w:p>
    <w:p w14:paraId="123BCAEC" w14:textId="43C2EC25" w:rsidR="003F43D4" w:rsidRDefault="004F7170" w:rsidP="004F7170">
      <w:pPr>
        <w:tabs>
          <w:tab w:val="left" w:pos="1134"/>
        </w:tabs>
        <w:spacing w:before="60" w:line="240" w:lineRule="atLeast"/>
        <w:ind w:hanging="567"/>
      </w:pPr>
      <w:r>
        <w:t>e</w:t>
      </w:r>
      <w:r w:rsidR="003F43D4">
        <w:t>)</w:t>
      </w:r>
      <w:r w:rsidR="003F43D4">
        <w:tab/>
      </w:r>
      <w:r w:rsidR="00286ED4" w:rsidRPr="006C5859">
        <w:t>Grenzabweichungen für die Prüfkraft zur Prüfung der Scheiteldruckfestigkeit (Anhang D) wurden hinzugefügt;</w:t>
      </w:r>
    </w:p>
    <w:p w14:paraId="48589979" w14:textId="241D0877" w:rsidR="003F43D4" w:rsidRDefault="004F7170" w:rsidP="004F7170">
      <w:pPr>
        <w:tabs>
          <w:tab w:val="left" w:pos="1134"/>
        </w:tabs>
        <w:spacing w:before="60" w:line="240" w:lineRule="atLeast"/>
        <w:ind w:hanging="567"/>
      </w:pPr>
      <w:r>
        <w:t>f</w:t>
      </w:r>
      <w:r w:rsidR="003F43D4">
        <w:t>)</w:t>
      </w:r>
      <w:r w:rsidR="003F43D4">
        <w:tab/>
      </w:r>
      <w:r w:rsidR="00286ED4" w:rsidRPr="006C5859">
        <w:t>Anforderungen an die Reihenfolge der hydrostatischen Prüfungen (Anhang H) wurden hinzugefügt;</w:t>
      </w:r>
    </w:p>
    <w:p w14:paraId="719CF10F" w14:textId="08DA8F95" w:rsidR="003F43D4" w:rsidRDefault="004F7170" w:rsidP="004F7170">
      <w:pPr>
        <w:tabs>
          <w:tab w:val="left" w:pos="1134"/>
        </w:tabs>
        <w:spacing w:before="60" w:line="240" w:lineRule="atLeast"/>
        <w:ind w:hanging="567"/>
      </w:pPr>
      <w:r>
        <w:t>g</w:t>
      </w:r>
      <w:r w:rsidR="003F43D4">
        <w:t>)</w:t>
      </w:r>
      <w:r w:rsidR="003F43D4">
        <w:tab/>
      </w:r>
      <w:r w:rsidR="00286ED4" w:rsidRPr="006C5859">
        <w:t>Anforderungen an Typprüfungen und laufende Prüfungen (Anhang K) und Losprüfungen (Anhang L) für Schläuche und Schlauchleitungen wurden aktualisiert;</w:t>
      </w:r>
    </w:p>
    <w:p w14:paraId="1E02DAE1" w14:textId="4E504BFB" w:rsidR="00286ED4" w:rsidRPr="006C5859" w:rsidRDefault="004F7170" w:rsidP="004F7170">
      <w:pPr>
        <w:tabs>
          <w:tab w:val="left" w:pos="1134"/>
        </w:tabs>
        <w:spacing w:before="60" w:line="240" w:lineRule="atLeast"/>
        <w:ind w:hanging="567"/>
      </w:pPr>
      <w:r>
        <w:lastRenderedPageBreak/>
        <w:t>h)</w:t>
      </w:r>
      <w:r>
        <w:tab/>
      </w:r>
      <w:r w:rsidR="00286ED4" w:rsidRPr="006C5859">
        <w:t>es wurden Literaturhinweise hinzugefügt.</w:t>
      </w:r>
    </w:p>
    <w:p w14:paraId="6E93A0E2" w14:textId="77777777" w:rsidR="00286ED4" w:rsidRPr="006C5859" w:rsidRDefault="00286ED4" w:rsidP="003F43D4">
      <w:pPr>
        <w:tabs>
          <w:tab w:val="left" w:pos="567"/>
        </w:tabs>
        <w:spacing w:line="240" w:lineRule="atLeast"/>
        <w:ind w:left="567" w:firstLine="0"/>
      </w:pPr>
    </w:p>
    <w:p w14:paraId="308FF251" w14:textId="3683EE97" w:rsidR="00286ED4" w:rsidRPr="006C5859" w:rsidRDefault="004F7170" w:rsidP="003F43D4">
      <w:pPr>
        <w:widowControl/>
        <w:overflowPunct/>
        <w:autoSpaceDE/>
        <w:autoSpaceDN/>
        <w:adjustRightInd/>
        <w:spacing w:line="240" w:lineRule="atLeast"/>
        <w:ind w:left="567" w:firstLine="0"/>
        <w:contextualSpacing/>
        <w:textAlignment w:val="auto"/>
      </w:pPr>
      <w:r>
        <w:t>105.</w:t>
      </w:r>
      <w:r>
        <w:tab/>
      </w:r>
      <w:r w:rsidR="00286ED4" w:rsidRPr="006C5859">
        <w:t>Schläuche für Neubauten oder Ersatz für bestehende Schiffe können nicht mehr nach der alten Normausgabe beschafft werden. Es ist kein Grund bekannt, warum die aktuelle Ausgabe nicht für das ADN geeignet sein könnte.</w:t>
      </w:r>
    </w:p>
    <w:p w14:paraId="1D4FDCC7" w14:textId="77777777" w:rsidR="00286ED4" w:rsidRPr="006C5859" w:rsidRDefault="00286ED4" w:rsidP="003F43D4">
      <w:pPr>
        <w:tabs>
          <w:tab w:val="left" w:pos="567"/>
        </w:tabs>
        <w:spacing w:line="240" w:lineRule="atLeast"/>
        <w:ind w:left="567" w:firstLine="0"/>
        <w:rPr>
          <w:highlight w:val="yellow"/>
        </w:rPr>
      </w:pPr>
    </w:p>
    <w:p w14:paraId="1BD57F7C" w14:textId="6B586551" w:rsidR="00576571" w:rsidRPr="004F7170" w:rsidRDefault="004F7170" w:rsidP="003F43D4">
      <w:pPr>
        <w:tabs>
          <w:tab w:val="left" w:pos="567"/>
        </w:tabs>
        <w:spacing w:line="240" w:lineRule="atLeast"/>
        <w:ind w:left="567" w:firstLine="0"/>
      </w:pPr>
      <w:r w:rsidRPr="004F7170">
        <w:t>106.</w:t>
      </w:r>
      <w:r w:rsidRPr="004F7170">
        <w:tab/>
      </w:r>
      <w:r w:rsidR="00576571" w:rsidRPr="004F7170">
        <w:t>In Absatz 1.6.7.2.2.2 Allgemeine Übergangsvorschriften: Tankschiffe die folgende neue Übergangsvorschrift einfügen:</w:t>
      </w:r>
    </w:p>
    <w:p w14:paraId="68886C92" w14:textId="77777777" w:rsidR="00576571" w:rsidRPr="006C5859" w:rsidRDefault="00576571" w:rsidP="000A72C7">
      <w:pPr>
        <w:tabs>
          <w:tab w:val="left" w:pos="567"/>
        </w:tabs>
        <w:spacing w:line="240" w:lineRule="atLeast"/>
        <w:ind w:left="0" w:firstLine="0"/>
        <w:rPr>
          <w:highlight w:val="yellow"/>
        </w:rPr>
      </w:pP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576571" w:rsidRPr="006C5859" w14:paraId="74CFBE6C" w14:textId="77777777" w:rsidTr="00E0183A">
        <w:trPr>
          <w:cantSplit/>
        </w:trPr>
        <w:tc>
          <w:tcPr>
            <w:tcW w:w="1207" w:type="dxa"/>
            <w:tcBorders>
              <w:top w:val="single" w:sz="6" w:space="0" w:color="auto"/>
              <w:left w:val="single" w:sz="6" w:space="0" w:color="auto"/>
              <w:bottom w:val="single" w:sz="6" w:space="0" w:color="auto"/>
              <w:right w:val="single" w:sz="6" w:space="0" w:color="auto"/>
            </w:tcBorders>
          </w:tcPr>
          <w:p w14:paraId="54BA038A" w14:textId="77777777" w:rsidR="00230580" w:rsidRPr="006C5859" w:rsidRDefault="00230580" w:rsidP="000A72C7">
            <w:pPr>
              <w:pStyle w:val="N3"/>
              <w:tabs>
                <w:tab w:val="clear" w:pos="170"/>
              </w:tabs>
              <w:spacing w:before="60" w:after="60" w:line="240" w:lineRule="atLeast"/>
              <w:rPr>
                <w:rFonts w:ascii="Times New Roman" w:hAnsi="Times New Roman"/>
                <w:sz w:val="20"/>
              </w:rPr>
            </w:pPr>
            <w:r w:rsidRPr="006C5859">
              <w:rPr>
                <w:rFonts w:ascii="Times New Roman" w:hAnsi="Times New Roman"/>
                <w:sz w:val="20"/>
              </w:rPr>
              <w:t>8.1.6.2</w:t>
            </w:r>
          </w:p>
        </w:tc>
        <w:tc>
          <w:tcPr>
            <w:tcW w:w="2552" w:type="dxa"/>
            <w:tcBorders>
              <w:top w:val="single" w:sz="6" w:space="0" w:color="auto"/>
              <w:left w:val="single" w:sz="6" w:space="0" w:color="auto"/>
              <w:bottom w:val="single" w:sz="6" w:space="0" w:color="auto"/>
              <w:right w:val="single" w:sz="6" w:space="0" w:color="auto"/>
            </w:tcBorders>
          </w:tcPr>
          <w:p w14:paraId="7F26B18D" w14:textId="77777777" w:rsidR="00230580" w:rsidRPr="006C5859" w:rsidRDefault="00230580" w:rsidP="000A72C7">
            <w:pPr>
              <w:tabs>
                <w:tab w:val="left" w:pos="567"/>
              </w:tabs>
              <w:spacing w:line="240" w:lineRule="atLeast"/>
              <w:ind w:left="0" w:firstLine="0"/>
            </w:pPr>
            <w:r w:rsidRPr="006C5859">
              <w:t>EN ISO 13765:2018</w:t>
            </w:r>
          </w:p>
        </w:tc>
        <w:tc>
          <w:tcPr>
            <w:tcW w:w="5355" w:type="dxa"/>
            <w:tcBorders>
              <w:top w:val="single" w:sz="6" w:space="0" w:color="auto"/>
              <w:left w:val="single" w:sz="6" w:space="0" w:color="auto"/>
              <w:bottom w:val="single" w:sz="6" w:space="0" w:color="auto"/>
              <w:right w:val="single" w:sz="6" w:space="0" w:color="auto"/>
            </w:tcBorders>
          </w:tcPr>
          <w:p w14:paraId="0A76680F" w14:textId="77777777" w:rsidR="00230580" w:rsidRPr="006C5859" w:rsidRDefault="00230580" w:rsidP="000A72C7">
            <w:pPr>
              <w:pStyle w:val="N3"/>
              <w:spacing w:before="60" w:after="60" w:line="240" w:lineRule="atLeast"/>
              <w:rPr>
                <w:rFonts w:ascii="Times New Roman" w:hAnsi="Times New Roman"/>
                <w:sz w:val="20"/>
                <w:lang w:val="de-DE"/>
              </w:rPr>
            </w:pPr>
            <w:r w:rsidRPr="006C5859">
              <w:rPr>
                <w:rFonts w:ascii="Times New Roman" w:hAnsi="Times New Roman"/>
                <w:sz w:val="20"/>
                <w:lang w:val="de-DE"/>
              </w:rPr>
              <w:t>N.E.U. ab 1. Januar 2023</w:t>
            </w:r>
          </w:p>
          <w:p w14:paraId="634F507D" w14:textId="721085A4" w:rsidR="00230580" w:rsidRPr="006C5859" w:rsidRDefault="00230580" w:rsidP="001778DD">
            <w:pPr>
              <w:pStyle w:val="N3"/>
              <w:tabs>
                <w:tab w:val="clear" w:pos="170"/>
              </w:tabs>
              <w:spacing w:before="60" w:after="60"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 nach dem 31. Dezember</w:t>
            </w:r>
            <w:r w:rsidR="00487C2C" w:rsidRPr="006C5859">
              <w:rPr>
                <w:rFonts w:ascii="Times New Roman" w:hAnsi="Times New Roman"/>
                <w:sz w:val="20"/>
                <w:lang w:val="de-DE"/>
              </w:rPr>
              <w:t> </w:t>
            </w:r>
            <w:r w:rsidRPr="006C5859">
              <w:rPr>
                <w:rFonts w:ascii="Times New Roman" w:hAnsi="Times New Roman"/>
                <w:sz w:val="20"/>
                <w:lang w:val="de-DE"/>
              </w:rPr>
              <w:t>202</w:t>
            </w:r>
            <w:r w:rsidR="00C50FF5" w:rsidRPr="006C5859">
              <w:rPr>
                <w:rFonts w:ascii="Times New Roman" w:hAnsi="Times New Roman"/>
                <w:sz w:val="20"/>
                <w:lang w:val="de-DE"/>
              </w:rPr>
              <w:t>6</w:t>
            </w:r>
          </w:p>
        </w:tc>
      </w:tr>
    </w:tbl>
    <w:p w14:paraId="60C92E77" w14:textId="77777777" w:rsidR="00230580" w:rsidRPr="006C5859" w:rsidRDefault="00230580" w:rsidP="000A72C7">
      <w:pPr>
        <w:tabs>
          <w:tab w:val="left" w:pos="567"/>
        </w:tabs>
        <w:spacing w:line="240" w:lineRule="atLeast"/>
        <w:ind w:left="0" w:firstLine="0"/>
        <w:rPr>
          <w:highlight w:val="yellow"/>
        </w:rPr>
      </w:pPr>
    </w:p>
    <w:p w14:paraId="2108878A" w14:textId="56BFAE6A" w:rsidR="00576571" w:rsidRPr="006C5859" w:rsidRDefault="004F7170" w:rsidP="003F43D4">
      <w:pPr>
        <w:tabs>
          <w:tab w:val="left" w:pos="567"/>
        </w:tabs>
        <w:spacing w:line="240" w:lineRule="atLeast"/>
        <w:ind w:left="567" w:firstLine="0"/>
      </w:pPr>
      <w:r>
        <w:t>107.</w:t>
      </w:r>
      <w:r>
        <w:tab/>
      </w:r>
      <w:r w:rsidR="00576571" w:rsidRPr="006C5859">
        <w:t xml:space="preserve">Die Änderung der Norm enthält sicherheitstechnisch relevante Bestandteile. Deswegen ist Austausch der Schläuche und Schlauchleitungen erforderlich, um das bestmögliche Sicherheitsniveau zu erhalten. Ein Übergangszeitraum von </w:t>
      </w:r>
      <w:r w:rsidR="00A11CA1">
        <w:t>drei</w:t>
      </w:r>
      <w:r w:rsidR="00576571" w:rsidRPr="006C5859">
        <w:t xml:space="preserve"> bis </w:t>
      </w:r>
      <w:r w:rsidR="00A11CA1">
        <w:t>acht</w:t>
      </w:r>
      <w:r w:rsidR="00576571" w:rsidRPr="006C5859">
        <w:t xml:space="preserve"> Jahren, nachdem die Änderung beschlossen </w:t>
      </w:r>
      <w:proofErr w:type="gramStart"/>
      <w:r w:rsidR="00576571" w:rsidRPr="006C5859">
        <w:t>wird</w:t>
      </w:r>
      <w:proofErr w:type="gramEnd"/>
      <w:r w:rsidR="00576571" w:rsidRPr="006C5859">
        <w:t xml:space="preserve"> ist ausreichend um den erforderlichen Austausch zu organisieren.</w:t>
      </w:r>
    </w:p>
    <w:p w14:paraId="5F4479B8" w14:textId="696EDCBD" w:rsidR="00230580" w:rsidRPr="006C5859" w:rsidRDefault="00230580" w:rsidP="000A72C7">
      <w:pPr>
        <w:tabs>
          <w:tab w:val="left" w:pos="567"/>
        </w:tabs>
        <w:spacing w:line="240" w:lineRule="atLeast"/>
        <w:ind w:left="0" w:firstLine="0"/>
        <w:rPr>
          <w:highlight w:val="yellow"/>
        </w:rPr>
      </w:pPr>
    </w:p>
    <w:p w14:paraId="3986C6A7" w14:textId="77777777" w:rsidR="00675A23" w:rsidRPr="006C5859" w:rsidRDefault="00675A23" w:rsidP="000A72C7">
      <w:pPr>
        <w:tabs>
          <w:tab w:val="left" w:pos="567"/>
        </w:tabs>
        <w:spacing w:line="240" w:lineRule="atLeast"/>
        <w:ind w:left="0" w:firstLine="0"/>
        <w:rPr>
          <w:highlight w:val="yellow"/>
        </w:rPr>
      </w:pPr>
    </w:p>
    <w:p w14:paraId="60FE77B6" w14:textId="18E4C7AC" w:rsidR="00286ED4" w:rsidRPr="004F7170" w:rsidRDefault="00286ED4" w:rsidP="000A72C7">
      <w:pPr>
        <w:tabs>
          <w:tab w:val="left" w:pos="567"/>
        </w:tabs>
        <w:spacing w:line="240" w:lineRule="atLeast"/>
        <w:ind w:left="0" w:firstLine="0"/>
        <w:rPr>
          <w:b/>
        </w:rPr>
      </w:pPr>
      <w:r w:rsidRPr="004F7170">
        <w:rPr>
          <w:b/>
        </w:rPr>
        <w:t>b)</w:t>
      </w:r>
      <w:r w:rsidR="00B20810" w:rsidRPr="004F7170">
        <w:rPr>
          <w:b/>
        </w:rPr>
        <w:tab/>
      </w:r>
      <w:r w:rsidRPr="004F7170">
        <w:rPr>
          <w:b/>
        </w:rPr>
        <w:t xml:space="preserve">im 2. Satz </w:t>
      </w:r>
    </w:p>
    <w:p w14:paraId="1D43623A" w14:textId="77777777" w:rsidR="00286ED4" w:rsidRPr="006C5859" w:rsidRDefault="00286ED4" w:rsidP="000A72C7">
      <w:pPr>
        <w:tabs>
          <w:tab w:val="left" w:pos="567"/>
        </w:tabs>
        <w:spacing w:line="240" w:lineRule="atLeast"/>
        <w:ind w:left="0" w:firstLine="0"/>
      </w:pPr>
    </w:p>
    <w:p w14:paraId="3D1C0E22" w14:textId="65A9EC5C" w:rsidR="00286ED4" w:rsidRPr="004F7170" w:rsidRDefault="004F7170" w:rsidP="004F7170">
      <w:pPr>
        <w:pStyle w:val="Paragraphedeliste"/>
        <w:numPr>
          <w:ilvl w:val="0"/>
          <w:numId w:val="13"/>
        </w:numPr>
        <w:tabs>
          <w:tab w:val="left" w:pos="1134"/>
        </w:tabs>
        <w:spacing w:line="240" w:lineRule="atLeast"/>
        <w:ind w:left="567" w:firstLine="0"/>
        <w:rPr>
          <w:i/>
          <w:iCs/>
        </w:rPr>
      </w:pPr>
      <w:r>
        <w:rPr>
          <w:i/>
          <w:iCs/>
        </w:rPr>
        <w:t xml:space="preserve"> </w:t>
      </w:r>
      <w:r w:rsidR="00286ED4" w:rsidRPr="004F7170">
        <w:rPr>
          <w:i/>
          <w:iCs/>
        </w:rPr>
        <w:t>die Worte „oder Tabelle K.1 der Norm EN 13765:2010-08“ durch „oder Abschnitt 8 und Anhang K der Norm EN 13765:2018 (laufende Prüfungen)“ ersetzen.</w:t>
      </w:r>
    </w:p>
    <w:p w14:paraId="7856F7A1" w14:textId="77777777" w:rsidR="00286ED4" w:rsidRPr="006C5859" w:rsidRDefault="00286ED4" w:rsidP="003F43D4">
      <w:pPr>
        <w:tabs>
          <w:tab w:val="left" w:pos="567"/>
        </w:tabs>
        <w:spacing w:line="240" w:lineRule="atLeast"/>
        <w:ind w:left="567" w:firstLine="0"/>
      </w:pPr>
    </w:p>
    <w:p w14:paraId="3B66CE0E" w14:textId="246A3C0F" w:rsidR="00286ED4" w:rsidRPr="006C5859" w:rsidRDefault="004F7170" w:rsidP="004F7170">
      <w:pPr>
        <w:widowControl/>
        <w:tabs>
          <w:tab w:val="left" w:pos="1134"/>
        </w:tabs>
        <w:overflowPunct/>
        <w:autoSpaceDE/>
        <w:autoSpaceDN/>
        <w:adjustRightInd/>
        <w:spacing w:line="240" w:lineRule="atLeast"/>
        <w:ind w:left="567" w:firstLine="0"/>
        <w:contextualSpacing/>
        <w:textAlignment w:val="auto"/>
      </w:pPr>
      <w:r>
        <w:t>108.</w:t>
      </w:r>
      <w:r>
        <w:tab/>
      </w:r>
      <w:r w:rsidR="00286ED4" w:rsidRPr="006C5859">
        <w:t>Gegenüber EN 13765:2010+A1:2015 wurden die Anforderungen an Typprüfungen und laufende Prüfungen (Anhang K) für Schläuche und Schlauchleitungen aktualisiert.</w:t>
      </w:r>
    </w:p>
    <w:p w14:paraId="71FBBE95" w14:textId="77777777" w:rsidR="00286ED4" w:rsidRPr="006C5859" w:rsidRDefault="00286ED4" w:rsidP="004F7170">
      <w:pPr>
        <w:tabs>
          <w:tab w:val="left" w:pos="567"/>
          <w:tab w:val="left" w:pos="1134"/>
        </w:tabs>
        <w:spacing w:line="240" w:lineRule="atLeast"/>
        <w:ind w:left="567" w:firstLine="0"/>
      </w:pPr>
    </w:p>
    <w:p w14:paraId="61CB4F9D" w14:textId="24910C1B" w:rsidR="00286ED4" w:rsidRPr="006C5859" w:rsidRDefault="004F7170" w:rsidP="004F7170">
      <w:pPr>
        <w:widowControl/>
        <w:tabs>
          <w:tab w:val="left" w:pos="1134"/>
        </w:tabs>
        <w:overflowPunct/>
        <w:autoSpaceDE/>
        <w:autoSpaceDN/>
        <w:adjustRightInd/>
        <w:spacing w:line="240" w:lineRule="atLeast"/>
        <w:ind w:left="567" w:firstLine="0"/>
        <w:contextualSpacing/>
        <w:textAlignment w:val="auto"/>
      </w:pPr>
      <w:r>
        <w:t>109.</w:t>
      </w:r>
      <w:r>
        <w:tab/>
      </w:r>
      <w:r w:rsidR="00286ED4" w:rsidRPr="006C5859">
        <w:t>Die Änderung gibt die Prüfanforderung innerhalb der Norm, Abschnitt 8., genauer und mit dem aktuellen Sicherheitsniveau wieder.</w:t>
      </w:r>
    </w:p>
    <w:p w14:paraId="4FBA330B" w14:textId="77777777" w:rsidR="00230580" w:rsidRPr="006C5859" w:rsidRDefault="00230580" w:rsidP="004F7170">
      <w:pPr>
        <w:widowControl/>
        <w:tabs>
          <w:tab w:val="left" w:pos="1134"/>
        </w:tabs>
        <w:overflowPunct/>
        <w:autoSpaceDE/>
        <w:autoSpaceDN/>
        <w:adjustRightInd/>
        <w:spacing w:line="240" w:lineRule="atLeast"/>
        <w:ind w:left="567" w:firstLine="0"/>
        <w:contextualSpacing/>
        <w:textAlignment w:val="auto"/>
      </w:pPr>
    </w:p>
    <w:p w14:paraId="35451440" w14:textId="279C2266" w:rsidR="00230580" w:rsidRPr="004F7170" w:rsidRDefault="004F7170" w:rsidP="004F7170">
      <w:pPr>
        <w:widowControl/>
        <w:tabs>
          <w:tab w:val="left" w:pos="1134"/>
        </w:tabs>
        <w:overflowPunct/>
        <w:autoSpaceDE/>
        <w:autoSpaceDN/>
        <w:adjustRightInd/>
        <w:spacing w:line="240" w:lineRule="atLeast"/>
        <w:ind w:left="567" w:firstLine="0"/>
        <w:contextualSpacing/>
        <w:textAlignment w:val="auto"/>
      </w:pPr>
      <w:r w:rsidRPr="004F7170">
        <w:t>110.</w:t>
      </w:r>
      <w:r w:rsidRPr="004F7170">
        <w:tab/>
      </w:r>
      <w:r w:rsidR="00230580" w:rsidRPr="004F7170">
        <w:t>Eine Übergangsvorschrift ist nicht erforderlich, weil kein Austausch der Schläuche/Schlauchleitungen erforderlich ist.</w:t>
      </w:r>
    </w:p>
    <w:p w14:paraId="36269A44" w14:textId="77777777" w:rsidR="00286ED4" w:rsidRPr="006C5859" w:rsidRDefault="00286ED4" w:rsidP="004F7170">
      <w:pPr>
        <w:widowControl/>
        <w:tabs>
          <w:tab w:val="left" w:pos="1134"/>
        </w:tabs>
        <w:overflowPunct/>
        <w:autoSpaceDE/>
        <w:autoSpaceDN/>
        <w:adjustRightInd/>
        <w:spacing w:line="240" w:lineRule="atLeast"/>
        <w:ind w:left="567" w:firstLine="0"/>
        <w:contextualSpacing/>
        <w:textAlignment w:val="auto"/>
      </w:pPr>
    </w:p>
    <w:p w14:paraId="01F8F355" w14:textId="7B222226" w:rsidR="00286ED4" w:rsidRPr="004F7170" w:rsidRDefault="00286ED4" w:rsidP="004F7170">
      <w:pPr>
        <w:pStyle w:val="Paragraphedeliste"/>
        <w:numPr>
          <w:ilvl w:val="0"/>
          <w:numId w:val="13"/>
        </w:numPr>
        <w:tabs>
          <w:tab w:val="left" w:pos="1134"/>
        </w:tabs>
        <w:spacing w:line="240" w:lineRule="atLeast"/>
        <w:ind w:left="567" w:firstLine="0"/>
        <w:rPr>
          <w:i/>
          <w:iCs/>
        </w:rPr>
      </w:pPr>
      <w:r w:rsidRPr="004F7170">
        <w:rPr>
          <w:i/>
          <w:iCs/>
        </w:rPr>
        <w:t>die Worte „oder Absatz 7 der Norm EN ISO 10380:2003-10“ streichen.</w:t>
      </w:r>
    </w:p>
    <w:p w14:paraId="469BA213" w14:textId="77777777" w:rsidR="00286ED4" w:rsidRPr="006C5859" w:rsidRDefault="00286ED4" w:rsidP="004F7170">
      <w:pPr>
        <w:tabs>
          <w:tab w:val="left" w:pos="567"/>
          <w:tab w:val="left" w:pos="1134"/>
        </w:tabs>
        <w:spacing w:line="240" w:lineRule="atLeast"/>
        <w:ind w:left="567" w:firstLine="0"/>
      </w:pPr>
    </w:p>
    <w:p w14:paraId="5BA59476" w14:textId="1DD7CEBB" w:rsidR="00286ED4" w:rsidRPr="006C5859" w:rsidRDefault="004F7170" w:rsidP="004F7170">
      <w:pPr>
        <w:widowControl/>
        <w:tabs>
          <w:tab w:val="left" w:pos="1134"/>
        </w:tabs>
        <w:overflowPunct/>
        <w:autoSpaceDE/>
        <w:autoSpaceDN/>
        <w:adjustRightInd/>
        <w:spacing w:line="240" w:lineRule="atLeast"/>
        <w:ind w:left="567" w:firstLine="0"/>
        <w:contextualSpacing/>
        <w:textAlignment w:val="auto"/>
      </w:pPr>
      <w:r>
        <w:t>111.</w:t>
      </w:r>
      <w:r>
        <w:tab/>
      </w:r>
      <w:r w:rsidR="00286ED4" w:rsidRPr="006C5859">
        <w:t>Die Streichung wird vorgeschlagen, weil die aktuellen Normausgaben keine regelmäßige Prüfung der Schläuche (mehr) vorsehen.</w:t>
      </w:r>
    </w:p>
    <w:p w14:paraId="7A3D5060" w14:textId="77777777" w:rsidR="00286ED4" w:rsidRPr="006C5859" w:rsidRDefault="00286ED4" w:rsidP="004F7170">
      <w:pPr>
        <w:tabs>
          <w:tab w:val="left" w:pos="567"/>
          <w:tab w:val="left" w:pos="1134"/>
        </w:tabs>
        <w:spacing w:line="240" w:lineRule="atLeast"/>
        <w:ind w:left="567" w:firstLine="0"/>
      </w:pPr>
    </w:p>
    <w:p w14:paraId="1D416717" w14:textId="37DC264C" w:rsidR="00230580" w:rsidRPr="004F7170" w:rsidRDefault="004F7170" w:rsidP="004F7170">
      <w:pPr>
        <w:widowControl/>
        <w:tabs>
          <w:tab w:val="left" w:pos="1134"/>
        </w:tabs>
        <w:overflowPunct/>
        <w:autoSpaceDE/>
        <w:autoSpaceDN/>
        <w:adjustRightInd/>
        <w:spacing w:line="240" w:lineRule="atLeast"/>
        <w:ind w:left="567" w:firstLine="0"/>
        <w:contextualSpacing/>
        <w:textAlignment w:val="auto"/>
      </w:pPr>
      <w:r w:rsidRPr="004F7170">
        <w:t>112.</w:t>
      </w:r>
      <w:r w:rsidRPr="004F7170">
        <w:tab/>
      </w:r>
      <w:r w:rsidR="00230580" w:rsidRPr="004F7170">
        <w:t>Eine Übergangsvorschrift ist nicht erforderlich, weil eine Prüfpflicht entfällt.</w:t>
      </w:r>
    </w:p>
    <w:p w14:paraId="711CACB4" w14:textId="70AD491E" w:rsidR="00BB79DB" w:rsidRDefault="00BB79DB" w:rsidP="004F7170">
      <w:pPr>
        <w:tabs>
          <w:tab w:val="left" w:pos="567"/>
          <w:tab w:val="left" w:pos="1134"/>
        </w:tabs>
        <w:spacing w:line="240" w:lineRule="atLeast"/>
        <w:ind w:left="567" w:firstLine="0"/>
      </w:pPr>
    </w:p>
    <w:p w14:paraId="42DB00CE" w14:textId="77777777" w:rsidR="00D5406E" w:rsidRPr="006C5859" w:rsidRDefault="00D5406E" w:rsidP="004F7170">
      <w:pPr>
        <w:tabs>
          <w:tab w:val="left" w:pos="567"/>
          <w:tab w:val="left" w:pos="1134"/>
        </w:tabs>
        <w:spacing w:line="240" w:lineRule="atLeast"/>
        <w:ind w:left="0" w:firstLine="0"/>
      </w:pPr>
    </w:p>
    <w:p w14:paraId="6C66C806" w14:textId="715C7D32" w:rsidR="00D5406E" w:rsidRPr="00D5406E" w:rsidRDefault="004F7170" w:rsidP="00D5406E">
      <w:pPr>
        <w:tabs>
          <w:tab w:val="left" w:pos="567"/>
        </w:tabs>
        <w:spacing w:line="240" w:lineRule="atLeast"/>
        <w:ind w:left="0" w:firstLine="0"/>
        <w:rPr>
          <w:b/>
          <w:bCs/>
          <w:sz w:val="22"/>
          <w:szCs w:val="22"/>
        </w:rPr>
      </w:pPr>
      <w:r>
        <w:rPr>
          <w:b/>
          <w:bCs/>
          <w:sz w:val="22"/>
          <w:szCs w:val="22"/>
        </w:rPr>
        <w:t>4</w:t>
      </w:r>
      <w:r w:rsidR="00D5406E" w:rsidRPr="00D5406E">
        <w:rPr>
          <w:b/>
          <w:bCs/>
          <w:sz w:val="22"/>
          <w:szCs w:val="22"/>
        </w:rPr>
        <w:t>.</w:t>
      </w:r>
      <w:r w:rsidR="00D5406E" w:rsidRPr="00D5406E">
        <w:rPr>
          <w:b/>
          <w:bCs/>
          <w:sz w:val="22"/>
          <w:szCs w:val="22"/>
        </w:rPr>
        <w:tab/>
        <w:t>In Absatz 8.2.2.8.2 (Sachkundebescheinigung)</w:t>
      </w:r>
    </w:p>
    <w:p w14:paraId="3E147E6C" w14:textId="77777777" w:rsidR="00D5406E" w:rsidRPr="00D5406E" w:rsidRDefault="00D5406E" w:rsidP="00D5406E">
      <w:pPr>
        <w:tabs>
          <w:tab w:val="left" w:pos="567"/>
        </w:tabs>
        <w:spacing w:line="240" w:lineRule="atLeast"/>
        <w:ind w:left="0" w:firstLine="0"/>
        <w:rPr>
          <w:sz w:val="22"/>
          <w:szCs w:val="22"/>
        </w:rPr>
      </w:pPr>
    </w:p>
    <w:p w14:paraId="3342D2F9" w14:textId="77777777" w:rsidR="00D5406E" w:rsidRPr="004F7170" w:rsidRDefault="00D5406E" w:rsidP="004F7170">
      <w:pPr>
        <w:tabs>
          <w:tab w:val="left" w:pos="567"/>
        </w:tabs>
        <w:spacing w:line="240" w:lineRule="atLeast"/>
        <w:ind w:left="567" w:firstLine="0"/>
        <w:rPr>
          <w:i/>
          <w:iCs/>
          <w:sz w:val="22"/>
          <w:szCs w:val="22"/>
        </w:rPr>
      </w:pPr>
      <w:r w:rsidRPr="004F7170">
        <w:rPr>
          <w:i/>
          <w:iCs/>
          <w:sz w:val="22"/>
          <w:szCs w:val="22"/>
        </w:rPr>
        <w:t>das Zitat „ISO/IEC 7810:2003“ durch „ISO/IEC 7810:2019“ ersetzen.</w:t>
      </w:r>
    </w:p>
    <w:p w14:paraId="25A456DA" w14:textId="77777777" w:rsidR="00D5406E" w:rsidRPr="00D5406E" w:rsidRDefault="00D5406E" w:rsidP="00D5406E">
      <w:pPr>
        <w:tabs>
          <w:tab w:val="left" w:pos="567"/>
        </w:tabs>
        <w:spacing w:line="240" w:lineRule="atLeast"/>
        <w:ind w:left="0" w:firstLine="0"/>
        <w:rPr>
          <w:sz w:val="22"/>
          <w:szCs w:val="22"/>
        </w:rPr>
      </w:pPr>
    </w:p>
    <w:p w14:paraId="2CA4AC1C" w14:textId="7E743FF1" w:rsidR="00D5406E" w:rsidRPr="004F7170" w:rsidRDefault="004F7170" w:rsidP="004F7170">
      <w:pPr>
        <w:tabs>
          <w:tab w:val="left" w:pos="567"/>
          <w:tab w:val="left" w:pos="1134"/>
        </w:tabs>
        <w:spacing w:line="240" w:lineRule="atLeast"/>
        <w:ind w:left="567" w:firstLine="0"/>
        <w:rPr>
          <w:sz w:val="22"/>
          <w:szCs w:val="22"/>
        </w:rPr>
      </w:pPr>
      <w:r>
        <w:rPr>
          <w:sz w:val="22"/>
          <w:szCs w:val="22"/>
        </w:rPr>
        <w:t>113.</w:t>
      </w:r>
      <w:r>
        <w:rPr>
          <w:sz w:val="22"/>
          <w:szCs w:val="22"/>
        </w:rPr>
        <w:tab/>
      </w:r>
      <w:r w:rsidR="00D5406E" w:rsidRPr="004F7170">
        <w:rPr>
          <w:sz w:val="22"/>
          <w:szCs w:val="22"/>
        </w:rPr>
        <w:t>Normtitel: „Ausweise — Physikalische Eigenschaften“.</w:t>
      </w:r>
    </w:p>
    <w:p w14:paraId="446B6984" w14:textId="77777777" w:rsidR="00D5406E" w:rsidRPr="004F7170" w:rsidRDefault="00D5406E" w:rsidP="004F7170">
      <w:pPr>
        <w:tabs>
          <w:tab w:val="left" w:pos="567"/>
          <w:tab w:val="left" w:pos="1134"/>
        </w:tabs>
        <w:spacing w:line="240" w:lineRule="atLeast"/>
        <w:ind w:left="567" w:firstLine="0"/>
        <w:rPr>
          <w:sz w:val="22"/>
          <w:szCs w:val="22"/>
        </w:rPr>
      </w:pPr>
    </w:p>
    <w:p w14:paraId="67BBC165" w14:textId="63A45670" w:rsidR="00D5406E" w:rsidRPr="004F7170" w:rsidRDefault="004F7170" w:rsidP="004F7170">
      <w:pPr>
        <w:tabs>
          <w:tab w:val="left" w:pos="567"/>
          <w:tab w:val="left" w:pos="1134"/>
        </w:tabs>
        <w:spacing w:line="240" w:lineRule="atLeast"/>
        <w:ind w:left="567" w:firstLine="0"/>
        <w:rPr>
          <w:sz w:val="22"/>
          <w:szCs w:val="22"/>
        </w:rPr>
      </w:pPr>
      <w:r>
        <w:rPr>
          <w:sz w:val="22"/>
          <w:szCs w:val="22"/>
        </w:rPr>
        <w:t>114.</w:t>
      </w:r>
      <w:r>
        <w:rPr>
          <w:sz w:val="22"/>
          <w:szCs w:val="22"/>
        </w:rPr>
        <w:tab/>
      </w:r>
      <w:r w:rsidR="00D5406E" w:rsidRPr="004F7170">
        <w:rPr>
          <w:sz w:val="22"/>
          <w:szCs w:val="22"/>
        </w:rPr>
        <w:t xml:space="preserve">Die zitierte Normausgabe ist veraltet. Zur vorherigen Ausgabe ist unter anderem die folgende Änderung zum Format der Ausweise bekannt: </w:t>
      </w:r>
      <w:r w:rsidR="00E34FAF" w:rsidRPr="004F7170">
        <w:rPr>
          <w:sz w:val="22"/>
          <w:szCs w:val="22"/>
        </w:rPr>
        <w:t xml:space="preserve">„die Gesamtgrößentoleranz für zurückgegebene Karten der Größe ID-1 hat sich geändert (5.2);“ / </w:t>
      </w:r>
      <w:r w:rsidR="00D5406E" w:rsidRPr="004F7170">
        <w:rPr>
          <w:sz w:val="22"/>
          <w:szCs w:val="22"/>
        </w:rPr>
        <w:t>„the overall size tolerance of the ID-1 size returned card has changed (5.2);“.</w:t>
      </w:r>
    </w:p>
    <w:p w14:paraId="28F734BB" w14:textId="77777777" w:rsidR="00D5406E" w:rsidRPr="004F7170" w:rsidRDefault="00D5406E" w:rsidP="004F7170">
      <w:pPr>
        <w:tabs>
          <w:tab w:val="left" w:pos="567"/>
          <w:tab w:val="left" w:pos="1134"/>
        </w:tabs>
        <w:spacing w:line="240" w:lineRule="atLeast"/>
        <w:ind w:left="567" w:firstLine="0"/>
        <w:rPr>
          <w:sz w:val="18"/>
          <w:szCs w:val="22"/>
          <w:lang w:val="fr-FR"/>
        </w:rPr>
      </w:pPr>
      <w:r w:rsidRPr="004F7170">
        <w:rPr>
          <w:sz w:val="18"/>
          <w:szCs w:val="22"/>
          <w:lang w:val="fr-FR"/>
        </w:rPr>
        <w:t>(</w:t>
      </w:r>
      <w:proofErr w:type="gramStart"/>
      <w:r w:rsidRPr="004F7170">
        <w:rPr>
          <w:sz w:val="18"/>
          <w:szCs w:val="22"/>
          <w:lang w:val="fr-FR"/>
        </w:rPr>
        <w:t>Quelle:</w:t>
      </w:r>
      <w:proofErr w:type="gramEnd"/>
      <w:r w:rsidRPr="004F7170">
        <w:rPr>
          <w:sz w:val="18"/>
          <w:szCs w:val="22"/>
          <w:lang w:val="fr-FR"/>
        </w:rPr>
        <w:t xml:space="preserve"> </w:t>
      </w:r>
      <w:hyperlink r:id="rId9" w:history="1">
        <w:r w:rsidRPr="004F7170">
          <w:rPr>
            <w:rStyle w:val="Lienhypertexte"/>
            <w:rFonts w:ascii="Times New Roman" w:hAnsi="Times New Roman" w:cs="Times New Roman"/>
            <w:color w:val="auto"/>
            <w:sz w:val="18"/>
            <w:szCs w:val="22"/>
            <w:lang w:val="fr-FR"/>
          </w:rPr>
          <w:t>https://cdn.standards.iteh.ai/samples/70483/16f04de1cda3494f9e12567b7d1aa541/ISO-IEC-7810-2019.pdf</w:t>
        </w:r>
      </w:hyperlink>
      <w:r w:rsidRPr="004F7170">
        <w:rPr>
          <w:sz w:val="18"/>
          <w:szCs w:val="22"/>
          <w:lang w:val="fr-FR"/>
        </w:rPr>
        <w:t>)</w:t>
      </w:r>
    </w:p>
    <w:p w14:paraId="2EAEB922" w14:textId="77777777" w:rsidR="00D5406E" w:rsidRPr="004F7170" w:rsidRDefault="00D5406E" w:rsidP="004F7170">
      <w:pPr>
        <w:tabs>
          <w:tab w:val="left" w:pos="567"/>
          <w:tab w:val="left" w:pos="1134"/>
        </w:tabs>
        <w:spacing w:line="240" w:lineRule="atLeast"/>
        <w:ind w:left="567" w:firstLine="0"/>
        <w:rPr>
          <w:lang w:val="fr-FR"/>
        </w:rPr>
      </w:pPr>
    </w:p>
    <w:p w14:paraId="51FDC17E" w14:textId="77777777" w:rsidR="000116F6" w:rsidRPr="002E476F" w:rsidRDefault="000116F6">
      <w:pPr>
        <w:widowControl/>
        <w:overflowPunct/>
        <w:autoSpaceDE/>
        <w:autoSpaceDN/>
        <w:adjustRightInd/>
        <w:ind w:left="0" w:firstLine="0"/>
        <w:jc w:val="left"/>
        <w:textAlignment w:val="auto"/>
        <w:rPr>
          <w:sz w:val="22"/>
          <w:szCs w:val="22"/>
          <w:lang w:val="fr-FR"/>
        </w:rPr>
      </w:pPr>
      <w:r w:rsidRPr="002E476F">
        <w:rPr>
          <w:sz w:val="22"/>
          <w:szCs w:val="22"/>
          <w:lang w:val="fr-FR"/>
        </w:rPr>
        <w:br w:type="page"/>
      </w:r>
    </w:p>
    <w:p w14:paraId="186741AE" w14:textId="5A7EEAAC" w:rsidR="00D5406E" w:rsidRPr="004F7170" w:rsidRDefault="004F7170" w:rsidP="00211F1A">
      <w:pPr>
        <w:tabs>
          <w:tab w:val="left" w:pos="567"/>
          <w:tab w:val="left" w:pos="1134"/>
        </w:tabs>
        <w:spacing w:line="240" w:lineRule="atLeast"/>
        <w:ind w:left="567" w:firstLine="0"/>
        <w:rPr>
          <w:sz w:val="22"/>
          <w:szCs w:val="22"/>
        </w:rPr>
      </w:pPr>
      <w:r>
        <w:rPr>
          <w:sz w:val="22"/>
          <w:szCs w:val="22"/>
        </w:rPr>
        <w:lastRenderedPageBreak/>
        <w:t>115.</w:t>
      </w:r>
      <w:r>
        <w:rPr>
          <w:sz w:val="22"/>
          <w:szCs w:val="22"/>
        </w:rPr>
        <w:tab/>
      </w:r>
      <w:r w:rsidR="00D5406E" w:rsidRPr="004F7170">
        <w:rPr>
          <w:sz w:val="22"/>
          <w:szCs w:val="22"/>
        </w:rPr>
        <w:t>Einerseits werden Kartenrohlinge nach altem Standard bald nicht mehr auf dem Markt verfügbar sein, sodass ohne Änderung zum Format der Bescheinigungen zu Abweichungen kommen wird. Es ist aber aus Sicherheitsgründen nicht erforderlich, bereits ausgegebene Bescheinigungen umzutauschen.</w:t>
      </w:r>
    </w:p>
    <w:p w14:paraId="4C4F64CF" w14:textId="77777777" w:rsidR="00D5406E" w:rsidRPr="004F7170" w:rsidRDefault="00D5406E" w:rsidP="00211F1A">
      <w:pPr>
        <w:tabs>
          <w:tab w:val="left" w:pos="567"/>
          <w:tab w:val="left" w:pos="1134"/>
        </w:tabs>
        <w:spacing w:line="240" w:lineRule="atLeast"/>
        <w:ind w:left="567" w:firstLine="0"/>
        <w:rPr>
          <w:sz w:val="22"/>
          <w:szCs w:val="22"/>
        </w:rPr>
      </w:pPr>
    </w:p>
    <w:p w14:paraId="1CDB46AC" w14:textId="74978D7D" w:rsidR="00D5406E" w:rsidRPr="004F7170" w:rsidRDefault="004F7170" w:rsidP="004F7170">
      <w:pPr>
        <w:tabs>
          <w:tab w:val="left" w:pos="567"/>
          <w:tab w:val="left" w:pos="1134"/>
        </w:tabs>
        <w:spacing w:line="240" w:lineRule="atLeast"/>
        <w:ind w:left="567" w:firstLine="0"/>
        <w:rPr>
          <w:sz w:val="22"/>
          <w:szCs w:val="22"/>
        </w:rPr>
      </w:pPr>
      <w:r>
        <w:rPr>
          <w:sz w:val="22"/>
          <w:szCs w:val="22"/>
        </w:rPr>
        <w:t>116.</w:t>
      </w:r>
      <w:r>
        <w:rPr>
          <w:sz w:val="22"/>
          <w:szCs w:val="22"/>
        </w:rPr>
        <w:tab/>
      </w:r>
      <w:r w:rsidR="00D5406E" w:rsidRPr="004F7170">
        <w:rPr>
          <w:sz w:val="22"/>
          <w:szCs w:val="22"/>
        </w:rPr>
        <w:t>In Abschnitt 1.6.8 Übergangsvorschriften betreffend die Ausbildung der Besatzung die folgende neue Übergangsvorschrift einfügen:</w:t>
      </w:r>
    </w:p>
    <w:p w14:paraId="2332F66C" w14:textId="77777777" w:rsidR="00D5406E" w:rsidRPr="00D5406E" w:rsidRDefault="00D5406E" w:rsidP="00D5406E">
      <w:pPr>
        <w:tabs>
          <w:tab w:val="left" w:pos="567"/>
        </w:tabs>
        <w:spacing w:line="240" w:lineRule="atLeast"/>
        <w:ind w:left="0" w:firstLine="0"/>
        <w:rPr>
          <w:sz w:val="22"/>
          <w:szCs w:val="22"/>
        </w:rPr>
      </w:pPr>
    </w:p>
    <w:p w14:paraId="75246114" w14:textId="03C082FB" w:rsidR="00D5406E" w:rsidRPr="004F7170" w:rsidRDefault="00D5406E" w:rsidP="0075000E">
      <w:pPr>
        <w:spacing w:line="240" w:lineRule="atLeast"/>
        <w:ind w:firstLine="0"/>
        <w:rPr>
          <w:sz w:val="22"/>
          <w:szCs w:val="22"/>
        </w:rPr>
      </w:pPr>
      <w:r w:rsidRPr="004F7170">
        <w:rPr>
          <w:sz w:val="22"/>
          <w:szCs w:val="22"/>
        </w:rPr>
        <w:t>„1.6.8.3</w:t>
      </w:r>
      <w:r w:rsidRPr="004F7170">
        <w:rPr>
          <w:sz w:val="22"/>
          <w:szCs w:val="22"/>
        </w:rPr>
        <w:tab/>
        <w:t>Bescheinigungen über besondere Kenntnisse des ADN nach 8.2.2.8, die vor dem [1.</w:t>
      </w:r>
      <w:r w:rsidR="00487C2C" w:rsidRPr="006C5859">
        <w:t> </w:t>
      </w:r>
      <w:r w:rsidRPr="004F7170">
        <w:rPr>
          <w:sz w:val="22"/>
          <w:szCs w:val="22"/>
        </w:rPr>
        <w:t>Januar 2023] [1. Juli 2023] ausgestellt wurden und im Format noch der Norm ISO/IEC 7810:2003 entsprechen, bleiben bis zu dem auf ihr angegebenen Datum gültig.“.</w:t>
      </w:r>
    </w:p>
    <w:p w14:paraId="49B6FBD0" w14:textId="146E00EF" w:rsidR="00D5406E" w:rsidRDefault="00D5406E">
      <w:pPr>
        <w:widowControl/>
        <w:overflowPunct/>
        <w:autoSpaceDE/>
        <w:autoSpaceDN/>
        <w:adjustRightInd/>
        <w:ind w:left="0" w:firstLine="0"/>
        <w:jc w:val="left"/>
        <w:textAlignment w:val="auto"/>
      </w:pPr>
    </w:p>
    <w:p w14:paraId="66AEA09E" w14:textId="77777777" w:rsidR="00576571" w:rsidRPr="006C5859" w:rsidRDefault="00576571" w:rsidP="000A72C7">
      <w:pPr>
        <w:tabs>
          <w:tab w:val="left" w:pos="567"/>
        </w:tabs>
        <w:spacing w:line="240" w:lineRule="atLeast"/>
        <w:ind w:left="0" w:firstLine="0"/>
      </w:pPr>
    </w:p>
    <w:p w14:paraId="326C6497" w14:textId="3C48A48F" w:rsidR="00286ED4" w:rsidRPr="003D7C67" w:rsidRDefault="004F7170" w:rsidP="002E476F">
      <w:pPr>
        <w:tabs>
          <w:tab w:val="left" w:pos="567"/>
        </w:tabs>
        <w:spacing w:line="240" w:lineRule="atLeast"/>
        <w:ind w:left="567" w:hanging="567"/>
        <w:rPr>
          <w:b/>
          <w:bCs/>
        </w:rPr>
      </w:pPr>
      <w:r>
        <w:rPr>
          <w:b/>
          <w:bCs/>
        </w:rPr>
        <w:t>5</w:t>
      </w:r>
      <w:r w:rsidR="00286ED4" w:rsidRPr="003D7C67">
        <w:rPr>
          <w:b/>
          <w:bCs/>
        </w:rPr>
        <w:t>.</w:t>
      </w:r>
      <w:r w:rsidR="00286ED4" w:rsidRPr="003D7C67">
        <w:rPr>
          <w:b/>
          <w:bCs/>
        </w:rPr>
        <w:tab/>
        <w:t>In Absatz 9.1.0.53.4 a) (Art und Aufstellungsort der elektrischen und nicht-elektrischen Anlagen und Geräte zum Einsatz im geschützten Bereich)</w:t>
      </w:r>
    </w:p>
    <w:p w14:paraId="035BC302" w14:textId="77777777" w:rsidR="00286ED4" w:rsidRPr="006C5859" w:rsidRDefault="00286ED4" w:rsidP="002E476F">
      <w:pPr>
        <w:tabs>
          <w:tab w:val="left" w:pos="567"/>
        </w:tabs>
        <w:spacing w:line="240" w:lineRule="atLeast"/>
        <w:ind w:left="709" w:hanging="709"/>
      </w:pPr>
    </w:p>
    <w:p w14:paraId="7254E882" w14:textId="26682B4A" w:rsidR="00286ED4" w:rsidRPr="004F7170" w:rsidRDefault="00286ED4" w:rsidP="004F7170">
      <w:pPr>
        <w:tabs>
          <w:tab w:val="left" w:pos="567"/>
          <w:tab w:val="left" w:pos="1134"/>
        </w:tabs>
        <w:spacing w:line="240" w:lineRule="atLeast"/>
        <w:ind w:left="567" w:firstLine="0"/>
        <w:rPr>
          <w:i/>
          <w:iCs/>
        </w:rPr>
      </w:pPr>
      <w:r w:rsidRPr="004F7170">
        <w:rPr>
          <w:i/>
          <w:iCs/>
        </w:rPr>
        <w:t>das Zitat „EN 15869-03: 2010“ durch „EN 15869-1:2019“ ersetzen.</w:t>
      </w:r>
    </w:p>
    <w:p w14:paraId="3E68B9B0" w14:textId="77777777" w:rsidR="00286ED4" w:rsidRPr="004F7170" w:rsidRDefault="00286ED4" w:rsidP="004F7170">
      <w:pPr>
        <w:tabs>
          <w:tab w:val="left" w:pos="567"/>
          <w:tab w:val="left" w:pos="1134"/>
        </w:tabs>
        <w:spacing w:line="240" w:lineRule="atLeast"/>
        <w:ind w:left="567" w:firstLine="0"/>
      </w:pPr>
    </w:p>
    <w:p w14:paraId="52A87585" w14:textId="03DAADAA" w:rsidR="00286ED4" w:rsidRPr="004F7170" w:rsidRDefault="004F7170" w:rsidP="004F7170">
      <w:pPr>
        <w:tabs>
          <w:tab w:val="left" w:pos="567"/>
          <w:tab w:val="left" w:pos="1134"/>
        </w:tabs>
        <w:spacing w:line="240" w:lineRule="atLeast"/>
        <w:ind w:left="567" w:firstLine="0"/>
      </w:pPr>
      <w:r>
        <w:t>117.</w:t>
      </w:r>
      <w:r>
        <w:tab/>
      </w:r>
      <w:r w:rsidR="00286ED4" w:rsidRPr="004F7170">
        <w:t>Normtitel: „Fahrzeuge der Binnenschifffahrt - Elektrischer Landanschluss, Drehstrom 400 V, 50</w:t>
      </w:r>
      <w:r w:rsidR="00487C2C" w:rsidRPr="006C5859">
        <w:t> </w:t>
      </w:r>
      <w:r w:rsidR="00286ED4" w:rsidRPr="004F7170">
        <w:t>Hz, bis 125 A – Teil 1: Allgemeine Anforderungen“.</w:t>
      </w:r>
    </w:p>
    <w:p w14:paraId="23B14E54" w14:textId="77777777" w:rsidR="00286ED4" w:rsidRPr="004F7170" w:rsidRDefault="00286ED4" w:rsidP="004F7170">
      <w:pPr>
        <w:tabs>
          <w:tab w:val="left" w:pos="567"/>
          <w:tab w:val="left" w:pos="1134"/>
        </w:tabs>
        <w:spacing w:line="240" w:lineRule="atLeast"/>
        <w:ind w:left="567" w:firstLine="0"/>
      </w:pPr>
    </w:p>
    <w:p w14:paraId="6416AC47" w14:textId="2500B02B" w:rsidR="00286ED4" w:rsidRPr="004F7170" w:rsidRDefault="004F7170" w:rsidP="004F7170">
      <w:pPr>
        <w:tabs>
          <w:tab w:val="left" w:pos="567"/>
          <w:tab w:val="left" w:pos="1134"/>
        </w:tabs>
        <w:spacing w:line="240" w:lineRule="atLeast"/>
        <w:ind w:left="567" w:firstLine="0"/>
      </w:pPr>
      <w:r>
        <w:t>118.</w:t>
      </w:r>
      <w:r>
        <w:tab/>
      </w:r>
      <w:r w:rsidR="00286ED4" w:rsidRPr="004F7170">
        <w:t>Die zitierte Normausgabe ist veraltet. Es wurden umfangreiche inhaltliche Änderungen vorgenommen:</w:t>
      </w:r>
    </w:p>
    <w:p w14:paraId="0D867788" w14:textId="77777777" w:rsidR="0085433A" w:rsidRDefault="0085433A" w:rsidP="0085433A">
      <w:pPr>
        <w:tabs>
          <w:tab w:val="left" w:pos="1134"/>
        </w:tabs>
        <w:spacing w:before="60" w:line="240" w:lineRule="atLeast"/>
        <w:ind w:hanging="567"/>
      </w:pPr>
      <w:r>
        <w:t>a)</w:t>
      </w:r>
      <w:r>
        <w:tab/>
      </w:r>
      <w:r w:rsidR="00286ED4" w:rsidRPr="004F7170">
        <w:t xml:space="preserve">der Titel wurde geändert; </w:t>
      </w:r>
    </w:p>
    <w:p w14:paraId="1D7738D2" w14:textId="18E84CC9" w:rsidR="0085433A" w:rsidRDefault="0085433A" w:rsidP="0085433A">
      <w:pPr>
        <w:tabs>
          <w:tab w:val="left" w:pos="1134"/>
        </w:tabs>
        <w:spacing w:before="60" w:line="240" w:lineRule="atLeast"/>
        <w:ind w:hanging="567"/>
      </w:pPr>
      <w:r>
        <w:t>b)</w:t>
      </w:r>
      <w:r>
        <w:tab/>
      </w:r>
      <w:r w:rsidR="00286ED4" w:rsidRPr="004F7170">
        <w:t>die maximale Betriebsstromstärke wurde von 65 A auf 125 A erhöht;</w:t>
      </w:r>
    </w:p>
    <w:p w14:paraId="52C70153" w14:textId="7EAA1755" w:rsidR="0085433A" w:rsidRDefault="0085433A" w:rsidP="0085433A">
      <w:pPr>
        <w:tabs>
          <w:tab w:val="left" w:pos="1134"/>
        </w:tabs>
        <w:spacing w:before="60" w:line="240" w:lineRule="atLeast"/>
        <w:ind w:hanging="567"/>
      </w:pPr>
      <w:r>
        <w:t>c)</w:t>
      </w:r>
      <w:r>
        <w:tab/>
      </w:r>
      <w:r w:rsidR="00286ED4" w:rsidRPr="004F7170">
        <w:t>der Anwendungsbereich wurde ergänzt und präzisiert;</w:t>
      </w:r>
    </w:p>
    <w:p w14:paraId="114C9B50" w14:textId="7291CB4F" w:rsidR="0085433A" w:rsidRDefault="0085433A" w:rsidP="0085433A">
      <w:pPr>
        <w:tabs>
          <w:tab w:val="left" w:pos="1134"/>
        </w:tabs>
        <w:spacing w:before="60" w:line="240" w:lineRule="atLeast"/>
        <w:ind w:hanging="567"/>
      </w:pPr>
      <w:r>
        <w:t>d)</w:t>
      </w:r>
      <w:r>
        <w:tab/>
      </w:r>
      <w:r w:rsidR="00286ED4" w:rsidRPr="004F7170">
        <w:t>die normativen Verweisungen wurden ergänzt;</w:t>
      </w:r>
    </w:p>
    <w:p w14:paraId="1D48ACCC" w14:textId="2BB5DA41" w:rsidR="0085433A" w:rsidRDefault="0085433A" w:rsidP="0085433A">
      <w:pPr>
        <w:tabs>
          <w:tab w:val="left" w:pos="1134"/>
        </w:tabs>
        <w:spacing w:before="60" w:line="240" w:lineRule="atLeast"/>
        <w:ind w:hanging="567"/>
      </w:pPr>
      <w:r>
        <w:t>e)</w:t>
      </w:r>
      <w:r>
        <w:tab/>
      </w:r>
      <w:r w:rsidR="00286ED4" w:rsidRPr="004F7170">
        <w:t>Abschnitt 3 wurde ergänzt und die Definitionen der Begriffe an die in EN 16840 verwendeten angepasst;</w:t>
      </w:r>
    </w:p>
    <w:p w14:paraId="7D1DB131" w14:textId="0582E3CF" w:rsidR="0085433A" w:rsidRDefault="0085433A" w:rsidP="0085433A">
      <w:pPr>
        <w:tabs>
          <w:tab w:val="left" w:pos="1134"/>
        </w:tabs>
        <w:spacing w:before="60" w:line="240" w:lineRule="atLeast"/>
        <w:ind w:hanging="567"/>
      </w:pPr>
      <w:r>
        <w:t>f)</w:t>
      </w:r>
      <w:r>
        <w:tab/>
      </w:r>
      <w:r w:rsidR="00286ED4" w:rsidRPr="004F7170">
        <w:t xml:space="preserve">sämtliche Anforderungen, die für alle Teile der elektrischen Anlage </w:t>
      </w:r>
      <w:r w:rsidR="00027248" w:rsidRPr="004F7170">
        <w:t>„</w:t>
      </w:r>
      <w:r w:rsidR="00286ED4" w:rsidRPr="004F7170">
        <w:t>Landanschluss</w:t>
      </w:r>
      <w:r w:rsidR="00027248" w:rsidRPr="004F7170">
        <w:t>“</w:t>
      </w:r>
      <w:r w:rsidR="00286ED4" w:rsidRPr="004F7170">
        <w:t xml:space="preserve"> gemeinsam gelten, wurden aus Teil 2 und Teil 3 in Teil 1 verschoben und zusammengefasst;</w:t>
      </w:r>
    </w:p>
    <w:p w14:paraId="66B14430" w14:textId="4A660980" w:rsidR="0085433A" w:rsidRDefault="0085433A" w:rsidP="0085433A">
      <w:pPr>
        <w:tabs>
          <w:tab w:val="left" w:pos="1134"/>
        </w:tabs>
        <w:spacing w:before="60" w:line="240" w:lineRule="atLeast"/>
        <w:ind w:hanging="567"/>
      </w:pPr>
      <w:r>
        <w:t>g)</w:t>
      </w:r>
      <w:r>
        <w:tab/>
      </w:r>
      <w:r w:rsidR="00286ED4" w:rsidRPr="004F7170">
        <w:t>Bild 1 (Übersichtsplan) wurde an das entsprechende Bild von EN</w:t>
      </w:r>
      <w:r w:rsidR="00230580" w:rsidRPr="004F7170">
        <w:t xml:space="preserve"> </w:t>
      </w:r>
      <w:r w:rsidR="00286ED4" w:rsidRPr="004F7170">
        <w:t>16840 angepasst;</w:t>
      </w:r>
    </w:p>
    <w:p w14:paraId="20E6A04D" w14:textId="2E91BE8D" w:rsidR="0085433A" w:rsidRDefault="0085433A" w:rsidP="0085433A">
      <w:pPr>
        <w:tabs>
          <w:tab w:val="left" w:pos="1134"/>
        </w:tabs>
        <w:spacing w:before="60" w:line="240" w:lineRule="atLeast"/>
        <w:ind w:hanging="567"/>
      </w:pPr>
      <w:r>
        <w:t>h)</w:t>
      </w:r>
      <w:r>
        <w:tab/>
      </w:r>
      <w:r w:rsidR="00286ED4" w:rsidRPr="004F7170">
        <w:t>in Anhang A wurde Abschnitt A.5 hinzugefügt;</w:t>
      </w:r>
    </w:p>
    <w:p w14:paraId="6F1E7359" w14:textId="6D07585D" w:rsidR="0085433A" w:rsidRDefault="0085433A" w:rsidP="0085433A">
      <w:pPr>
        <w:tabs>
          <w:tab w:val="left" w:pos="1134"/>
        </w:tabs>
        <w:spacing w:before="60" w:line="240" w:lineRule="atLeast"/>
        <w:ind w:hanging="567"/>
      </w:pPr>
      <w:r>
        <w:t>i)</w:t>
      </w:r>
      <w:r>
        <w:tab/>
      </w:r>
      <w:r w:rsidR="00286ED4" w:rsidRPr="004F7170">
        <w:t>Literaturhinweise aus allen Teilen der Reihe EN 15869 wurden zusammengefasst und in Teil 1 eingefügt;</w:t>
      </w:r>
    </w:p>
    <w:p w14:paraId="54DC0FBC" w14:textId="1DA85AE8" w:rsidR="00286ED4" w:rsidRPr="004F7170" w:rsidRDefault="0085433A" w:rsidP="0085433A">
      <w:pPr>
        <w:tabs>
          <w:tab w:val="left" w:pos="1134"/>
        </w:tabs>
        <w:spacing w:before="60" w:line="240" w:lineRule="atLeast"/>
        <w:ind w:hanging="567"/>
      </w:pPr>
      <w:r>
        <w:t>j)</w:t>
      </w:r>
      <w:r>
        <w:tab/>
      </w:r>
      <w:r w:rsidR="00286ED4" w:rsidRPr="004F7170">
        <w:t>schließlich wurden weitere redaktionelle Änderungen vorgenommen.</w:t>
      </w:r>
    </w:p>
    <w:p w14:paraId="19548760" w14:textId="77777777" w:rsidR="00286ED4" w:rsidRPr="004F7170" w:rsidRDefault="00286ED4" w:rsidP="0085433A">
      <w:pPr>
        <w:widowControl/>
        <w:tabs>
          <w:tab w:val="left" w:pos="1134"/>
        </w:tabs>
        <w:overflowPunct/>
        <w:autoSpaceDE/>
        <w:autoSpaceDN/>
        <w:adjustRightInd/>
        <w:spacing w:before="60" w:line="240" w:lineRule="atLeast"/>
        <w:ind w:left="567" w:firstLine="0"/>
        <w:contextualSpacing/>
        <w:textAlignment w:val="auto"/>
      </w:pPr>
    </w:p>
    <w:p w14:paraId="5ADA2CD0" w14:textId="14911EBA" w:rsidR="00286ED4" w:rsidRPr="004F7170" w:rsidRDefault="004F7170" w:rsidP="004F7170">
      <w:pPr>
        <w:tabs>
          <w:tab w:val="left" w:pos="567"/>
          <w:tab w:val="left" w:pos="1134"/>
        </w:tabs>
        <w:spacing w:line="240" w:lineRule="atLeast"/>
        <w:ind w:left="567" w:firstLine="0"/>
      </w:pPr>
      <w:r>
        <w:t>119.</w:t>
      </w:r>
      <w:r>
        <w:tab/>
      </w:r>
      <w:r w:rsidR="00286ED4" w:rsidRPr="004F7170">
        <w:t>Teile für Neubauten oder Ersatzteile für bestehende Schiffe können nicht mehr nach der alten Normausgabe beschafft werden. Es ist kein Grund bekannt, warum die aktuelle Ausgabe nicht für das ADN geeignet sein könnte.</w:t>
      </w:r>
    </w:p>
    <w:p w14:paraId="7EF61794" w14:textId="77777777" w:rsidR="00286ED4" w:rsidRPr="004F7170" w:rsidRDefault="00286ED4" w:rsidP="004F7170">
      <w:pPr>
        <w:tabs>
          <w:tab w:val="left" w:pos="567"/>
          <w:tab w:val="left" w:pos="1134"/>
        </w:tabs>
        <w:spacing w:line="240" w:lineRule="atLeast"/>
        <w:ind w:left="567" w:firstLine="0"/>
      </w:pPr>
    </w:p>
    <w:p w14:paraId="41F377CF" w14:textId="3167F7FE" w:rsidR="00230580" w:rsidRPr="004F7170" w:rsidRDefault="004F7170" w:rsidP="004F7170">
      <w:pPr>
        <w:tabs>
          <w:tab w:val="left" w:pos="567"/>
          <w:tab w:val="left" w:pos="1134"/>
        </w:tabs>
        <w:spacing w:line="240" w:lineRule="atLeast"/>
        <w:ind w:left="567" w:firstLine="0"/>
      </w:pPr>
      <w:r>
        <w:t>120.</w:t>
      </w:r>
      <w:r>
        <w:tab/>
      </w:r>
      <w:r w:rsidR="00230580" w:rsidRPr="004F7170">
        <w:t>In Absatz 1.6.7.2.1.1 Allgemeine Übergangsvorschriften: Trockengüterschiffe die folgenden neuen Übergangsvorschriften einfügen.</w:t>
      </w:r>
    </w:p>
    <w:p w14:paraId="34482188" w14:textId="77777777" w:rsidR="00230580" w:rsidRPr="006C5859" w:rsidRDefault="00230580" w:rsidP="000A72C7">
      <w:pPr>
        <w:tabs>
          <w:tab w:val="left" w:pos="567"/>
        </w:tabs>
        <w:spacing w:line="240" w:lineRule="atLeast"/>
        <w:ind w:left="0" w:firstLine="0"/>
      </w:pPr>
    </w:p>
    <w:tbl>
      <w:tblPr>
        <w:tblW w:w="9142" w:type="dxa"/>
        <w:tblLayout w:type="fixed"/>
        <w:tblCellMar>
          <w:left w:w="70" w:type="dxa"/>
          <w:right w:w="70" w:type="dxa"/>
        </w:tblCellMar>
        <w:tblLook w:val="0000" w:firstRow="0" w:lastRow="0" w:firstColumn="0" w:lastColumn="0" w:noHBand="0" w:noVBand="0"/>
      </w:tblPr>
      <w:tblGrid>
        <w:gridCol w:w="1418"/>
        <w:gridCol w:w="2268"/>
        <w:gridCol w:w="5456"/>
      </w:tblGrid>
      <w:tr w:rsidR="00230580" w:rsidRPr="006C5859" w14:paraId="6F52C2AA" w14:textId="77777777" w:rsidTr="00E0183A">
        <w:trPr>
          <w:cantSplit/>
        </w:trPr>
        <w:tc>
          <w:tcPr>
            <w:tcW w:w="1418" w:type="dxa"/>
            <w:tcBorders>
              <w:top w:val="single" w:sz="6" w:space="0" w:color="auto"/>
              <w:left w:val="single" w:sz="6" w:space="0" w:color="auto"/>
              <w:bottom w:val="single" w:sz="6" w:space="0" w:color="auto"/>
              <w:right w:val="single" w:sz="6" w:space="0" w:color="auto"/>
            </w:tcBorders>
          </w:tcPr>
          <w:p w14:paraId="4E3B365F" w14:textId="77777777" w:rsidR="00230580" w:rsidRPr="006C5859" w:rsidRDefault="00230580" w:rsidP="000A72C7">
            <w:pPr>
              <w:pStyle w:val="N3"/>
              <w:tabs>
                <w:tab w:val="clear" w:pos="170"/>
              </w:tabs>
              <w:spacing w:before="60" w:after="60" w:line="240" w:lineRule="atLeast"/>
              <w:rPr>
                <w:rFonts w:ascii="Times New Roman" w:hAnsi="Times New Roman"/>
                <w:sz w:val="20"/>
              </w:rPr>
            </w:pPr>
            <w:r w:rsidRPr="006C5859">
              <w:rPr>
                <w:rFonts w:ascii="Times New Roman" w:hAnsi="Times New Roman"/>
                <w:sz w:val="20"/>
                <w:lang w:val="de-DE"/>
              </w:rPr>
              <w:t>9.1.0.53.4 a)</w:t>
            </w:r>
          </w:p>
        </w:tc>
        <w:tc>
          <w:tcPr>
            <w:tcW w:w="2268" w:type="dxa"/>
            <w:tcBorders>
              <w:top w:val="single" w:sz="6" w:space="0" w:color="auto"/>
              <w:left w:val="single" w:sz="6" w:space="0" w:color="auto"/>
              <w:bottom w:val="single" w:sz="6" w:space="0" w:color="auto"/>
              <w:right w:val="single" w:sz="6" w:space="0" w:color="auto"/>
            </w:tcBorders>
          </w:tcPr>
          <w:p w14:paraId="50A1BDCA" w14:textId="77777777" w:rsidR="00230580" w:rsidRPr="006C5859" w:rsidRDefault="00230580" w:rsidP="000A72C7">
            <w:pPr>
              <w:pStyle w:val="N3"/>
              <w:tabs>
                <w:tab w:val="clear" w:pos="170"/>
              </w:tabs>
              <w:spacing w:before="60" w:after="60" w:line="240" w:lineRule="atLeast"/>
              <w:rPr>
                <w:rFonts w:ascii="Times New Roman" w:hAnsi="Times New Roman"/>
                <w:sz w:val="20"/>
                <w:lang w:val="de-DE"/>
              </w:rPr>
            </w:pPr>
            <w:r w:rsidRPr="006C5859">
              <w:rPr>
                <w:rFonts w:ascii="Times New Roman" w:hAnsi="Times New Roman"/>
                <w:sz w:val="20"/>
              </w:rPr>
              <w:t>EN 15869-</w:t>
            </w:r>
            <w:proofErr w:type="gramStart"/>
            <w:r w:rsidRPr="006C5859">
              <w:rPr>
                <w:rFonts w:ascii="Times New Roman" w:hAnsi="Times New Roman"/>
                <w:sz w:val="20"/>
              </w:rPr>
              <w:t>1:</w:t>
            </w:r>
            <w:proofErr w:type="gramEnd"/>
            <w:r w:rsidRPr="006C5859">
              <w:rPr>
                <w:rFonts w:ascii="Times New Roman" w:hAnsi="Times New Roman"/>
                <w:sz w:val="20"/>
              </w:rPr>
              <w:t>2019</w:t>
            </w:r>
          </w:p>
        </w:tc>
        <w:tc>
          <w:tcPr>
            <w:tcW w:w="5456" w:type="dxa"/>
            <w:tcBorders>
              <w:top w:val="single" w:sz="6" w:space="0" w:color="auto"/>
              <w:left w:val="single" w:sz="6" w:space="0" w:color="auto"/>
              <w:bottom w:val="single" w:sz="6" w:space="0" w:color="auto"/>
              <w:right w:val="single" w:sz="6" w:space="0" w:color="auto"/>
            </w:tcBorders>
          </w:tcPr>
          <w:p w14:paraId="67FAE212" w14:textId="77777777" w:rsidR="00230580" w:rsidRPr="006C5859" w:rsidRDefault="00230580" w:rsidP="000A72C7">
            <w:pPr>
              <w:pStyle w:val="N3"/>
              <w:spacing w:before="60" w:after="60" w:line="240" w:lineRule="atLeast"/>
              <w:rPr>
                <w:rFonts w:ascii="Times New Roman" w:hAnsi="Times New Roman"/>
                <w:sz w:val="20"/>
                <w:lang w:val="de-DE"/>
              </w:rPr>
            </w:pPr>
            <w:r w:rsidRPr="006C5859">
              <w:rPr>
                <w:rFonts w:ascii="Times New Roman" w:hAnsi="Times New Roman"/>
                <w:sz w:val="20"/>
                <w:lang w:val="de-DE"/>
              </w:rPr>
              <w:t>N.E.U. ab 1. Januar 2023</w:t>
            </w:r>
          </w:p>
          <w:p w14:paraId="3BF98AE8" w14:textId="657E592E" w:rsidR="00230580" w:rsidRPr="006C5859" w:rsidRDefault="00230580" w:rsidP="001778DD">
            <w:pPr>
              <w:pStyle w:val="N3"/>
              <w:tabs>
                <w:tab w:val="clear" w:pos="170"/>
              </w:tabs>
              <w:spacing w:before="60" w:after="60" w:line="240" w:lineRule="atLeast"/>
              <w:ind w:left="0" w:firstLine="0"/>
              <w:rPr>
                <w:rFonts w:ascii="Times New Roman" w:hAnsi="Times New Roman"/>
                <w:sz w:val="20"/>
                <w:lang w:val="de-DE"/>
              </w:rPr>
            </w:pPr>
            <w:r w:rsidRPr="006C5859">
              <w:rPr>
                <w:rFonts w:ascii="Times New Roman" w:hAnsi="Times New Roman"/>
                <w:sz w:val="20"/>
                <w:lang w:val="de-DE"/>
              </w:rPr>
              <w:t>Erneuerung des Zulassungszeugnisses</w:t>
            </w:r>
            <w:r w:rsidR="001778DD">
              <w:rPr>
                <w:rFonts w:ascii="Times New Roman" w:hAnsi="Times New Roman"/>
                <w:sz w:val="20"/>
                <w:lang w:val="de-DE"/>
              </w:rPr>
              <w:t xml:space="preserve"> </w:t>
            </w:r>
            <w:r w:rsidRPr="006C5859">
              <w:rPr>
                <w:rFonts w:ascii="Times New Roman" w:hAnsi="Times New Roman"/>
                <w:sz w:val="20"/>
                <w:lang w:val="de-DE"/>
              </w:rPr>
              <w:t>nach dem 31. Dezember</w:t>
            </w:r>
            <w:r w:rsidR="0075000E" w:rsidRPr="006C5859">
              <w:rPr>
                <w:rFonts w:ascii="Times New Roman" w:hAnsi="Times New Roman"/>
                <w:sz w:val="20"/>
                <w:lang w:val="de-DE"/>
              </w:rPr>
              <w:t> </w:t>
            </w:r>
            <w:r w:rsidR="00C50FF5" w:rsidRPr="006C5859">
              <w:rPr>
                <w:rFonts w:ascii="Times New Roman" w:hAnsi="Times New Roman"/>
                <w:sz w:val="20"/>
                <w:lang w:val="de-DE"/>
              </w:rPr>
              <w:t>2026</w:t>
            </w:r>
          </w:p>
        </w:tc>
      </w:tr>
    </w:tbl>
    <w:p w14:paraId="5502F289" w14:textId="77777777" w:rsidR="00286ED4" w:rsidRPr="006C5859" w:rsidRDefault="00286ED4" w:rsidP="000A72C7">
      <w:pPr>
        <w:tabs>
          <w:tab w:val="left" w:pos="567"/>
        </w:tabs>
        <w:spacing w:line="240" w:lineRule="atLeast"/>
        <w:ind w:left="0" w:firstLine="0"/>
      </w:pPr>
    </w:p>
    <w:p w14:paraId="6D1F587E" w14:textId="0F3A47E6" w:rsidR="00230580" w:rsidRPr="006C5859" w:rsidRDefault="0085433A" w:rsidP="0085433A">
      <w:pPr>
        <w:tabs>
          <w:tab w:val="left" w:pos="1134"/>
        </w:tabs>
        <w:spacing w:line="240" w:lineRule="atLeast"/>
        <w:ind w:left="567" w:firstLine="0"/>
      </w:pPr>
      <w:r>
        <w:t>121.</w:t>
      </w:r>
      <w:r>
        <w:tab/>
      </w:r>
      <w:r w:rsidR="00230580" w:rsidRPr="006C5859">
        <w:t xml:space="preserve">Die Änderung der Norm enthält sicherheitstechnisch relevante Bestandteile. Deswegen ist eine Nachrüstung der </w:t>
      </w:r>
      <w:r w:rsidR="00576571" w:rsidRPr="006C5859">
        <w:t>Landanschlüsse</w:t>
      </w:r>
      <w:r w:rsidR="00230580" w:rsidRPr="006C5859">
        <w:t xml:space="preserve"> erforderlich, um das bestmögliche Sicherheitsniveau zu erhalten. Ein Übergangszeitraum von 3 bis 8 Jahren, nachdem die Änderung beschlossen </w:t>
      </w:r>
      <w:proofErr w:type="gramStart"/>
      <w:r w:rsidR="00230580" w:rsidRPr="006C5859">
        <w:t>wird</w:t>
      </w:r>
      <w:proofErr w:type="gramEnd"/>
      <w:r w:rsidR="00230580" w:rsidRPr="006C5859">
        <w:t xml:space="preserve"> ist ausreichend um den erforderlichen Austausch zu organisieren.</w:t>
      </w:r>
    </w:p>
    <w:p w14:paraId="5199835C" w14:textId="35CBB568" w:rsidR="00AC1928" w:rsidRDefault="00AC1928" w:rsidP="000A72C7">
      <w:pPr>
        <w:tabs>
          <w:tab w:val="left" w:pos="567"/>
        </w:tabs>
        <w:spacing w:line="240" w:lineRule="atLeast"/>
        <w:ind w:left="0" w:firstLine="0"/>
      </w:pPr>
    </w:p>
    <w:p w14:paraId="62FB1CD6" w14:textId="77777777" w:rsidR="006C5859" w:rsidRPr="006C5859" w:rsidRDefault="006C5859" w:rsidP="000A72C7">
      <w:pPr>
        <w:tabs>
          <w:tab w:val="left" w:pos="567"/>
        </w:tabs>
        <w:spacing w:line="240" w:lineRule="atLeast"/>
        <w:ind w:left="0" w:firstLine="0"/>
      </w:pPr>
    </w:p>
    <w:p w14:paraId="2DFE6525" w14:textId="61E5D81D" w:rsidR="001749D2" w:rsidRPr="003D7C67" w:rsidRDefault="0085433A" w:rsidP="000A72C7">
      <w:pPr>
        <w:tabs>
          <w:tab w:val="left" w:pos="567"/>
        </w:tabs>
        <w:spacing w:line="240" w:lineRule="atLeast"/>
        <w:ind w:left="0" w:firstLine="0"/>
        <w:rPr>
          <w:b/>
          <w:bCs/>
        </w:rPr>
      </w:pPr>
      <w:r>
        <w:rPr>
          <w:b/>
          <w:bCs/>
        </w:rPr>
        <w:lastRenderedPageBreak/>
        <w:t>6</w:t>
      </w:r>
      <w:r w:rsidR="00A05AB3" w:rsidRPr="003D7C67">
        <w:rPr>
          <w:b/>
          <w:bCs/>
        </w:rPr>
        <w:t>.</w:t>
      </w:r>
      <w:r w:rsidR="00A05AB3" w:rsidRPr="003D7C67">
        <w:rPr>
          <w:b/>
          <w:bCs/>
        </w:rPr>
        <w:tab/>
        <w:t>In Absatz 8.1.2.2 h</w:t>
      </w:r>
      <w:r w:rsidR="00A3038F" w:rsidRPr="003D7C67">
        <w:rPr>
          <w:b/>
          <w:bCs/>
        </w:rPr>
        <w:t>)</w:t>
      </w:r>
      <w:r w:rsidR="00C7193B" w:rsidRPr="003D7C67">
        <w:rPr>
          <w:b/>
          <w:bCs/>
        </w:rPr>
        <w:t xml:space="preserve"> (an Bord von Trockengüterschiffen mitzuführende Dokumente)</w:t>
      </w:r>
      <w:r w:rsidR="00A05AB3" w:rsidRPr="003D7C67">
        <w:rPr>
          <w:b/>
          <w:bCs/>
        </w:rPr>
        <w:t xml:space="preserve">, </w:t>
      </w:r>
      <w:r w:rsidR="00A3038F" w:rsidRPr="003D7C67">
        <w:rPr>
          <w:b/>
          <w:bCs/>
        </w:rPr>
        <w:t>erster und zweiter Anstrich</w:t>
      </w:r>
    </w:p>
    <w:p w14:paraId="137B1AA1" w14:textId="77777777" w:rsidR="001749D2" w:rsidRPr="0085433A" w:rsidRDefault="001749D2" w:rsidP="000A72C7">
      <w:pPr>
        <w:tabs>
          <w:tab w:val="left" w:pos="567"/>
        </w:tabs>
        <w:spacing w:line="240" w:lineRule="atLeast"/>
        <w:ind w:left="0" w:firstLine="0"/>
        <w:rPr>
          <w:i/>
          <w:iCs/>
        </w:rPr>
      </w:pPr>
    </w:p>
    <w:p w14:paraId="74B95253" w14:textId="77777777" w:rsidR="00A05AB3" w:rsidRPr="0085433A" w:rsidRDefault="00A3038F" w:rsidP="0085433A">
      <w:pPr>
        <w:tabs>
          <w:tab w:val="left" w:pos="567"/>
        </w:tabs>
        <w:spacing w:line="240" w:lineRule="atLeast"/>
        <w:ind w:left="567" w:firstLine="0"/>
        <w:rPr>
          <w:i/>
          <w:iCs/>
        </w:rPr>
      </w:pPr>
      <w:r w:rsidRPr="0085433A">
        <w:rPr>
          <w:i/>
          <w:iCs/>
        </w:rPr>
        <w:t>das Zitat „IEC 60079-0“ durch „IEC 60079-0:2011, modifiziert + Cor.:2012 + Cor.:2013“ ersetzen.</w:t>
      </w:r>
    </w:p>
    <w:p w14:paraId="04983111" w14:textId="77777777" w:rsidR="00A3038F" w:rsidRPr="006C5859" w:rsidRDefault="00A3038F" w:rsidP="000A72C7">
      <w:pPr>
        <w:tabs>
          <w:tab w:val="left" w:pos="567"/>
        </w:tabs>
        <w:spacing w:line="240" w:lineRule="atLeast"/>
        <w:ind w:left="0" w:firstLine="0"/>
      </w:pPr>
    </w:p>
    <w:p w14:paraId="0D0E0821" w14:textId="2D7F6B9F" w:rsidR="00F010AD" w:rsidRPr="006C5859" w:rsidRDefault="00F010AD" w:rsidP="000A72C7">
      <w:pPr>
        <w:tabs>
          <w:tab w:val="left" w:pos="567"/>
        </w:tabs>
        <w:spacing w:line="240" w:lineRule="atLeast"/>
        <w:ind w:left="0" w:firstLine="0"/>
      </w:pPr>
    </w:p>
    <w:p w14:paraId="6E5A8E70" w14:textId="0E68A684" w:rsidR="001749D2" w:rsidRPr="003D7C67" w:rsidRDefault="0085433A" w:rsidP="000A72C7">
      <w:pPr>
        <w:tabs>
          <w:tab w:val="left" w:pos="567"/>
        </w:tabs>
        <w:spacing w:line="240" w:lineRule="atLeast"/>
        <w:ind w:left="0" w:firstLine="0"/>
        <w:rPr>
          <w:b/>
          <w:bCs/>
        </w:rPr>
      </w:pPr>
      <w:r>
        <w:rPr>
          <w:b/>
          <w:bCs/>
        </w:rPr>
        <w:t>7</w:t>
      </w:r>
      <w:r w:rsidR="00A3038F" w:rsidRPr="003D7C67">
        <w:rPr>
          <w:b/>
          <w:bCs/>
        </w:rPr>
        <w:t xml:space="preserve">. </w:t>
      </w:r>
      <w:r w:rsidR="00A3038F" w:rsidRPr="003D7C67">
        <w:rPr>
          <w:b/>
          <w:bCs/>
        </w:rPr>
        <w:tab/>
        <w:t xml:space="preserve">In Absatz 8.1.2.3 u), </w:t>
      </w:r>
      <w:r w:rsidR="00C7193B" w:rsidRPr="003D7C67">
        <w:rPr>
          <w:b/>
          <w:bCs/>
        </w:rPr>
        <w:t xml:space="preserve">(an Bord von Tankschiffen mitzuführende Dokumente), </w:t>
      </w:r>
      <w:r w:rsidR="00A3038F" w:rsidRPr="003D7C67">
        <w:rPr>
          <w:b/>
          <w:bCs/>
        </w:rPr>
        <w:t>erster und zweiter Anstrich</w:t>
      </w:r>
    </w:p>
    <w:p w14:paraId="23173E39" w14:textId="77777777" w:rsidR="001749D2" w:rsidRPr="006C5859" w:rsidRDefault="001749D2" w:rsidP="000A72C7">
      <w:pPr>
        <w:tabs>
          <w:tab w:val="left" w:pos="567"/>
        </w:tabs>
        <w:spacing w:line="240" w:lineRule="atLeast"/>
        <w:ind w:left="0" w:firstLine="0"/>
      </w:pPr>
    </w:p>
    <w:p w14:paraId="4DBADAF6" w14:textId="77777777" w:rsidR="00A3038F" w:rsidRPr="0085433A" w:rsidRDefault="00A3038F" w:rsidP="0085433A">
      <w:pPr>
        <w:tabs>
          <w:tab w:val="left" w:pos="567"/>
        </w:tabs>
        <w:spacing w:line="240" w:lineRule="atLeast"/>
        <w:ind w:left="567" w:firstLine="0"/>
        <w:rPr>
          <w:i/>
          <w:iCs/>
        </w:rPr>
      </w:pPr>
      <w:r w:rsidRPr="0085433A">
        <w:rPr>
          <w:i/>
          <w:iCs/>
        </w:rPr>
        <w:t>das Zitat „IEC 60079-0“ durch „IEC 60079-0:2011, modifiziert + Cor.:2012 + Cor.:2013“ ersetzen.</w:t>
      </w:r>
    </w:p>
    <w:p w14:paraId="146EE96F" w14:textId="77777777" w:rsidR="0065254C" w:rsidRPr="006C5859" w:rsidRDefault="0065254C" w:rsidP="000A72C7">
      <w:pPr>
        <w:tabs>
          <w:tab w:val="left" w:pos="567"/>
        </w:tabs>
        <w:spacing w:line="240" w:lineRule="atLeast"/>
        <w:ind w:left="0" w:firstLine="0"/>
      </w:pPr>
    </w:p>
    <w:p w14:paraId="2E3C2352" w14:textId="052922E8" w:rsidR="001015D4" w:rsidRPr="006C5859" w:rsidRDefault="0085433A" w:rsidP="0085433A">
      <w:pPr>
        <w:tabs>
          <w:tab w:val="left" w:pos="567"/>
          <w:tab w:val="left" w:pos="1134"/>
        </w:tabs>
        <w:spacing w:line="240" w:lineRule="atLeast"/>
        <w:ind w:left="567" w:firstLine="0"/>
      </w:pPr>
      <w:r>
        <w:t>122.</w:t>
      </w:r>
      <w:r>
        <w:tab/>
      </w:r>
      <w:r w:rsidR="0065254C" w:rsidRPr="006C5859">
        <w:t>Ein dynamischer Verweis ist für die Rechtsanwender zu unbestimmt, weil er nicht erkennen kann, welche Ausgabe des Standards er zu beachten hat. Andererseits soll der Verordnungsgeber seine Regelungskompetenz in vollem Umfang in der Hand behalten und diese nicht an privatrechtliche Normungsgremien abgeben. Er soll selbst (nach sicherheitstechnischer Bewertung) entscheiden, welchen konkreten Norminhalt er im ADN für alle Rechtsanwender verbindlich machen will.</w:t>
      </w:r>
    </w:p>
    <w:p w14:paraId="3032AA8A" w14:textId="729C8DE3" w:rsidR="00D5406E" w:rsidRDefault="00D5406E" w:rsidP="0085433A">
      <w:pPr>
        <w:widowControl/>
        <w:tabs>
          <w:tab w:val="left" w:pos="1134"/>
        </w:tabs>
        <w:overflowPunct/>
        <w:autoSpaceDE/>
        <w:autoSpaceDN/>
        <w:adjustRightInd/>
        <w:ind w:left="567" w:firstLine="0"/>
        <w:jc w:val="left"/>
        <w:textAlignment w:val="auto"/>
        <w:rPr>
          <w:b/>
          <w:sz w:val="24"/>
          <w:szCs w:val="24"/>
        </w:rPr>
      </w:pPr>
    </w:p>
    <w:p w14:paraId="7AFC3BCA" w14:textId="77777777" w:rsidR="003F43D4" w:rsidRDefault="003F43D4">
      <w:pPr>
        <w:widowControl/>
        <w:overflowPunct/>
        <w:autoSpaceDE/>
        <w:autoSpaceDN/>
        <w:adjustRightInd/>
        <w:ind w:left="0" w:firstLine="0"/>
        <w:jc w:val="left"/>
        <w:textAlignment w:val="auto"/>
        <w:rPr>
          <w:b/>
          <w:sz w:val="24"/>
          <w:szCs w:val="24"/>
        </w:rPr>
      </w:pPr>
    </w:p>
    <w:p w14:paraId="1DEA1EE3" w14:textId="370E0716" w:rsidR="00BF43B5" w:rsidRPr="006C5859" w:rsidRDefault="00A60B88" w:rsidP="006C5859">
      <w:pPr>
        <w:tabs>
          <w:tab w:val="left" w:pos="567"/>
          <w:tab w:val="left" w:pos="1418"/>
        </w:tabs>
        <w:spacing w:line="240" w:lineRule="atLeast"/>
        <w:contextualSpacing/>
        <w:rPr>
          <w:b/>
          <w:sz w:val="24"/>
          <w:szCs w:val="24"/>
        </w:rPr>
      </w:pPr>
      <w:r w:rsidRPr="006C5859">
        <w:rPr>
          <w:b/>
          <w:sz w:val="24"/>
          <w:szCs w:val="24"/>
        </w:rPr>
        <w:t>B</w:t>
      </w:r>
      <w:r w:rsidR="00BF43B5" w:rsidRPr="006C5859">
        <w:rPr>
          <w:b/>
          <w:sz w:val="24"/>
          <w:szCs w:val="24"/>
        </w:rPr>
        <w:t>.</w:t>
      </w:r>
      <w:r w:rsidR="00AC0F12" w:rsidRPr="006C5859">
        <w:rPr>
          <w:b/>
          <w:sz w:val="24"/>
          <w:szCs w:val="24"/>
        </w:rPr>
        <w:tab/>
      </w:r>
      <w:r w:rsidR="00BF43B5" w:rsidRPr="006C5859">
        <w:rPr>
          <w:b/>
          <w:sz w:val="24"/>
          <w:szCs w:val="24"/>
        </w:rPr>
        <w:t>Quellenangaben</w:t>
      </w:r>
    </w:p>
    <w:p w14:paraId="39AFB086" w14:textId="77777777" w:rsidR="00BF43B5" w:rsidRPr="006C5859" w:rsidRDefault="00BF43B5" w:rsidP="000A72C7">
      <w:pPr>
        <w:widowControl/>
        <w:overflowPunct/>
        <w:autoSpaceDE/>
        <w:autoSpaceDN/>
        <w:adjustRightInd/>
        <w:spacing w:line="240" w:lineRule="atLeast"/>
        <w:ind w:left="0" w:firstLine="0"/>
        <w:contextualSpacing/>
        <w:textAlignment w:val="auto"/>
      </w:pPr>
    </w:p>
    <w:p w14:paraId="2413D827" w14:textId="0E55EFE4" w:rsidR="005976EF" w:rsidRPr="006C5859" w:rsidRDefault="0085433A" w:rsidP="0085433A">
      <w:pPr>
        <w:widowControl/>
        <w:tabs>
          <w:tab w:val="left" w:pos="1134"/>
        </w:tabs>
        <w:overflowPunct/>
        <w:autoSpaceDE/>
        <w:autoSpaceDN/>
        <w:adjustRightInd/>
        <w:spacing w:line="240" w:lineRule="atLeast"/>
        <w:ind w:left="567" w:firstLine="0"/>
        <w:contextualSpacing/>
        <w:textAlignment w:val="auto"/>
      </w:pPr>
      <w:r>
        <w:t>123</w:t>
      </w:r>
      <w:r w:rsidR="00CF4B96" w:rsidRPr="006C5859">
        <w:t>.</w:t>
      </w:r>
      <w:r w:rsidR="00CF4B96" w:rsidRPr="006C5859">
        <w:tab/>
      </w:r>
      <w:r w:rsidR="00E02478" w:rsidRPr="006C5859">
        <w:t xml:space="preserve">Die Angaben zu den Änderungen in den </w:t>
      </w:r>
      <w:r w:rsidR="00B611A4" w:rsidRPr="006C5859">
        <w:t>DIN-, EN- und ISO-</w:t>
      </w:r>
      <w:r w:rsidR="00E02478" w:rsidRPr="006C5859">
        <w:t xml:space="preserve">Normausgaben </w:t>
      </w:r>
      <w:r w:rsidR="005976EF" w:rsidRPr="006C5859">
        <w:t>wurden</w:t>
      </w:r>
      <w:r w:rsidR="00E02478" w:rsidRPr="006C5859">
        <w:t xml:space="preserve"> der Internetseite www.beuth.de entnommen (Verlag, der in Deutschland </w:t>
      </w:r>
      <w:r w:rsidR="005976EF" w:rsidRPr="006C5859">
        <w:t xml:space="preserve">exklusiv </w:t>
      </w:r>
      <w:r w:rsidR="00E02478" w:rsidRPr="006C5859">
        <w:t>die Normen vertreibt).</w:t>
      </w:r>
    </w:p>
    <w:p w14:paraId="070D3360" w14:textId="77777777" w:rsidR="0072203F" w:rsidRDefault="0072203F" w:rsidP="0085433A">
      <w:pPr>
        <w:widowControl/>
        <w:tabs>
          <w:tab w:val="left" w:pos="1134"/>
        </w:tabs>
        <w:overflowPunct/>
        <w:autoSpaceDE/>
        <w:autoSpaceDN/>
        <w:adjustRightInd/>
        <w:spacing w:line="240" w:lineRule="atLeast"/>
        <w:ind w:left="567" w:firstLine="0"/>
        <w:contextualSpacing/>
        <w:textAlignment w:val="auto"/>
      </w:pPr>
    </w:p>
    <w:p w14:paraId="55904B98" w14:textId="41BFE80D" w:rsidR="00405183" w:rsidRPr="006C5859" w:rsidRDefault="0085433A" w:rsidP="0085433A">
      <w:pPr>
        <w:widowControl/>
        <w:tabs>
          <w:tab w:val="left" w:pos="1134"/>
        </w:tabs>
        <w:overflowPunct/>
        <w:autoSpaceDE/>
        <w:autoSpaceDN/>
        <w:adjustRightInd/>
        <w:spacing w:line="240" w:lineRule="atLeast"/>
        <w:ind w:left="567" w:firstLine="0"/>
        <w:contextualSpacing/>
        <w:textAlignment w:val="auto"/>
      </w:pPr>
      <w:r>
        <w:t>124.</w:t>
      </w:r>
      <w:r>
        <w:tab/>
      </w:r>
      <w:r w:rsidR="00405183" w:rsidRPr="006C5859">
        <w:t>Die IEC-Standards und ihr aktueller Stand werden auf der Seite https://webstore.iec.ch/home beschrieben.</w:t>
      </w:r>
    </w:p>
    <w:p w14:paraId="1BB0DAF7" w14:textId="77777777" w:rsidR="000C0CD6" w:rsidRPr="006C5859" w:rsidRDefault="000C0CD6" w:rsidP="0085433A">
      <w:pPr>
        <w:widowControl/>
        <w:tabs>
          <w:tab w:val="left" w:pos="1134"/>
        </w:tabs>
        <w:overflowPunct/>
        <w:autoSpaceDE/>
        <w:autoSpaceDN/>
        <w:adjustRightInd/>
        <w:spacing w:line="240" w:lineRule="atLeast"/>
        <w:ind w:left="567" w:firstLine="0"/>
        <w:contextualSpacing/>
        <w:textAlignment w:val="auto"/>
      </w:pPr>
    </w:p>
    <w:p w14:paraId="6ACCF9EA" w14:textId="77777777" w:rsidR="005976EF" w:rsidRPr="006C5859" w:rsidRDefault="005976EF" w:rsidP="000A72C7">
      <w:pPr>
        <w:widowControl/>
        <w:overflowPunct/>
        <w:autoSpaceDE/>
        <w:autoSpaceDN/>
        <w:adjustRightInd/>
        <w:spacing w:line="240" w:lineRule="atLeast"/>
        <w:ind w:left="0" w:firstLine="0"/>
        <w:contextualSpacing/>
        <w:textAlignment w:val="auto"/>
      </w:pPr>
    </w:p>
    <w:p w14:paraId="549C6B16" w14:textId="6734C434" w:rsidR="00E1103A" w:rsidRPr="006C5859" w:rsidRDefault="0085433A" w:rsidP="000A72C7">
      <w:pPr>
        <w:tabs>
          <w:tab w:val="left" w:pos="567"/>
          <w:tab w:val="left" w:pos="1418"/>
        </w:tabs>
        <w:spacing w:line="240" w:lineRule="atLeast"/>
        <w:contextualSpacing/>
        <w:rPr>
          <w:b/>
          <w:sz w:val="24"/>
          <w:szCs w:val="24"/>
        </w:rPr>
      </w:pPr>
      <w:r>
        <w:rPr>
          <w:b/>
          <w:sz w:val="24"/>
          <w:szCs w:val="24"/>
        </w:rPr>
        <w:t>II</w:t>
      </w:r>
      <w:r w:rsidR="00E1103A" w:rsidRPr="006C5859">
        <w:rPr>
          <w:b/>
          <w:sz w:val="24"/>
          <w:szCs w:val="24"/>
        </w:rPr>
        <w:t>.</w:t>
      </w:r>
      <w:r w:rsidR="00E1103A" w:rsidRPr="006C5859">
        <w:rPr>
          <w:b/>
          <w:sz w:val="24"/>
          <w:szCs w:val="24"/>
        </w:rPr>
        <w:tab/>
        <w:t>Sicherheit</w:t>
      </w:r>
    </w:p>
    <w:p w14:paraId="0FC5062F" w14:textId="77777777" w:rsidR="00E1103A" w:rsidRPr="006C5859" w:rsidRDefault="00E1103A" w:rsidP="000A72C7">
      <w:pPr>
        <w:widowControl/>
        <w:overflowPunct/>
        <w:autoSpaceDE/>
        <w:autoSpaceDN/>
        <w:adjustRightInd/>
        <w:spacing w:line="240" w:lineRule="atLeast"/>
        <w:ind w:left="0" w:firstLine="0"/>
        <w:contextualSpacing/>
        <w:textAlignment w:val="auto"/>
      </w:pPr>
    </w:p>
    <w:p w14:paraId="148AEEBA" w14:textId="7A361D40" w:rsidR="001015D4" w:rsidRPr="006C5859" w:rsidRDefault="00D5406E" w:rsidP="0085433A">
      <w:pPr>
        <w:widowControl/>
        <w:tabs>
          <w:tab w:val="left" w:pos="1134"/>
        </w:tabs>
        <w:overflowPunct/>
        <w:autoSpaceDE/>
        <w:autoSpaceDN/>
        <w:adjustRightInd/>
        <w:spacing w:line="240" w:lineRule="atLeast"/>
        <w:ind w:left="567" w:firstLine="0"/>
        <w:contextualSpacing/>
        <w:textAlignment w:val="auto"/>
      </w:pPr>
      <w:r>
        <w:t>12</w:t>
      </w:r>
      <w:r w:rsidR="0085433A">
        <w:t>5</w:t>
      </w:r>
      <w:r w:rsidR="006639F3" w:rsidRPr="006C5859">
        <w:t>.</w:t>
      </w:r>
      <w:r w:rsidR="00BB2346" w:rsidRPr="006C5859">
        <w:tab/>
        <w:t xml:space="preserve">Durch die Übernahme des </w:t>
      </w:r>
      <w:r w:rsidR="002546D9" w:rsidRPr="006C5859">
        <w:t xml:space="preserve">jeweils </w:t>
      </w:r>
      <w:r w:rsidR="00BB2346" w:rsidRPr="006C5859">
        <w:t>aktuellen Stands der Normen wird das aktuell höchste Sicherheits</w:t>
      </w:r>
      <w:r w:rsidR="00BF43B5" w:rsidRPr="006C5859">
        <w:t>-</w:t>
      </w:r>
      <w:r w:rsidR="00BB2346" w:rsidRPr="006C5859">
        <w:t>niveau gewährleistet.</w:t>
      </w:r>
      <w:r w:rsidR="00BF43B5" w:rsidRPr="006C5859">
        <w:t xml:space="preserve"> </w:t>
      </w:r>
    </w:p>
    <w:p w14:paraId="30F50B25" w14:textId="77777777" w:rsidR="000C0CD6" w:rsidRPr="006C5859" w:rsidRDefault="000C0CD6" w:rsidP="000A72C7">
      <w:pPr>
        <w:widowControl/>
        <w:overflowPunct/>
        <w:autoSpaceDE/>
        <w:autoSpaceDN/>
        <w:adjustRightInd/>
        <w:spacing w:line="240" w:lineRule="atLeast"/>
        <w:ind w:left="0" w:firstLine="0"/>
        <w:contextualSpacing/>
        <w:textAlignment w:val="auto"/>
      </w:pPr>
    </w:p>
    <w:p w14:paraId="43B95F69" w14:textId="77777777" w:rsidR="00BF43B5" w:rsidRPr="006C5859" w:rsidRDefault="00BF43B5" w:rsidP="000A72C7">
      <w:pPr>
        <w:widowControl/>
        <w:overflowPunct/>
        <w:autoSpaceDE/>
        <w:autoSpaceDN/>
        <w:adjustRightInd/>
        <w:spacing w:line="240" w:lineRule="atLeast"/>
        <w:ind w:left="0" w:firstLine="0"/>
        <w:contextualSpacing/>
        <w:textAlignment w:val="auto"/>
      </w:pPr>
    </w:p>
    <w:p w14:paraId="398E183C" w14:textId="5AC14332" w:rsidR="00B041A6" w:rsidRPr="006C5859" w:rsidRDefault="0085433A" w:rsidP="000A72C7">
      <w:pPr>
        <w:tabs>
          <w:tab w:val="left" w:pos="567"/>
          <w:tab w:val="left" w:pos="1418"/>
        </w:tabs>
        <w:spacing w:line="240" w:lineRule="atLeast"/>
        <w:contextualSpacing/>
        <w:rPr>
          <w:b/>
          <w:sz w:val="24"/>
          <w:szCs w:val="24"/>
        </w:rPr>
      </w:pPr>
      <w:r>
        <w:rPr>
          <w:b/>
          <w:sz w:val="24"/>
          <w:szCs w:val="24"/>
        </w:rPr>
        <w:t>III</w:t>
      </w:r>
      <w:r w:rsidR="00B041A6" w:rsidRPr="006C5859">
        <w:rPr>
          <w:b/>
          <w:sz w:val="24"/>
          <w:szCs w:val="24"/>
        </w:rPr>
        <w:t>.</w:t>
      </w:r>
      <w:r w:rsidR="00B041A6" w:rsidRPr="006C5859">
        <w:rPr>
          <w:b/>
          <w:sz w:val="24"/>
          <w:szCs w:val="24"/>
        </w:rPr>
        <w:tab/>
        <w:t>Umsetzbarkeit</w:t>
      </w:r>
    </w:p>
    <w:p w14:paraId="1B448E84" w14:textId="77777777" w:rsidR="00B041A6" w:rsidRPr="006C5859" w:rsidRDefault="00B041A6" w:rsidP="000A72C7">
      <w:pPr>
        <w:tabs>
          <w:tab w:val="left" w:pos="1418"/>
        </w:tabs>
        <w:spacing w:line="240" w:lineRule="atLeast"/>
        <w:contextualSpacing/>
      </w:pPr>
    </w:p>
    <w:p w14:paraId="301C13D4" w14:textId="7C9F2E1C" w:rsidR="00BF43B5" w:rsidRPr="006C5859" w:rsidRDefault="00D5406E" w:rsidP="0085433A">
      <w:pPr>
        <w:widowControl/>
        <w:overflowPunct/>
        <w:autoSpaceDE/>
        <w:autoSpaceDN/>
        <w:adjustRightInd/>
        <w:spacing w:line="240" w:lineRule="atLeast"/>
        <w:ind w:left="567" w:firstLine="0"/>
        <w:contextualSpacing/>
        <w:textAlignment w:val="auto"/>
      </w:pPr>
      <w:r>
        <w:t>1</w:t>
      </w:r>
      <w:r w:rsidR="0085433A">
        <w:t>26</w:t>
      </w:r>
      <w:r w:rsidR="00BF414C" w:rsidRPr="006C5859">
        <w:t>.</w:t>
      </w:r>
      <w:r w:rsidR="00BF414C" w:rsidRPr="006C5859">
        <w:tab/>
      </w:r>
      <w:r w:rsidR="00BF43B5" w:rsidRPr="006C5859">
        <w:t>Die Übergangsfristen stellen sicher, dass das bisherige Sicherheitsniveau aufrecht erhalten bleibt. Die Eigentümer und Betreiber der Schiffe erhalten eine angemessene Zeit für Anpassungsmaßnahmen, die spätestens anlässlich der nächsten Hauptuntersuchung des Schiffes in der Werft durchgeführt werden können. Es werden keine unverhältnismäßigen Investitionskosten und keine Einschränkungen im Schiffsbetrieb erwartet.</w:t>
      </w:r>
    </w:p>
    <w:p w14:paraId="7EAC827A" w14:textId="77777777" w:rsidR="00675A23" w:rsidRPr="006C5859" w:rsidRDefault="00675A23" w:rsidP="000A72C7">
      <w:pPr>
        <w:tabs>
          <w:tab w:val="left" w:pos="567"/>
          <w:tab w:val="left" w:pos="1418"/>
        </w:tabs>
        <w:spacing w:line="240" w:lineRule="atLeast"/>
        <w:ind w:left="0" w:firstLine="0"/>
        <w:contextualSpacing/>
      </w:pPr>
    </w:p>
    <w:p w14:paraId="449BAEBE" w14:textId="5423DB9A" w:rsidR="00751575" w:rsidRPr="006C5859" w:rsidRDefault="00B041A6" w:rsidP="000A72C7">
      <w:pPr>
        <w:tabs>
          <w:tab w:val="left" w:pos="567"/>
          <w:tab w:val="left" w:pos="1418"/>
        </w:tabs>
        <w:spacing w:line="240" w:lineRule="atLeast"/>
        <w:ind w:left="0" w:firstLine="0"/>
        <w:contextualSpacing/>
        <w:jc w:val="center"/>
      </w:pPr>
      <w:r w:rsidRPr="006C5859">
        <w:t>***</w:t>
      </w:r>
    </w:p>
    <w:sectPr w:rsidR="00751575" w:rsidRPr="006C5859" w:rsidSect="00596953">
      <w:headerReference w:type="even" r:id="rId10"/>
      <w:headerReference w:type="default" r:id="rId11"/>
      <w:footerReference w:type="even" r:id="rId12"/>
      <w:footerReference w:type="defaul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5EF6" w14:textId="77777777" w:rsidR="006C4C72" w:rsidRDefault="006C4C72" w:rsidP="0011702A">
      <w:r>
        <w:separator/>
      </w:r>
    </w:p>
  </w:endnote>
  <w:endnote w:type="continuationSeparator" w:id="0">
    <w:p w14:paraId="4D3E08E1" w14:textId="77777777" w:rsidR="006C4C72" w:rsidRDefault="006C4C72"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DA97" w14:textId="2F4C672F" w:rsidR="00AC0F12" w:rsidRDefault="00AC0F12" w:rsidP="00AC0F12">
    <w:pPr>
      <w:widowControl/>
      <w:suppressAutoHyphens/>
      <w:overflowPunct/>
      <w:autoSpaceDE/>
      <w:autoSpaceDN/>
      <w:adjustRightInd/>
      <w:ind w:left="0" w:firstLine="0"/>
      <w:jc w:val="right"/>
      <w:textAlignment w:val="auto"/>
    </w:pPr>
    <w:r>
      <w:rPr>
        <w:rFonts w:ascii="Arial" w:hAnsi="Arial"/>
        <w:noProof/>
        <w:snapToGrid w:val="0"/>
        <w:sz w:val="12"/>
        <w:szCs w:val="24"/>
        <w:lang w:val="fr-FR"/>
      </w:rPr>
      <w:t>m</w:t>
    </w:r>
    <w:r w:rsidRPr="000671E2">
      <w:rPr>
        <w:rFonts w:ascii="Arial" w:hAnsi="Arial"/>
        <w:noProof/>
        <w:snapToGrid w:val="0"/>
        <w:sz w:val="12"/>
        <w:szCs w:val="24"/>
        <w:lang w:val="fr-FR"/>
      </w:rPr>
      <w:t>m/adn_wp15_ac2_202</w:t>
    </w:r>
    <w:r>
      <w:rPr>
        <w:rFonts w:ascii="Arial" w:hAnsi="Arial"/>
        <w:noProof/>
        <w:snapToGrid w:val="0"/>
        <w:sz w:val="12"/>
        <w:szCs w:val="24"/>
        <w:lang w:val="fr-FR"/>
      </w:rPr>
      <w:t>2</w:t>
    </w:r>
    <w:r w:rsidRPr="000671E2">
      <w:rPr>
        <w:rFonts w:ascii="Arial" w:hAnsi="Arial"/>
        <w:noProof/>
        <w:snapToGrid w:val="0"/>
        <w:sz w:val="12"/>
        <w:szCs w:val="24"/>
        <w:lang w:val="fr-FR"/>
      </w:rPr>
      <w:t>_</w:t>
    </w:r>
    <w:r w:rsidR="0023331D">
      <w:rPr>
        <w:rFonts w:ascii="Arial" w:hAnsi="Arial"/>
        <w:noProof/>
        <w:snapToGrid w:val="0"/>
        <w:sz w:val="12"/>
        <w:szCs w:val="24"/>
        <w:lang w:val="fr-FR"/>
      </w:rPr>
      <w:t>4</w:t>
    </w:r>
    <w:r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0A9B" w14:textId="3E9E7726" w:rsidR="00B20810" w:rsidRDefault="00B20810" w:rsidP="00B20810">
    <w:pPr>
      <w:widowControl/>
      <w:suppressAutoHyphens/>
      <w:overflowPunct/>
      <w:autoSpaceDE/>
      <w:autoSpaceDN/>
      <w:adjustRightInd/>
      <w:ind w:left="0" w:firstLine="0"/>
      <w:jc w:val="right"/>
      <w:textAlignment w:val="auto"/>
    </w:pPr>
    <w:r>
      <w:rPr>
        <w:rFonts w:ascii="Arial" w:hAnsi="Arial"/>
        <w:noProof/>
        <w:snapToGrid w:val="0"/>
        <w:sz w:val="12"/>
        <w:szCs w:val="24"/>
        <w:lang w:val="fr-FR"/>
      </w:rPr>
      <w:t>m</w:t>
    </w:r>
    <w:r w:rsidRPr="000671E2">
      <w:rPr>
        <w:rFonts w:ascii="Arial" w:hAnsi="Arial"/>
        <w:noProof/>
        <w:snapToGrid w:val="0"/>
        <w:sz w:val="12"/>
        <w:szCs w:val="24"/>
        <w:lang w:val="fr-FR"/>
      </w:rPr>
      <w:t>m/adn_wp15_ac2_202</w:t>
    </w:r>
    <w:r>
      <w:rPr>
        <w:rFonts w:ascii="Arial" w:hAnsi="Arial"/>
        <w:noProof/>
        <w:snapToGrid w:val="0"/>
        <w:sz w:val="12"/>
        <w:szCs w:val="24"/>
        <w:lang w:val="fr-FR"/>
      </w:rPr>
      <w:t>2</w:t>
    </w:r>
    <w:r w:rsidRPr="000671E2">
      <w:rPr>
        <w:rFonts w:ascii="Arial" w:hAnsi="Arial"/>
        <w:noProof/>
        <w:snapToGrid w:val="0"/>
        <w:sz w:val="12"/>
        <w:szCs w:val="24"/>
        <w:lang w:val="fr-FR"/>
      </w:rPr>
      <w:t>_</w:t>
    </w:r>
    <w:r w:rsidR="0023331D">
      <w:rPr>
        <w:rFonts w:ascii="Arial" w:hAnsi="Arial"/>
        <w:noProof/>
        <w:snapToGrid w:val="0"/>
        <w:sz w:val="12"/>
        <w:szCs w:val="24"/>
        <w:lang w:val="fr-FR"/>
      </w:rPr>
      <w:t>4</w:t>
    </w:r>
    <w:r w:rsidRPr="000671E2">
      <w:rPr>
        <w:rFonts w:ascii="Arial" w:hAnsi="Arial"/>
        <w:noProof/>
        <w:snapToGrid w:val="0"/>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4422" w14:textId="77777777" w:rsidR="006C4C72" w:rsidRDefault="006C4C72" w:rsidP="0011702A">
      <w:r>
        <w:separator/>
      </w:r>
    </w:p>
  </w:footnote>
  <w:footnote w:type="continuationSeparator" w:id="0">
    <w:p w14:paraId="1E6CFB27" w14:textId="77777777" w:rsidR="006C4C72" w:rsidRDefault="006C4C72" w:rsidP="0011702A">
      <w:r>
        <w:continuationSeparator/>
      </w:r>
    </w:p>
  </w:footnote>
  <w:footnote w:id="1">
    <w:p w14:paraId="75AD0403" w14:textId="72CF984A" w:rsidR="000A72C7" w:rsidRPr="00B041A6" w:rsidRDefault="000A72C7" w:rsidP="000A72C7">
      <w:pPr>
        <w:pStyle w:val="Notedebasdepage"/>
        <w:ind w:left="284" w:hanging="284"/>
        <w:rPr>
          <w:sz w:val="16"/>
          <w:szCs w:val="16"/>
        </w:rPr>
      </w:pPr>
      <w:r w:rsidRPr="00B041A6">
        <w:rPr>
          <w:rStyle w:val="Appelnotedebasdep"/>
          <w:sz w:val="16"/>
          <w:szCs w:val="16"/>
        </w:rPr>
        <w:footnoteRef/>
      </w:r>
      <w:r w:rsidRPr="00B041A6">
        <w:rPr>
          <w:sz w:val="16"/>
          <w:szCs w:val="16"/>
        </w:rPr>
        <w:t xml:space="preserve"> </w:t>
      </w:r>
      <w:r w:rsidRPr="00B041A6">
        <w:rPr>
          <w:sz w:val="16"/>
          <w:szCs w:val="16"/>
        </w:rPr>
        <w:tab/>
        <w:t>Von der UN-ECE in Englisch, Französisch und Russisch unter dem Aktenzeichen ECE/TRANS/WP.15/AC.2/</w:t>
      </w:r>
      <w:r>
        <w:rPr>
          <w:sz w:val="16"/>
          <w:szCs w:val="16"/>
        </w:rPr>
        <w:t>2022/</w:t>
      </w:r>
      <w:r w:rsidR="0023331D">
        <w:rPr>
          <w:sz w:val="16"/>
          <w:szCs w:val="16"/>
        </w:rPr>
        <w:t>4</w:t>
      </w:r>
      <w:r w:rsidRPr="00B041A6">
        <w:rPr>
          <w:sz w:val="16"/>
          <w:szCs w:val="16"/>
        </w:rPr>
        <w:t xml:space="preserve"> verteilt.</w:t>
      </w:r>
    </w:p>
  </w:footnote>
  <w:footnote w:id="2">
    <w:p w14:paraId="097FD444" w14:textId="77777777" w:rsidR="000A72C7" w:rsidRPr="00B041A6" w:rsidRDefault="000A72C7" w:rsidP="000A72C7">
      <w:pPr>
        <w:pStyle w:val="Notedebasdepage"/>
        <w:tabs>
          <w:tab w:val="left" w:pos="284"/>
        </w:tabs>
        <w:ind w:left="284" w:hanging="284"/>
        <w:rPr>
          <w:sz w:val="16"/>
          <w:szCs w:val="16"/>
        </w:rPr>
      </w:pPr>
      <w:r w:rsidRPr="00B041A6">
        <w:rPr>
          <w:rStyle w:val="Appelnotedebasdep"/>
          <w:sz w:val="16"/>
          <w:szCs w:val="16"/>
        </w:rPr>
        <w:footnoteRef/>
      </w:r>
      <w:r w:rsidRPr="00B041A6">
        <w:rPr>
          <w:sz w:val="16"/>
          <w:szCs w:val="16"/>
        </w:rPr>
        <w:t xml:space="preserve"> </w:t>
      </w:r>
      <w:r w:rsidRPr="00B041A6">
        <w:rPr>
          <w:sz w:val="16"/>
          <w:szCs w:val="16"/>
        </w:rPr>
        <w:tab/>
      </w:r>
      <w:r w:rsidRPr="00066CC2">
        <w:rPr>
          <w:sz w:val="16"/>
          <w:szCs w:val="16"/>
        </w:rPr>
        <w:t>Entsprechend dem Arbeitsprogramm des Binnenverkehrsausschusses für 2021 gemäß dem Entwurf des Programmhaushalts für 2021 (A/75/6 (Kap. .20), Abs. 20.51).</w:t>
      </w:r>
    </w:p>
  </w:footnote>
  <w:footnote w:id="3">
    <w:p w14:paraId="227953B9" w14:textId="70E1D0B0" w:rsidR="00C658C0" w:rsidRPr="00C658C0" w:rsidRDefault="00C658C0" w:rsidP="00C658C0">
      <w:pPr>
        <w:pStyle w:val="Notedebasdepage"/>
        <w:tabs>
          <w:tab w:val="left" w:pos="284"/>
        </w:tabs>
        <w:ind w:left="284" w:hanging="284"/>
        <w:rPr>
          <w:sz w:val="16"/>
          <w:szCs w:val="16"/>
          <w:lang w:val="fr-FR"/>
        </w:rPr>
      </w:pPr>
      <w:r>
        <w:rPr>
          <w:rStyle w:val="Appelnotedebasdep"/>
        </w:rPr>
        <w:footnoteRef/>
      </w:r>
      <w:r>
        <w:t xml:space="preserve"> </w:t>
      </w:r>
      <w:r>
        <w:tab/>
      </w:r>
      <w:r w:rsidRPr="00C658C0">
        <w:rPr>
          <w:sz w:val="16"/>
          <w:szCs w:val="16"/>
        </w:rPr>
        <w:t xml:space="preserve">Anmerkung des ZKR Sekretariats: die Norm T60-103:1968 ist laut der AFNOR-Webseite noch gültig. </w:t>
      </w:r>
      <w:r w:rsidRPr="00C658C0">
        <w:rPr>
          <w:sz w:val="16"/>
          <w:szCs w:val="16"/>
          <w:lang w:val="fr-FR"/>
        </w:rPr>
        <w:t xml:space="preserve">Der offizielle Titel </w:t>
      </w:r>
      <w:proofErr w:type="gramStart"/>
      <w:r w:rsidRPr="00C658C0">
        <w:rPr>
          <w:sz w:val="16"/>
          <w:szCs w:val="16"/>
          <w:lang w:val="fr-FR"/>
        </w:rPr>
        <w:t>lautet:</w:t>
      </w:r>
      <w:proofErr w:type="gramEnd"/>
      <w:r w:rsidRPr="00C658C0">
        <w:rPr>
          <w:sz w:val="16"/>
          <w:szCs w:val="16"/>
          <w:lang w:val="fr-FR"/>
        </w:rPr>
        <w:t xml:space="preserve"> „Produits pétroliers ; Point d'éclair en vase clos des lubrifiants et des huiles combustibles“ / „Petroleum products; Closed cup flashpoint of lubricants and fuel oils“.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DC96" w14:textId="56DB2BE1" w:rsidR="006C4C72" w:rsidRPr="003C0CEA" w:rsidRDefault="006C4C72" w:rsidP="00B041A6">
    <w:pPr>
      <w:widowControl/>
      <w:suppressAutoHyphens/>
      <w:overflowPunct/>
      <w:autoSpaceDE/>
      <w:autoSpaceDN/>
      <w:adjustRightInd/>
      <w:ind w:left="0" w:firstLine="0"/>
      <w:jc w:val="left"/>
      <w:textAlignment w:val="auto"/>
      <w:rPr>
        <w:rFonts w:ascii="Arial" w:hAnsi="Arial"/>
        <w:snapToGrid w:val="0"/>
        <w:sz w:val="16"/>
        <w:szCs w:val="16"/>
        <w:lang w:val="fr-FR"/>
      </w:rPr>
    </w:pPr>
    <w:r w:rsidRPr="003C0CEA">
      <w:rPr>
        <w:rFonts w:ascii="Arial" w:hAnsi="Arial"/>
        <w:snapToGrid w:val="0"/>
        <w:sz w:val="16"/>
        <w:szCs w:val="16"/>
        <w:lang w:val="fr-FR"/>
      </w:rPr>
      <w:t>CCNR-ZKR/ADN/WP.15/AC.2/</w:t>
    </w:r>
    <w:r w:rsidRPr="00EE7B87">
      <w:rPr>
        <w:rFonts w:ascii="Arial" w:hAnsi="Arial"/>
        <w:snapToGrid w:val="0"/>
        <w:sz w:val="16"/>
        <w:szCs w:val="16"/>
        <w:lang w:val="fr-FR"/>
      </w:rPr>
      <w:t>2022/</w:t>
    </w:r>
    <w:r w:rsidR="0023331D">
      <w:rPr>
        <w:rFonts w:ascii="Arial" w:hAnsi="Arial"/>
        <w:snapToGrid w:val="0"/>
        <w:sz w:val="16"/>
        <w:szCs w:val="16"/>
        <w:lang w:val="fr-FR"/>
      </w:rPr>
      <w:t>4</w:t>
    </w:r>
  </w:p>
  <w:p w14:paraId="61E27EB7" w14:textId="77777777" w:rsidR="006C4C72" w:rsidRPr="00B041A6" w:rsidRDefault="006C4C72" w:rsidP="00B041A6">
    <w:pPr>
      <w:widowControl/>
      <w:suppressAutoHyphens/>
      <w:overflowPunct/>
      <w:autoSpaceDE/>
      <w:autoSpaceDN/>
      <w:adjustRightInd/>
      <w:ind w:left="0" w:firstLine="0"/>
      <w:jc w:val="left"/>
      <w:textAlignment w:val="auto"/>
      <w:rPr>
        <w:rFonts w:ascii="Arial" w:hAnsi="Arial"/>
        <w:snapToGrid w:val="0"/>
        <w:sz w:val="16"/>
        <w:szCs w:val="16"/>
      </w:rPr>
    </w:pPr>
    <w:r w:rsidRPr="00B041A6">
      <w:rPr>
        <w:rFonts w:ascii="Arial" w:hAnsi="Arial"/>
        <w:snapToGrid w:val="0"/>
        <w:sz w:val="16"/>
        <w:szCs w:val="16"/>
        <w:lang w:val="en-GB"/>
      </w:rPr>
      <w:t xml:space="preserve">Seite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Pr="00FA2262">
      <w:rPr>
        <w:rFonts w:ascii="Arial" w:hAnsi="Arial"/>
        <w:noProof/>
        <w:snapToGrid w:val="0"/>
        <w:sz w:val="16"/>
        <w:szCs w:val="16"/>
      </w:rPr>
      <w:t>4</w:t>
    </w:r>
    <w:r w:rsidRPr="00B041A6">
      <w:rPr>
        <w:rFonts w:ascii="Arial" w:hAnsi="Arial"/>
        <w:snapToGrid w:val="0"/>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9BCA" w14:textId="49A2B1AC" w:rsidR="006C4C72" w:rsidRPr="003C0CEA" w:rsidRDefault="006C4C72" w:rsidP="00B041A6">
    <w:pPr>
      <w:widowControl/>
      <w:suppressAutoHyphens/>
      <w:overflowPunct/>
      <w:autoSpaceDE/>
      <w:autoSpaceDN/>
      <w:adjustRightInd/>
      <w:ind w:left="0" w:firstLine="0"/>
      <w:jc w:val="right"/>
      <w:textAlignment w:val="auto"/>
      <w:rPr>
        <w:rFonts w:ascii="Arial" w:hAnsi="Arial"/>
        <w:snapToGrid w:val="0"/>
        <w:sz w:val="16"/>
        <w:szCs w:val="16"/>
        <w:lang w:val="fr-FR"/>
      </w:rPr>
    </w:pPr>
    <w:r w:rsidRPr="003C0CEA">
      <w:rPr>
        <w:rFonts w:ascii="Arial" w:hAnsi="Arial"/>
        <w:snapToGrid w:val="0"/>
        <w:sz w:val="16"/>
        <w:szCs w:val="16"/>
        <w:lang w:val="fr-FR"/>
      </w:rPr>
      <w:t>CCNR-ZKR/ADN/WP.15/AC.2/</w:t>
    </w:r>
    <w:r w:rsidRPr="00EE7B87">
      <w:rPr>
        <w:rFonts w:ascii="Arial" w:hAnsi="Arial"/>
        <w:snapToGrid w:val="0"/>
        <w:sz w:val="16"/>
        <w:szCs w:val="16"/>
        <w:lang w:val="fr-FR"/>
      </w:rPr>
      <w:t>2022/</w:t>
    </w:r>
    <w:r w:rsidR="0023331D">
      <w:rPr>
        <w:rFonts w:ascii="Arial" w:hAnsi="Arial"/>
        <w:snapToGrid w:val="0"/>
        <w:sz w:val="16"/>
        <w:szCs w:val="16"/>
        <w:lang w:val="fr-FR"/>
      </w:rPr>
      <w:t>4</w:t>
    </w:r>
  </w:p>
  <w:p w14:paraId="5A4547DB" w14:textId="77777777" w:rsidR="006C4C72" w:rsidRPr="00B041A6" w:rsidRDefault="006C4C72" w:rsidP="00B041A6">
    <w:pPr>
      <w:widowControl/>
      <w:suppressAutoHyphens/>
      <w:overflowPunct/>
      <w:autoSpaceDE/>
      <w:autoSpaceDN/>
      <w:adjustRightInd/>
      <w:ind w:left="0" w:firstLine="0"/>
      <w:jc w:val="right"/>
      <w:textAlignment w:val="auto"/>
      <w:rPr>
        <w:rFonts w:ascii="Arial" w:hAnsi="Arial"/>
        <w:snapToGrid w:val="0"/>
        <w:sz w:val="16"/>
        <w:szCs w:val="16"/>
      </w:rPr>
    </w:pPr>
    <w:r w:rsidRPr="00B041A6">
      <w:rPr>
        <w:rFonts w:ascii="Arial" w:hAnsi="Arial"/>
        <w:snapToGrid w:val="0"/>
        <w:sz w:val="16"/>
        <w:szCs w:val="16"/>
        <w:lang w:val="en-GB"/>
      </w:rPr>
      <w:t xml:space="preserve">Seite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Pr="00FA2262">
      <w:rPr>
        <w:rFonts w:ascii="Arial" w:hAnsi="Arial"/>
        <w:noProof/>
        <w:snapToGrid w:val="0"/>
        <w:sz w:val="16"/>
        <w:szCs w:val="16"/>
      </w:rPr>
      <w:t>3</w:t>
    </w:r>
    <w:r w:rsidRPr="00B041A6">
      <w:rPr>
        <w:rFonts w:ascii="Arial" w:hAnsi="Arial"/>
        <w:snapToGrid w:val="0"/>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93B84"/>
    <w:multiLevelType w:val="hybridMultilevel"/>
    <w:tmpl w:val="F550BCDE"/>
    <w:lvl w:ilvl="0" w:tplc="49BAC722">
      <w:start w:val="1"/>
      <w:numFmt w:val="lowerRoman"/>
      <w:lvlText w:val="%1)"/>
      <w:lvlJc w:val="left"/>
      <w:pPr>
        <w:ind w:left="1710" w:hanging="72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A173F7"/>
    <w:multiLevelType w:val="hybridMultilevel"/>
    <w:tmpl w:val="ACBAE62A"/>
    <w:lvl w:ilvl="0" w:tplc="2500C5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6B7577"/>
    <w:multiLevelType w:val="hybridMultilevel"/>
    <w:tmpl w:val="5156D226"/>
    <w:lvl w:ilvl="0" w:tplc="B5CC082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24B3153C"/>
    <w:multiLevelType w:val="hybridMultilevel"/>
    <w:tmpl w:val="2C8C640C"/>
    <w:lvl w:ilvl="0" w:tplc="0FCEB512">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28601A1E"/>
    <w:multiLevelType w:val="hybridMultilevel"/>
    <w:tmpl w:val="20DE3798"/>
    <w:lvl w:ilvl="0" w:tplc="B422F88E">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2965986"/>
    <w:multiLevelType w:val="hybridMultilevel"/>
    <w:tmpl w:val="07EC57B4"/>
    <w:lvl w:ilvl="0" w:tplc="F6384C6A">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3BB134FD"/>
    <w:multiLevelType w:val="hybridMultilevel"/>
    <w:tmpl w:val="07EC57B4"/>
    <w:lvl w:ilvl="0" w:tplc="F6384C6A">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5DEA2EA5"/>
    <w:multiLevelType w:val="hybridMultilevel"/>
    <w:tmpl w:val="27E622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5839EB"/>
    <w:multiLevelType w:val="hybridMultilevel"/>
    <w:tmpl w:val="C4E88CF2"/>
    <w:lvl w:ilvl="0" w:tplc="49A6E278">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6F20FA"/>
    <w:multiLevelType w:val="hybridMultilevel"/>
    <w:tmpl w:val="AE1E3C14"/>
    <w:lvl w:ilvl="0" w:tplc="476C4788">
      <w:start w:val="1"/>
      <w:numFmt w:val="low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7"/>
  </w:num>
  <w:num w:numId="8">
    <w:abstractNumId w:val="3"/>
  </w:num>
  <w:num w:numId="9">
    <w:abstractNumId w:val="9"/>
  </w:num>
  <w:num w:numId="10">
    <w:abstractNumId w:val="4"/>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2FF8"/>
    <w:rsid w:val="000049F5"/>
    <w:rsid w:val="00006820"/>
    <w:rsid w:val="000116F6"/>
    <w:rsid w:val="000143A3"/>
    <w:rsid w:val="00014D4F"/>
    <w:rsid w:val="00016593"/>
    <w:rsid w:val="00017B2F"/>
    <w:rsid w:val="0002436E"/>
    <w:rsid w:val="00025C95"/>
    <w:rsid w:val="00026176"/>
    <w:rsid w:val="00027248"/>
    <w:rsid w:val="0003284B"/>
    <w:rsid w:val="00034828"/>
    <w:rsid w:val="00036FD5"/>
    <w:rsid w:val="000402D6"/>
    <w:rsid w:val="00041328"/>
    <w:rsid w:val="0004134B"/>
    <w:rsid w:val="000415F3"/>
    <w:rsid w:val="00047E84"/>
    <w:rsid w:val="00052E7E"/>
    <w:rsid w:val="000563D5"/>
    <w:rsid w:val="00056B10"/>
    <w:rsid w:val="00056F64"/>
    <w:rsid w:val="0006299C"/>
    <w:rsid w:val="0007311B"/>
    <w:rsid w:val="00076F9A"/>
    <w:rsid w:val="00080275"/>
    <w:rsid w:val="00080F60"/>
    <w:rsid w:val="00090A58"/>
    <w:rsid w:val="0009215A"/>
    <w:rsid w:val="00093950"/>
    <w:rsid w:val="00097410"/>
    <w:rsid w:val="000A1A85"/>
    <w:rsid w:val="000A324C"/>
    <w:rsid w:val="000A72C7"/>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6242"/>
    <w:rsid w:val="000F79E4"/>
    <w:rsid w:val="001013D7"/>
    <w:rsid w:val="001015D4"/>
    <w:rsid w:val="00106650"/>
    <w:rsid w:val="00106FC3"/>
    <w:rsid w:val="00107B48"/>
    <w:rsid w:val="00113A60"/>
    <w:rsid w:val="00114102"/>
    <w:rsid w:val="0011545F"/>
    <w:rsid w:val="0011702A"/>
    <w:rsid w:val="0012236C"/>
    <w:rsid w:val="00126AA9"/>
    <w:rsid w:val="00131CD7"/>
    <w:rsid w:val="00132B64"/>
    <w:rsid w:val="00132CD8"/>
    <w:rsid w:val="001421E4"/>
    <w:rsid w:val="00143354"/>
    <w:rsid w:val="001446DE"/>
    <w:rsid w:val="0014655C"/>
    <w:rsid w:val="001515D6"/>
    <w:rsid w:val="001547E3"/>
    <w:rsid w:val="00156782"/>
    <w:rsid w:val="00156903"/>
    <w:rsid w:val="00156ACE"/>
    <w:rsid w:val="0016040C"/>
    <w:rsid w:val="00164D7B"/>
    <w:rsid w:val="0016790C"/>
    <w:rsid w:val="00167C29"/>
    <w:rsid w:val="001729A2"/>
    <w:rsid w:val="001735B9"/>
    <w:rsid w:val="001739E9"/>
    <w:rsid w:val="001749D2"/>
    <w:rsid w:val="00176072"/>
    <w:rsid w:val="0017767A"/>
    <w:rsid w:val="001778DD"/>
    <w:rsid w:val="00182298"/>
    <w:rsid w:val="001878DE"/>
    <w:rsid w:val="00190390"/>
    <w:rsid w:val="001912AF"/>
    <w:rsid w:val="001A078E"/>
    <w:rsid w:val="001A6AEC"/>
    <w:rsid w:val="001A791F"/>
    <w:rsid w:val="001B4F22"/>
    <w:rsid w:val="001B7B3E"/>
    <w:rsid w:val="001C0E5C"/>
    <w:rsid w:val="001C1D1B"/>
    <w:rsid w:val="001C3B8D"/>
    <w:rsid w:val="001C4ED8"/>
    <w:rsid w:val="001D1B0A"/>
    <w:rsid w:val="001D34F6"/>
    <w:rsid w:val="001E4D07"/>
    <w:rsid w:val="001E515F"/>
    <w:rsid w:val="001E6133"/>
    <w:rsid w:val="001F3ED9"/>
    <w:rsid w:val="0020240A"/>
    <w:rsid w:val="00202E6D"/>
    <w:rsid w:val="0020337F"/>
    <w:rsid w:val="00205465"/>
    <w:rsid w:val="00211F1A"/>
    <w:rsid w:val="002132D2"/>
    <w:rsid w:val="00217C00"/>
    <w:rsid w:val="00221D05"/>
    <w:rsid w:val="0022286F"/>
    <w:rsid w:val="00223DF9"/>
    <w:rsid w:val="00230580"/>
    <w:rsid w:val="00231D22"/>
    <w:rsid w:val="0023331D"/>
    <w:rsid w:val="00235B56"/>
    <w:rsid w:val="00240203"/>
    <w:rsid w:val="002406C8"/>
    <w:rsid w:val="002421A1"/>
    <w:rsid w:val="002431F2"/>
    <w:rsid w:val="002460C4"/>
    <w:rsid w:val="0025071F"/>
    <w:rsid w:val="00250FDB"/>
    <w:rsid w:val="002546D9"/>
    <w:rsid w:val="00255192"/>
    <w:rsid w:val="0027414F"/>
    <w:rsid w:val="002748A2"/>
    <w:rsid w:val="00280779"/>
    <w:rsid w:val="00283323"/>
    <w:rsid w:val="00284155"/>
    <w:rsid w:val="00286ED4"/>
    <w:rsid w:val="00290B95"/>
    <w:rsid w:val="00291CB3"/>
    <w:rsid w:val="00294258"/>
    <w:rsid w:val="002945CA"/>
    <w:rsid w:val="002A337E"/>
    <w:rsid w:val="002A4A84"/>
    <w:rsid w:val="002A53A6"/>
    <w:rsid w:val="002B0567"/>
    <w:rsid w:val="002B3FEF"/>
    <w:rsid w:val="002B593C"/>
    <w:rsid w:val="002B5AED"/>
    <w:rsid w:val="002C0469"/>
    <w:rsid w:val="002C742A"/>
    <w:rsid w:val="002D1BFB"/>
    <w:rsid w:val="002D4720"/>
    <w:rsid w:val="002E2DAD"/>
    <w:rsid w:val="002E3745"/>
    <w:rsid w:val="002E476F"/>
    <w:rsid w:val="002E5FCC"/>
    <w:rsid w:val="002E6A16"/>
    <w:rsid w:val="002E7227"/>
    <w:rsid w:val="002F4FC6"/>
    <w:rsid w:val="00303233"/>
    <w:rsid w:val="003033DD"/>
    <w:rsid w:val="00307DE5"/>
    <w:rsid w:val="00316D5A"/>
    <w:rsid w:val="00320305"/>
    <w:rsid w:val="00320389"/>
    <w:rsid w:val="0032045B"/>
    <w:rsid w:val="00320C5F"/>
    <w:rsid w:val="003233C8"/>
    <w:rsid w:val="00325D76"/>
    <w:rsid w:val="00326B14"/>
    <w:rsid w:val="00337284"/>
    <w:rsid w:val="00342BA1"/>
    <w:rsid w:val="003439FC"/>
    <w:rsid w:val="00344C19"/>
    <w:rsid w:val="00357412"/>
    <w:rsid w:val="003577A0"/>
    <w:rsid w:val="00361725"/>
    <w:rsid w:val="0036362E"/>
    <w:rsid w:val="00364E68"/>
    <w:rsid w:val="003702C7"/>
    <w:rsid w:val="0038428F"/>
    <w:rsid w:val="00386A42"/>
    <w:rsid w:val="00387545"/>
    <w:rsid w:val="00394763"/>
    <w:rsid w:val="00395742"/>
    <w:rsid w:val="00397E52"/>
    <w:rsid w:val="003A2337"/>
    <w:rsid w:val="003B1471"/>
    <w:rsid w:val="003B23DA"/>
    <w:rsid w:val="003C0CEA"/>
    <w:rsid w:val="003C61C4"/>
    <w:rsid w:val="003D3605"/>
    <w:rsid w:val="003D5080"/>
    <w:rsid w:val="003D5B9B"/>
    <w:rsid w:val="003D7C67"/>
    <w:rsid w:val="003E328C"/>
    <w:rsid w:val="003E6E61"/>
    <w:rsid w:val="003F334D"/>
    <w:rsid w:val="003F43D4"/>
    <w:rsid w:val="003F6274"/>
    <w:rsid w:val="00400ADD"/>
    <w:rsid w:val="00401179"/>
    <w:rsid w:val="0040293E"/>
    <w:rsid w:val="00405183"/>
    <w:rsid w:val="00405327"/>
    <w:rsid w:val="00406965"/>
    <w:rsid w:val="00410285"/>
    <w:rsid w:val="004176F9"/>
    <w:rsid w:val="00426A1E"/>
    <w:rsid w:val="00427609"/>
    <w:rsid w:val="00427804"/>
    <w:rsid w:val="00430CD0"/>
    <w:rsid w:val="00432779"/>
    <w:rsid w:val="00432C11"/>
    <w:rsid w:val="00446085"/>
    <w:rsid w:val="00466FB5"/>
    <w:rsid w:val="00472198"/>
    <w:rsid w:val="004819A4"/>
    <w:rsid w:val="0048292C"/>
    <w:rsid w:val="00483272"/>
    <w:rsid w:val="004847DC"/>
    <w:rsid w:val="00487C2C"/>
    <w:rsid w:val="00492FA6"/>
    <w:rsid w:val="0049785E"/>
    <w:rsid w:val="004A0752"/>
    <w:rsid w:val="004A3FE7"/>
    <w:rsid w:val="004A46B8"/>
    <w:rsid w:val="004B0D93"/>
    <w:rsid w:val="004B7EA6"/>
    <w:rsid w:val="004C1550"/>
    <w:rsid w:val="004C18DE"/>
    <w:rsid w:val="004E622A"/>
    <w:rsid w:val="004F3B7F"/>
    <w:rsid w:val="004F4DE3"/>
    <w:rsid w:val="004F5608"/>
    <w:rsid w:val="004F7170"/>
    <w:rsid w:val="004F7A39"/>
    <w:rsid w:val="00500837"/>
    <w:rsid w:val="0051476B"/>
    <w:rsid w:val="00514AB7"/>
    <w:rsid w:val="0051535A"/>
    <w:rsid w:val="00516446"/>
    <w:rsid w:val="00522FCA"/>
    <w:rsid w:val="00534340"/>
    <w:rsid w:val="00540161"/>
    <w:rsid w:val="00540683"/>
    <w:rsid w:val="005528D8"/>
    <w:rsid w:val="005533B4"/>
    <w:rsid w:val="00561447"/>
    <w:rsid w:val="0056152E"/>
    <w:rsid w:val="0056605A"/>
    <w:rsid w:val="00573D3E"/>
    <w:rsid w:val="00576571"/>
    <w:rsid w:val="0057786D"/>
    <w:rsid w:val="00582B60"/>
    <w:rsid w:val="00583496"/>
    <w:rsid w:val="00584069"/>
    <w:rsid w:val="00585999"/>
    <w:rsid w:val="00586819"/>
    <w:rsid w:val="00591A7D"/>
    <w:rsid w:val="00593E26"/>
    <w:rsid w:val="00595C5C"/>
    <w:rsid w:val="00596953"/>
    <w:rsid w:val="005976EF"/>
    <w:rsid w:val="005A1A44"/>
    <w:rsid w:val="005A20E4"/>
    <w:rsid w:val="005A3B54"/>
    <w:rsid w:val="005A5B6A"/>
    <w:rsid w:val="005B1CA2"/>
    <w:rsid w:val="005B6280"/>
    <w:rsid w:val="005C2ECA"/>
    <w:rsid w:val="005C558D"/>
    <w:rsid w:val="005C7246"/>
    <w:rsid w:val="005E1804"/>
    <w:rsid w:val="005E5EF7"/>
    <w:rsid w:val="005F26AD"/>
    <w:rsid w:val="005F3476"/>
    <w:rsid w:val="005F58DF"/>
    <w:rsid w:val="005F7C78"/>
    <w:rsid w:val="0060269E"/>
    <w:rsid w:val="00602860"/>
    <w:rsid w:val="006047AC"/>
    <w:rsid w:val="00607B11"/>
    <w:rsid w:val="006105FE"/>
    <w:rsid w:val="00611C20"/>
    <w:rsid w:val="006157A9"/>
    <w:rsid w:val="00616CDB"/>
    <w:rsid w:val="00620982"/>
    <w:rsid w:val="00622293"/>
    <w:rsid w:val="006256AF"/>
    <w:rsid w:val="00626C86"/>
    <w:rsid w:val="00630422"/>
    <w:rsid w:val="00635F4A"/>
    <w:rsid w:val="00642215"/>
    <w:rsid w:val="00643AEA"/>
    <w:rsid w:val="006459CB"/>
    <w:rsid w:val="00651386"/>
    <w:rsid w:val="0065254C"/>
    <w:rsid w:val="0066312D"/>
    <w:rsid w:val="00663395"/>
    <w:rsid w:val="006639F3"/>
    <w:rsid w:val="00666284"/>
    <w:rsid w:val="00670028"/>
    <w:rsid w:val="00670531"/>
    <w:rsid w:val="00675A23"/>
    <w:rsid w:val="00686519"/>
    <w:rsid w:val="00687752"/>
    <w:rsid w:val="0069164E"/>
    <w:rsid w:val="006924C5"/>
    <w:rsid w:val="006925AD"/>
    <w:rsid w:val="006970A1"/>
    <w:rsid w:val="006A0959"/>
    <w:rsid w:val="006A16C0"/>
    <w:rsid w:val="006A24F3"/>
    <w:rsid w:val="006A45FC"/>
    <w:rsid w:val="006A507B"/>
    <w:rsid w:val="006A73AD"/>
    <w:rsid w:val="006A7F94"/>
    <w:rsid w:val="006B27EC"/>
    <w:rsid w:val="006B51FD"/>
    <w:rsid w:val="006B57B7"/>
    <w:rsid w:val="006B5F03"/>
    <w:rsid w:val="006B7C55"/>
    <w:rsid w:val="006B7C9A"/>
    <w:rsid w:val="006B7DE6"/>
    <w:rsid w:val="006C4C72"/>
    <w:rsid w:val="006C5859"/>
    <w:rsid w:val="006C6A7F"/>
    <w:rsid w:val="006E10F5"/>
    <w:rsid w:val="006F3126"/>
    <w:rsid w:val="006F3C42"/>
    <w:rsid w:val="006F4A9E"/>
    <w:rsid w:val="0070287D"/>
    <w:rsid w:val="00702BE6"/>
    <w:rsid w:val="00706883"/>
    <w:rsid w:val="007147BF"/>
    <w:rsid w:val="00720B96"/>
    <w:rsid w:val="0072203F"/>
    <w:rsid w:val="007225A1"/>
    <w:rsid w:val="00741D8D"/>
    <w:rsid w:val="00742BD3"/>
    <w:rsid w:val="00742E01"/>
    <w:rsid w:val="00743834"/>
    <w:rsid w:val="0075000E"/>
    <w:rsid w:val="00751575"/>
    <w:rsid w:val="00754516"/>
    <w:rsid w:val="007558B1"/>
    <w:rsid w:val="00760FB2"/>
    <w:rsid w:val="00764B31"/>
    <w:rsid w:val="007705CB"/>
    <w:rsid w:val="00773B7E"/>
    <w:rsid w:val="0079124E"/>
    <w:rsid w:val="00792E94"/>
    <w:rsid w:val="00794CE8"/>
    <w:rsid w:val="007A19A7"/>
    <w:rsid w:val="007A584D"/>
    <w:rsid w:val="007B200A"/>
    <w:rsid w:val="007B35E7"/>
    <w:rsid w:val="007B5D5A"/>
    <w:rsid w:val="007C1775"/>
    <w:rsid w:val="007C1AA7"/>
    <w:rsid w:val="007D1EF9"/>
    <w:rsid w:val="007D2FA0"/>
    <w:rsid w:val="007D6265"/>
    <w:rsid w:val="007E4902"/>
    <w:rsid w:val="007E7F2A"/>
    <w:rsid w:val="00805AEB"/>
    <w:rsid w:val="00810504"/>
    <w:rsid w:val="0081450F"/>
    <w:rsid w:val="008149EA"/>
    <w:rsid w:val="00825BB3"/>
    <w:rsid w:val="00826787"/>
    <w:rsid w:val="00834438"/>
    <w:rsid w:val="00835551"/>
    <w:rsid w:val="00837FB8"/>
    <w:rsid w:val="00841328"/>
    <w:rsid w:val="00854209"/>
    <w:rsid w:val="0085433A"/>
    <w:rsid w:val="0086121D"/>
    <w:rsid w:val="0086477D"/>
    <w:rsid w:val="008650FC"/>
    <w:rsid w:val="008677BA"/>
    <w:rsid w:val="0087179D"/>
    <w:rsid w:val="00876F50"/>
    <w:rsid w:val="00894221"/>
    <w:rsid w:val="00896081"/>
    <w:rsid w:val="008967B7"/>
    <w:rsid w:val="008A0ABC"/>
    <w:rsid w:val="008A6D40"/>
    <w:rsid w:val="008B3106"/>
    <w:rsid w:val="008B7C4B"/>
    <w:rsid w:val="008C27FE"/>
    <w:rsid w:val="008C42D5"/>
    <w:rsid w:val="008D3CEC"/>
    <w:rsid w:val="008F283A"/>
    <w:rsid w:val="008F4B57"/>
    <w:rsid w:val="00903D48"/>
    <w:rsid w:val="0090748A"/>
    <w:rsid w:val="00912A46"/>
    <w:rsid w:val="009411AB"/>
    <w:rsid w:val="009422FA"/>
    <w:rsid w:val="00946D8A"/>
    <w:rsid w:val="00953866"/>
    <w:rsid w:val="00957E31"/>
    <w:rsid w:val="0096214D"/>
    <w:rsid w:val="009629E6"/>
    <w:rsid w:val="00962E31"/>
    <w:rsid w:val="00965DC5"/>
    <w:rsid w:val="00966CE6"/>
    <w:rsid w:val="00975B09"/>
    <w:rsid w:val="009771C0"/>
    <w:rsid w:val="009777E8"/>
    <w:rsid w:val="00981397"/>
    <w:rsid w:val="0098158C"/>
    <w:rsid w:val="00987D27"/>
    <w:rsid w:val="0099031A"/>
    <w:rsid w:val="00991BA0"/>
    <w:rsid w:val="00992A56"/>
    <w:rsid w:val="009A0BFB"/>
    <w:rsid w:val="009A378F"/>
    <w:rsid w:val="009A3AA4"/>
    <w:rsid w:val="009A4FC8"/>
    <w:rsid w:val="009B2778"/>
    <w:rsid w:val="009C228D"/>
    <w:rsid w:val="009C3270"/>
    <w:rsid w:val="009C79C4"/>
    <w:rsid w:val="009D0031"/>
    <w:rsid w:val="009E0ED9"/>
    <w:rsid w:val="009E1BDF"/>
    <w:rsid w:val="009E281C"/>
    <w:rsid w:val="009E3EBD"/>
    <w:rsid w:val="009E795B"/>
    <w:rsid w:val="009F2DD9"/>
    <w:rsid w:val="00A005D6"/>
    <w:rsid w:val="00A05AB3"/>
    <w:rsid w:val="00A05C9B"/>
    <w:rsid w:val="00A0723D"/>
    <w:rsid w:val="00A1154E"/>
    <w:rsid w:val="00A11CA1"/>
    <w:rsid w:val="00A12E60"/>
    <w:rsid w:val="00A1389E"/>
    <w:rsid w:val="00A21A7D"/>
    <w:rsid w:val="00A2645D"/>
    <w:rsid w:val="00A27409"/>
    <w:rsid w:val="00A3038F"/>
    <w:rsid w:val="00A31BE3"/>
    <w:rsid w:val="00A31FFE"/>
    <w:rsid w:val="00A34A45"/>
    <w:rsid w:val="00A5217C"/>
    <w:rsid w:val="00A53208"/>
    <w:rsid w:val="00A57CE8"/>
    <w:rsid w:val="00A60B88"/>
    <w:rsid w:val="00A62126"/>
    <w:rsid w:val="00A65674"/>
    <w:rsid w:val="00A71FAE"/>
    <w:rsid w:val="00A77993"/>
    <w:rsid w:val="00A77C4E"/>
    <w:rsid w:val="00A81D2D"/>
    <w:rsid w:val="00A82978"/>
    <w:rsid w:val="00A917C1"/>
    <w:rsid w:val="00A94566"/>
    <w:rsid w:val="00A94B80"/>
    <w:rsid w:val="00A952F9"/>
    <w:rsid w:val="00AB0162"/>
    <w:rsid w:val="00AB23F2"/>
    <w:rsid w:val="00AB6055"/>
    <w:rsid w:val="00AB6D7B"/>
    <w:rsid w:val="00AC0F12"/>
    <w:rsid w:val="00AC1577"/>
    <w:rsid w:val="00AC1928"/>
    <w:rsid w:val="00AC3059"/>
    <w:rsid w:val="00AC79AA"/>
    <w:rsid w:val="00AD500A"/>
    <w:rsid w:val="00AD68F2"/>
    <w:rsid w:val="00AD69C2"/>
    <w:rsid w:val="00AE50D2"/>
    <w:rsid w:val="00AE73A7"/>
    <w:rsid w:val="00AE7E9E"/>
    <w:rsid w:val="00AF5B2E"/>
    <w:rsid w:val="00B02145"/>
    <w:rsid w:val="00B041A6"/>
    <w:rsid w:val="00B11AE6"/>
    <w:rsid w:val="00B17A75"/>
    <w:rsid w:val="00B20810"/>
    <w:rsid w:val="00B2269A"/>
    <w:rsid w:val="00B252B5"/>
    <w:rsid w:val="00B25F5E"/>
    <w:rsid w:val="00B26810"/>
    <w:rsid w:val="00B30626"/>
    <w:rsid w:val="00B3129B"/>
    <w:rsid w:val="00B32631"/>
    <w:rsid w:val="00B37DEA"/>
    <w:rsid w:val="00B40836"/>
    <w:rsid w:val="00B42588"/>
    <w:rsid w:val="00B43610"/>
    <w:rsid w:val="00B45122"/>
    <w:rsid w:val="00B4533C"/>
    <w:rsid w:val="00B47F6F"/>
    <w:rsid w:val="00B611A4"/>
    <w:rsid w:val="00B71545"/>
    <w:rsid w:val="00B737F6"/>
    <w:rsid w:val="00B7461E"/>
    <w:rsid w:val="00B80DBC"/>
    <w:rsid w:val="00B87AB9"/>
    <w:rsid w:val="00B91A85"/>
    <w:rsid w:val="00B91D33"/>
    <w:rsid w:val="00B92BF7"/>
    <w:rsid w:val="00B9368D"/>
    <w:rsid w:val="00B940F8"/>
    <w:rsid w:val="00BA2F7E"/>
    <w:rsid w:val="00BA358B"/>
    <w:rsid w:val="00BA3F1F"/>
    <w:rsid w:val="00BA6693"/>
    <w:rsid w:val="00BB165F"/>
    <w:rsid w:val="00BB2346"/>
    <w:rsid w:val="00BB79DB"/>
    <w:rsid w:val="00BC00D3"/>
    <w:rsid w:val="00BC224B"/>
    <w:rsid w:val="00BC453B"/>
    <w:rsid w:val="00BC4EC9"/>
    <w:rsid w:val="00BD035E"/>
    <w:rsid w:val="00BD36FB"/>
    <w:rsid w:val="00BD6076"/>
    <w:rsid w:val="00BD77CE"/>
    <w:rsid w:val="00BF2066"/>
    <w:rsid w:val="00BF414C"/>
    <w:rsid w:val="00BF4356"/>
    <w:rsid w:val="00BF43B5"/>
    <w:rsid w:val="00BF6A72"/>
    <w:rsid w:val="00BF7D16"/>
    <w:rsid w:val="00C01D3D"/>
    <w:rsid w:val="00C05BE8"/>
    <w:rsid w:val="00C05CED"/>
    <w:rsid w:val="00C161A1"/>
    <w:rsid w:val="00C16233"/>
    <w:rsid w:val="00C24FA8"/>
    <w:rsid w:val="00C27690"/>
    <w:rsid w:val="00C30C7D"/>
    <w:rsid w:val="00C42401"/>
    <w:rsid w:val="00C4703A"/>
    <w:rsid w:val="00C47775"/>
    <w:rsid w:val="00C509C1"/>
    <w:rsid w:val="00C50FF5"/>
    <w:rsid w:val="00C532C5"/>
    <w:rsid w:val="00C64A71"/>
    <w:rsid w:val="00C658C0"/>
    <w:rsid w:val="00C7003A"/>
    <w:rsid w:val="00C7193B"/>
    <w:rsid w:val="00C72A39"/>
    <w:rsid w:val="00C801B5"/>
    <w:rsid w:val="00C82985"/>
    <w:rsid w:val="00C90787"/>
    <w:rsid w:val="00C93639"/>
    <w:rsid w:val="00C93A09"/>
    <w:rsid w:val="00C945EC"/>
    <w:rsid w:val="00C95218"/>
    <w:rsid w:val="00CA2B03"/>
    <w:rsid w:val="00CA4845"/>
    <w:rsid w:val="00CA71CC"/>
    <w:rsid w:val="00CB17EE"/>
    <w:rsid w:val="00CB257D"/>
    <w:rsid w:val="00CC15D6"/>
    <w:rsid w:val="00CC62F9"/>
    <w:rsid w:val="00CD1C39"/>
    <w:rsid w:val="00CD7A4F"/>
    <w:rsid w:val="00CE1F32"/>
    <w:rsid w:val="00CE293A"/>
    <w:rsid w:val="00CE3C6B"/>
    <w:rsid w:val="00CE77BC"/>
    <w:rsid w:val="00CF2359"/>
    <w:rsid w:val="00CF3E33"/>
    <w:rsid w:val="00CF4B96"/>
    <w:rsid w:val="00CF645B"/>
    <w:rsid w:val="00D03FC5"/>
    <w:rsid w:val="00D04647"/>
    <w:rsid w:val="00D048ED"/>
    <w:rsid w:val="00D064E0"/>
    <w:rsid w:val="00D12EA3"/>
    <w:rsid w:val="00D168FC"/>
    <w:rsid w:val="00D16A29"/>
    <w:rsid w:val="00D20ACE"/>
    <w:rsid w:val="00D218BF"/>
    <w:rsid w:val="00D2514D"/>
    <w:rsid w:val="00D33B77"/>
    <w:rsid w:val="00D35074"/>
    <w:rsid w:val="00D362FF"/>
    <w:rsid w:val="00D4056A"/>
    <w:rsid w:val="00D474F4"/>
    <w:rsid w:val="00D510D9"/>
    <w:rsid w:val="00D52A83"/>
    <w:rsid w:val="00D52AF0"/>
    <w:rsid w:val="00D52F95"/>
    <w:rsid w:val="00D53E0F"/>
    <w:rsid w:val="00D5406E"/>
    <w:rsid w:val="00D566C8"/>
    <w:rsid w:val="00D6320C"/>
    <w:rsid w:val="00D65991"/>
    <w:rsid w:val="00D7150D"/>
    <w:rsid w:val="00D80CB1"/>
    <w:rsid w:val="00D8467E"/>
    <w:rsid w:val="00D85731"/>
    <w:rsid w:val="00D92E0F"/>
    <w:rsid w:val="00D97C9F"/>
    <w:rsid w:val="00DA1F54"/>
    <w:rsid w:val="00DA28E2"/>
    <w:rsid w:val="00DA312C"/>
    <w:rsid w:val="00DA3AF6"/>
    <w:rsid w:val="00DA541A"/>
    <w:rsid w:val="00DA653C"/>
    <w:rsid w:val="00DB57E7"/>
    <w:rsid w:val="00DC66D9"/>
    <w:rsid w:val="00DD2ED1"/>
    <w:rsid w:val="00DE554A"/>
    <w:rsid w:val="00DF426C"/>
    <w:rsid w:val="00DF4639"/>
    <w:rsid w:val="00E0097F"/>
    <w:rsid w:val="00E0183A"/>
    <w:rsid w:val="00E02478"/>
    <w:rsid w:val="00E1103A"/>
    <w:rsid w:val="00E11708"/>
    <w:rsid w:val="00E13946"/>
    <w:rsid w:val="00E13B91"/>
    <w:rsid w:val="00E14568"/>
    <w:rsid w:val="00E17E95"/>
    <w:rsid w:val="00E22556"/>
    <w:rsid w:val="00E22CBB"/>
    <w:rsid w:val="00E236E5"/>
    <w:rsid w:val="00E23FA8"/>
    <w:rsid w:val="00E240AE"/>
    <w:rsid w:val="00E30C9D"/>
    <w:rsid w:val="00E33DCE"/>
    <w:rsid w:val="00E34FAF"/>
    <w:rsid w:val="00E35FEC"/>
    <w:rsid w:val="00E40062"/>
    <w:rsid w:val="00E41FC9"/>
    <w:rsid w:val="00E45BA1"/>
    <w:rsid w:val="00E505C6"/>
    <w:rsid w:val="00E521C8"/>
    <w:rsid w:val="00E619C6"/>
    <w:rsid w:val="00E626D1"/>
    <w:rsid w:val="00E66171"/>
    <w:rsid w:val="00E70612"/>
    <w:rsid w:val="00E73800"/>
    <w:rsid w:val="00E82CF7"/>
    <w:rsid w:val="00E8369E"/>
    <w:rsid w:val="00E86945"/>
    <w:rsid w:val="00E86C83"/>
    <w:rsid w:val="00E8770E"/>
    <w:rsid w:val="00E93819"/>
    <w:rsid w:val="00EA0422"/>
    <w:rsid w:val="00EA1FD5"/>
    <w:rsid w:val="00EA2C25"/>
    <w:rsid w:val="00EA7A70"/>
    <w:rsid w:val="00EB4ADF"/>
    <w:rsid w:val="00EB4D3D"/>
    <w:rsid w:val="00EC05BE"/>
    <w:rsid w:val="00EC2C52"/>
    <w:rsid w:val="00EC315F"/>
    <w:rsid w:val="00ED1827"/>
    <w:rsid w:val="00ED49D7"/>
    <w:rsid w:val="00ED557F"/>
    <w:rsid w:val="00EE4226"/>
    <w:rsid w:val="00EE457F"/>
    <w:rsid w:val="00EE5CAB"/>
    <w:rsid w:val="00EE7B87"/>
    <w:rsid w:val="00EF00ED"/>
    <w:rsid w:val="00EF022A"/>
    <w:rsid w:val="00EF6C77"/>
    <w:rsid w:val="00EF7231"/>
    <w:rsid w:val="00F010AD"/>
    <w:rsid w:val="00F07812"/>
    <w:rsid w:val="00F10D47"/>
    <w:rsid w:val="00F12E99"/>
    <w:rsid w:val="00F229DD"/>
    <w:rsid w:val="00F24CA4"/>
    <w:rsid w:val="00F26C2C"/>
    <w:rsid w:val="00F31FEF"/>
    <w:rsid w:val="00F330E1"/>
    <w:rsid w:val="00F42DC0"/>
    <w:rsid w:val="00F476F7"/>
    <w:rsid w:val="00F4792F"/>
    <w:rsid w:val="00F524CA"/>
    <w:rsid w:val="00F52E19"/>
    <w:rsid w:val="00F54B5E"/>
    <w:rsid w:val="00F55AF8"/>
    <w:rsid w:val="00F55DD3"/>
    <w:rsid w:val="00F607DC"/>
    <w:rsid w:val="00F63BC2"/>
    <w:rsid w:val="00F64E39"/>
    <w:rsid w:val="00F70B1D"/>
    <w:rsid w:val="00F70D98"/>
    <w:rsid w:val="00F736DE"/>
    <w:rsid w:val="00F74646"/>
    <w:rsid w:val="00F75328"/>
    <w:rsid w:val="00F778C8"/>
    <w:rsid w:val="00F801E0"/>
    <w:rsid w:val="00F812E0"/>
    <w:rsid w:val="00F8608C"/>
    <w:rsid w:val="00F87B83"/>
    <w:rsid w:val="00F92BF9"/>
    <w:rsid w:val="00F93402"/>
    <w:rsid w:val="00FA2262"/>
    <w:rsid w:val="00FA6782"/>
    <w:rsid w:val="00FA712F"/>
    <w:rsid w:val="00FB0778"/>
    <w:rsid w:val="00FB305A"/>
    <w:rsid w:val="00FB48D2"/>
    <w:rsid w:val="00FC032F"/>
    <w:rsid w:val="00FC2D7D"/>
    <w:rsid w:val="00FC5E77"/>
    <w:rsid w:val="00FC7393"/>
    <w:rsid w:val="00FD02F4"/>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47BA95C9"/>
  <w15:docId w15:val="{7C26714E-15D1-48A9-8059-70579F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778"/>
    <w:pPr>
      <w:widowControl w:val="0"/>
      <w:overflowPunct w:val="0"/>
      <w:autoSpaceDE w:val="0"/>
      <w:autoSpaceDN w:val="0"/>
      <w:adjustRightInd w:val="0"/>
      <w:ind w:left="1134" w:hanging="1134"/>
      <w:jc w:val="both"/>
      <w:textAlignment w:val="baseline"/>
    </w:pPr>
    <w:rPr>
      <w:lang w:eastAsia="fr-FR"/>
    </w:rPr>
  </w:style>
  <w:style w:type="paragraph" w:styleId="Titre1">
    <w:name w:val="heading 1"/>
    <w:basedOn w:val="Normal"/>
    <w:next w:val="Normal"/>
    <w:link w:val="Titre1Car"/>
    <w:qFormat/>
    <w:rsid w:val="005A3B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500837"/>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basedOn w:val="Normal"/>
    <w:link w:val="NotedebasdepageCar"/>
    <w:rsid w:val="00596953"/>
  </w:style>
  <w:style w:type="character" w:customStyle="1" w:styleId="NotedebasdepageCar">
    <w:name w:val="Note de bas de page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NormalWeb">
    <w:name w:val="Normal (Web)"/>
    <w:basedOn w:val="Normal"/>
    <w:uiPriority w:val="99"/>
    <w:semiHidden/>
    <w:unhideWhenUsed/>
    <w:rsid w:val="001421E4"/>
    <w:pPr>
      <w:widowControl/>
      <w:overflowPunct/>
      <w:autoSpaceDE/>
      <w:autoSpaceDN/>
      <w:adjustRightInd/>
      <w:spacing w:before="100" w:beforeAutospacing="1" w:after="100" w:afterAutospacing="1"/>
      <w:ind w:left="0" w:firstLine="0"/>
      <w:jc w:val="left"/>
      <w:textAlignment w:val="auto"/>
    </w:pPr>
    <w:rPr>
      <w:sz w:val="24"/>
      <w:szCs w:val="24"/>
      <w:lang w:eastAsia="de-DE"/>
    </w:rPr>
  </w:style>
  <w:style w:type="character" w:styleId="lev">
    <w:name w:val="Strong"/>
    <w:basedOn w:val="Policepardfaut"/>
    <w:uiPriority w:val="22"/>
    <w:qFormat/>
    <w:rsid w:val="001421E4"/>
    <w:rPr>
      <w:b/>
      <w:bCs/>
    </w:rPr>
  </w:style>
  <w:style w:type="character" w:customStyle="1" w:styleId="Titre1Car">
    <w:name w:val="Titre 1 Car"/>
    <w:basedOn w:val="Policepardfaut"/>
    <w:link w:val="Titre1"/>
    <w:rsid w:val="005A3B54"/>
    <w:rPr>
      <w:rFonts w:asciiTheme="majorHAnsi" w:eastAsiaTheme="majorEastAsia" w:hAnsiTheme="majorHAnsi" w:cstheme="majorBidi"/>
      <w:color w:val="365F91" w:themeColor="accent1" w:themeShade="BF"/>
      <w:sz w:val="32"/>
      <w:szCs w:val="32"/>
      <w:lang w:eastAsia="fr-FR"/>
    </w:rPr>
  </w:style>
  <w:style w:type="character" w:styleId="Mentionnonrsolue">
    <w:name w:val="Unresolved Mention"/>
    <w:basedOn w:val="Policepardfaut"/>
    <w:uiPriority w:val="99"/>
    <w:semiHidden/>
    <w:unhideWhenUsed/>
    <w:rsid w:val="00E02478"/>
    <w:rPr>
      <w:color w:val="605E5C"/>
      <w:shd w:val="clear" w:color="auto" w:fill="E1DFDD"/>
    </w:rPr>
  </w:style>
  <w:style w:type="paragraph" w:customStyle="1" w:styleId="Textkrper212">
    <w:name w:val="Textkörper 212"/>
    <w:basedOn w:val="Normal"/>
    <w:rsid w:val="00AB6D7B"/>
    <w:pPr>
      <w:spacing w:line="220" w:lineRule="exact"/>
      <w:ind w:left="1701" w:hanging="566"/>
      <w:textAlignment w:val="auto"/>
    </w:pPr>
    <w:rPr>
      <w:rFonts w:ascii="Arial" w:hAnsi="Arial"/>
      <w:lang w:eastAsia="nl-NL"/>
    </w:rPr>
  </w:style>
  <w:style w:type="character" w:customStyle="1" w:styleId="Titre4Car">
    <w:name w:val="Titre 4 Car"/>
    <w:basedOn w:val="Policepardfaut"/>
    <w:link w:val="Titre4"/>
    <w:semiHidden/>
    <w:rsid w:val="00500837"/>
    <w:rPr>
      <w:rFonts w:asciiTheme="majorHAnsi" w:eastAsiaTheme="majorEastAsia" w:hAnsiTheme="majorHAnsi" w:cstheme="majorBidi"/>
      <w:i/>
      <w:iCs/>
      <w:color w:val="365F91" w:themeColor="accent1" w:themeShade="B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3984">
      <w:bodyDiv w:val="1"/>
      <w:marLeft w:val="0"/>
      <w:marRight w:val="0"/>
      <w:marTop w:val="0"/>
      <w:marBottom w:val="0"/>
      <w:divBdr>
        <w:top w:val="none" w:sz="0" w:space="0" w:color="auto"/>
        <w:left w:val="none" w:sz="0" w:space="0" w:color="auto"/>
        <w:bottom w:val="none" w:sz="0" w:space="0" w:color="auto"/>
        <w:right w:val="none" w:sz="0" w:space="0" w:color="auto"/>
      </w:divBdr>
    </w:div>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139034230">
      <w:bodyDiv w:val="1"/>
      <w:marLeft w:val="0"/>
      <w:marRight w:val="0"/>
      <w:marTop w:val="0"/>
      <w:marBottom w:val="0"/>
      <w:divBdr>
        <w:top w:val="none" w:sz="0" w:space="0" w:color="auto"/>
        <w:left w:val="none" w:sz="0" w:space="0" w:color="auto"/>
        <w:bottom w:val="none" w:sz="0" w:space="0" w:color="auto"/>
        <w:right w:val="none" w:sz="0" w:space="0" w:color="auto"/>
      </w:divBdr>
    </w:div>
    <w:div w:id="185025943">
      <w:bodyDiv w:val="1"/>
      <w:marLeft w:val="0"/>
      <w:marRight w:val="0"/>
      <w:marTop w:val="0"/>
      <w:marBottom w:val="0"/>
      <w:divBdr>
        <w:top w:val="none" w:sz="0" w:space="0" w:color="auto"/>
        <w:left w:val="none" w:sz="0" w:space="0" w:color="auto"/>
        <w:bottom w:val="none" w:sz="0" w:space="0" w:color="auto"/>
        <w:right w:val="none" w:sz="0" w:space="0" w:color="auto"/>
      </w:divBdr>
    </w:div>
    <w:div w:id="216169852">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60068721">
      <w:bodyDiv w:val="1"/>
      <w:marLeft w:val="0"/>
      <w:marRight w:val="0"/>
      <w:marTop w:val="0"/>
      <w:marBottom w:val="0"/>
      <w:divBdr>
        <w:top w:val="none" w:sz="0" w:space="0" w:color="auto"/>
        <w:left w:val="none" w:sz="0" w:space="0" w:color="auto"/>
        <w:bottom w:val="none" w:sz="0" w:space="0" w:color="auto"/>
        <w:right w:val="none" w:sz="0" w:space="0" w:color="auto"/>
      </w:divBdr>
    </w:div>
    <w:div w:id="269826209">
      <w:bodyDiv w:val="1"/>
      <w:marLeft w:val="0"/>
      <w:marRight w:val="0"/>
      <w:marTop w:val="0"/>
      <w:marBottom w:val="0"/>
      <w:divBdr>
        <w:top w:val="none" w:sz="0" w:space="0" w:color="auto"/>
        <w:left w:val="none" w:sz="0" w:space="0" w:color="auto"/>
        <w:bottom w:val="none" w:sz="0" w:space="0" w:color="auto"/>
        <w:right w:val="none" w:sz="0" w:space="0" w:color="auto"/>
      </w:divBdr>
    </w:div>
    <w:div w:id="274211382">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301734101">
      <w:bodyDiv w:val="1"/>
      <w:marLeft w:val="0"/>
      <w:marRight w:val="0"/>
      <w:marTop w:val="0"/>
      <w:marBottom w:val="0"/>
      <w:divBdr>
        <w:top w:val="none" w:sz="0" w:space="0" w:color="auto"/>
        <w:left w:val="none" w:sz="0" w:space="0" w:color="auto"/>
        <w:bottom w:val="none" w:sz="0" w:space="0" w:color="auto"/>
        <w:right w:val="none" w:sz="0" w:space="0" w:color="auto"/>
      </w:divBdr>
    </w:div>
    <w:div w:id="316038244">
      <w:bodyDiv w:val="1"/>
      <w:marLeft w:val="0"/>
      <w:marRight w:val="0"/>
      <w:marTop w:val="0"/>
      <w:marBottom w:val="0"/>
      <w:divBdr>
        <w:top w:val="none" w:sz="0" w:space="0" w:color="auto"/>
        <w:left w:val="none" w:sz="0" w:space="0" w:color="auto"/>
        <w:bottom w:val="none" w:sz="0" w:space="0" w:color="auto"/>
        <w:right w:val="none" w:sz="0" w:space="0" w:color="auto"/>
      </w:divBdr>
    </w:div>
    <w:div w:id="348070620">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525750150">
      <w:bodyDiv w:val="1"/>
      <w:marLeft w:val="0"/>
      <w:marRight w:val="0"/>
      <w:marTop w:val="0"/>
      <w:marBottom w:val="0"/>
      <w:divBdr>
        <w:top w:val="none" w:sz="0" w:space="0" w:color="auto"/>
        <w:left w:val="none" w:sz="0" w:space="0" w:color="auto"/>
        <w:bottom w:val="none" w:sz="0" w:space="0" w:color="auto"/>
        <w:right w:val="none" w:sz="0" w:space="0" w:color="auto"/>
      </w:divBdr>
    </w:div>
    <w:div w:id="533887510">
      <w:bodyDiv w:val="1"/>
      <w:marLeft w:val="0"/>
      <w:marRight w:val="0"/>
      <w:marTop w:val="0"/>
      <w:marBottom w:val="0"/>
      <w:divBdr>
        <w:top w:val="none" w:sz="0" w:space="0" w:color="auto"/>
        <w:left w:val="none" w:sz="0" w:space="0" w:color="auto"/>
        <w:bottom w:val="none" w:sz="0" w:space="0" w:color="auto"/>
        <w:right w:val="none" w:sz="0" w:space="0" w:color="auto"/>
      </w:divBdr>
    </w:div>
    <w:div w:id="544677039">
      <w:bodyDiv w:val="1"/>
      <w:marLeft w:val="0"/>
      <w:marRight w:val="0"/>
      <w:marTop w:val="0"/>
      <w:marBottom w:val="0"/>
      <w:divBdr>
        <w:top w:val="none" w:sz="0" w:space="0" w:color="auto"/>
        <w:left w:val="none" w:sz="0" w:space="0" w:color="auto"/>
        <w:bottom w:val="none" w:sz="0" w:space="0" w:color="auto"/>
        <w:right w:val="none" w:sz="0" w:space="0" w:color="auto"/>
      </w:divBdr>
    </w:div>
    <w:div w:id="561676014">
      <w:bodyDiv w:val="1"/>
      <w:marLeft w:val="0"/>
      <w:marRight w:val="0"/>
      <w:marTop w:val="0"/>
      <w:marBottom w:val="0"/>
      <w:divBdr>
        <w:top w:val="none" w:sz="0" w:space="0" w:color="auto"/>
        <w:left w:val="none" w:sz="0" w:space="0" w:color="auto"/>
        <w:bottom w:val="none" w:sz="0" w:space="0" w:color="auto"/>
        <w:right w:val="none" w:sz="0" w:space="0" w:color="auto"/>
      </w:divBdr>
    </w:div>
    <w:div w:id="565143017">
      <w:bodyDiv w:val="1"/>
      <w:marLeft w:val="0"/>
      <w:marRight w:val="0"/>
      <w:marTop w:val="0"/>
      <w:marBottom w:val="0"/>
      <w:divBdr>
        <w:top w:val="none" w:sz="0" w:space="0" w:color="auto"/>
        <w:left w:val="none" w:sz="0" w:space="0" w:color="auto"/>
        <w:bottom w:val="none" w:sz="0" w:space="0" w:color="auto"/>
        <w:right w:val="none" w:sz="0" w:space="0" w:color="auto"/>
      </w:divBdr>
    </w:div>
    <w:div w:id="664895174">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786461977">
      <w:bodyDiv w:val="1"/>
      <w:marLeft w:val="0"/>
      <w:marRight w:val="0"/>
      <w:marTop w:val="0"/>
      <w:marBottom w:val="0"/>
      <w:divBdr>
        <w:top w:val="none" w:sz="0" w:space="0" w:color="auto"/>
        <w:left w:val="none" w:sz="0" w:space="0" w:color="auto"/>
        <w:bottom w:val="none" w:sz="0" w:space="0" w:color="auto"/>
        <w:right w:val="none" w:sz="0" w:space="0" w:color="auto"/>
      </w:divBdr>
    </w:div>
    <w:div w:id="787816631">
      <w:bodyDiv w:val="1"/>
      <w:marLeft w:val="0"/>
      <w:marRight w:val="0"/>
      <w:marTop w:val="0"/>
      <w:marBottom w:val="0"/>
      <w:divBdr>
        <w:top w:val="none" w:sz="0" w:space="0" w:color="auto"/>
        <w:left w:val="none" w:sz="0" w:space="0" w:color="auto"/>
        <w:bottom w:val="none" w:sz="0" w:space="0" w:color="auto"/>
        <w:right w:val="none" w:sz="0" w:space="0" w:color="auto"/>
      </w:divBdr>
    </w:div>
    <w:div w:id="816841139">
      <w:bodyDiv w:val="1"/>
      <w:marLeft w:val="0"/>
      <w:marRight w:val="0"/>
      <w:marTop w:val="0"/>
      <w:marBottom w:val="0"/>
      <w:divBdr>
        <w:top w:val="none" w:sz="0" w:space="0" w:color="auto"/>
        <w:left w:val="none" w:sz="0" w:space="0" w:color="auto"/>
        <w:bottom w:val="none" w:sz="0" w:space="0" w:color="auto"/>
        <w:right w:val="none" w:sz="0" w:space="0" w:color="auto"/>
      </w:divBdr>
    </w:div>
    <w:div w:id="820460483">
      <w:bodyDiv w:val="1"/>
      <w:marLeft w:val="0"/>
      <w:marRight w:val="0"/>
      <w:marTop w:val="0"/>
      <w:marBottom w:val="0"/>
      <w:divBdr>
        <w:top w:val="none" w:sz="0" w:space="0" w:color="auto"/>
        <w:left w:val="none" w:sz="0" w:space="0" w:color="auto"/>
        <w:bottom w:val="none" w:sz="0" w:space="0" w:color="auto"/>
        <w:right w:val="none" w:sz="0" w:space="0" w:color="auto"/>
      </w:divBdr>
    </w:div>
    <w:div w:id="821193595">
      <w:bodyDiv w:val="1"/>
      <w:marLeft w:val="0"/>
      <w:marRight w:val="0"/>
      <w:marTop w:val="0"/>
      <w:marBottom w:val="0"/>
      <w:divBdr>
        <w:top w:val="none" w:sz="0" w:space="0" w:color="auto"/>
        <w:left w:val="none" w:sz="0" w:space="0" w:color="auto"/>
        <w:bottom w:val="none" w:sz="0" w:space="0" w:color="auto"/>
        <w:right w:val="none" w:sz="0" w:space="0" w:color="auto"/>
      </w:divBdr>
    </w:div>
    <w:div w:id="844634103">
      <w:bodyDiv w:val="1"/>
      <w:marLeft w:val="0"/>
      <w:marRight w:val="0"/>
      <w:marTop w:val="0"/>
      <w:marBottom w:val="0"/>
      <w:divBdr>
        <w:top w:val="none" w:sz="0" w:space="0" w:color="auto"/>
        <w:left w:val="none" w:sz="0" w:space="0" w:color="auto"/>
        <w:bottom w:val="none" w:sz="0" w:space="0" w:color="auto"/>
        <w:right w:val="none" w:sz="0" w:space="0" w:color="auto"/>
      </w:divBdr>
    </w:div>
    <w:div w:id="876551454">
      <w:bodyDiv w:val="1"/>
      <w:marLeft w:val="0"/>
      <w:marRight w:val="0"/>
      <w:marTop w:val="0"/>
      <w:marBottom w:val="0"/>
      <w:divBdr>
        <w:top w:val="none" w:sz="0" w:space="0" w:color="auto"/>
        <w:left w:val="none" w:sz="0" w:space="0" w:color="auto"/>
        <w:bottom w:val="none" w:sz="0" w:space="0" w:color="auto"/>
        <w:right w:val="none" w:sz="0" w:space="0" w:color="auto"/>
      </w:divBdr>
    </w:div>
    <w:div w:id="884949091">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5884945">
      <w:bodyDiv w:val="1"/>
      <w:marLeft w:val="0"/>
      <w:marRight w:val="0"/>
      <w:marTop w:val="0"/>
      <w:marBottom w:val="0"/>
      <w:divBdr>
        <w:top w:val="none" w:sz="0" w:space="0" w:color="auto"/>
        <w:left w:val="none" w:sz="0" w:space="0" w:color="auto"/>
        <w:bottom w:val="none" w:sz="0" w:space="0" w:color="auto"/>
        <w:right w:val="none" w:sz="0" w:space="0" w:color="auto"/>
      </w:divBdr>
    </w:div>
    <w:div w:id="958339712">
      <w:bodyDiv w:val="1"/>
      <w:marLeft w:val="0"/>
      <w:marRight w:val="0"/>
      <w:marTop w:val="0"/>
      <w:marBottom w:val="0"/>
      <w:divBdr>
        <w:top w:val="none" w:sz="0" w:space="0" w:color="auto"/>
        <w:left w:val="none" w:sz="0" w:space="0" w:color="auto"/>
        <w:bottom w:val="none" w:sz="0" w:space="0" w:color="auto"/>
        <w:right w:val="none" w:sz="0" w:space="0" w:color="auto"/>
      </w:divBdr>
    </w:div>
    <w:div w:id="1019086521">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1976413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28888796">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141115056">
      <w:bodyDiv w:val="1"/>
      <w:marLeft w:val="0"/>
      <w:marRight w:val="0"/>
      <w:marTop w:val="0"/>
      <w:marBottom w:val="0"/>
      <w:divBdr>
        <w:top w:val="none" w:sz="0" w:space="0" w:color="auto"/>
        <w:left w:val="none" w:sz="0" w:space="0" w:color="auto"/>
        <w:bottom w:val="none" w:sz="0" w:space="0" w:color="auto"/>
        <w:right w:val="none" w:sz="0" w:space="0" w:color="auto"/>
      </w:divBdr>
    </w:div>
    <w:div w:id="1217622185">
      <w:bodyDiv w:val="1"/>
      <w:marLeft w:val="0"/>
      <w:marRight w:val="0"/>
      <w:marTop w:val="0"/>
      <w:marBottom w:val="0"/>
      <w:divBdr>
        <w:top w:val="none" w:sz="0" w:space="0" w:color="auto"/>
        <w:left w:val="none" w:sz="0" w:space="0" w:color="auto"/>
        <w:bottom w:val="none" w:sz="0" w:space="0" w:color="auto"/>
        <w:right w:val="none" w:sz="0" w:space="0" w:color="auto"/>
      </w:divBdr>
    </w:div>
    <w:div w:id="1229150380">
      <w:bodyDiv w:val="1"/>
      <w:marLeft w:val="0"/>
      <w:marRight w:val="0"/>
      <w:marTop w:val="0"/>
      <w:marBottom w:val="0"/>
      <w:divBdr>
        <w:top w:val="none" w:sz="0" w:space="0" w:color="auto"/>
        <w:left w:val="none" w:sz="0" w:space="0" w:color="auto"/>
        <w:bottom w:val="none" w:sz="0" w:space="0" w:color="auto"/>
        <w:right w:val="none" w:sz="0" w:space="0" w:color="auto"/>
      </w:divBdr>
    </w:div>
    <w:div w:id="1281884753">
      <w:bodyDiv w:val="1"/>
      <w:marLeft w:val="0"/>
      <w:marRight w:val="0"/>
      <w:marTop w:val="0"/>
      <w:marBottom w:val="0"/>
      <w:divBdr>
        <w:top w:val="none" w:sz="0" w:space="0" w:color="auto"/>
        <w:left w:val="none" w:sz="0" w:space="0" w:color="auto"/>
        <w:bottom w:val="none" w:sz="0" w:space="0" w:color="auto"/>
        <w:right w:val="none" w:sz="0" w:space="0" w:color="auto"/>
      </w:divBdr>
    </w:div>
    <w:div w:id="1309434251">
      <w:bodyDiv w:val="1"/>
      <w:marLeft w:val="0"/>
      <w:marRight w:val="0"/>
      <w:marTop w:val="0"/>
      <w:marBottom w:val="0"/>
      <w:divBdr>
        <w:top w:val="none" w:sz="0" w:space="0" w:color="auto"/>
        <w:left w:val="none" w:sz="0" w:space="0" w:color="auto"/>
        <w:bottom w:val="none" w:sz="0" w:space="0" w:color="auto"/>
        <w:right w:val="none" w:sz="0" w:space="0" w:color="auto"/>
      </w:divBdr>
    </w:div>
    <w:div w:id="1338651528">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397900611">
      <w:bodyDiv w:val="1"/>
      <w:marLeft w:val="0"/>
      <w:marRight w:val="0"/>
      <w:marTop w:val="0"/>
      <w:marBottom w:val="0"/>
      <w:divBdr>
        <w:top w:val="none" w:sz="0" w:space="0" w:color="auto"/>
        <w:left w:val="none" w:sz="0" w:space="0" w:color="auto"/>
        <w:bottom w:val="none" w:sz="0" w:space="0" w:color="auto"/>
        <w:right w:val="none" w:sz="0" w:space="0" w:color="auto"/>
      </w:divBdr>
    </w:div>
    <w:div w:id="1407535721">
      <w:bodyDiv w:val="1"/>
      <w:marLeft w:val="0"/>
      <w:marRight w:val="0"/>
      <w:marTop w:val="0"/>
      <w:marBottom w:val="0"/>
      <w:divBdr>
        <w:top w:val="none" w:sz="0" w:space="0" w:color="auto"/>
        <w:left w:val="none" w:sz="0" w:space="0" w:color="auto"/>
        <w:bottom w:val="none" w:sz="0" w:space="0" w:color="auto"/>
        <w:right w:val="none" w:sz="0" w:space="0" w:color="auto"/>
      </w:divBdr>
    </w:div>
    <w:div w:id="1545630247">
      <w:bodyDiv w:val="1"/>
      <w:marLeft w:val="0"/>
      <w:marRight w:val="0"/>
      <w:marTop w:val="0"/>
      <w:marBottom w:val="0"/>
      <w:divBdr>
        <w:top w:val="none" w:sz="0" w:space="0" w:color="auto"/>
        <w:left w:val="none" w:sz="0" w:space="0" w:color="auto"/>
        <w:bottom w:val="none" w:sz="0" w:space="0" w:color="auto"/>
        <w:right w:val="none" w:sz="0" w:space="0" w:color="auto"/>
      </w:divBdr>
    </w:div>
    <w:div w:id="1591355165">
      <w:bodyDiv w:val="1"/>
      <w:marLeft w:val="0"/>
      <w:marRight w:val="0"/>
      <w:marTop w:val="0"/>
      <w:marBottom w:val="0"/>
      <w:divBdr>
        <w:top w:val="none" w:sz="0" w:space="0" w:color="auto"/>
        <w:left w:val="none" w:sz="0" w:space="0" w:color="auto"/>
        <w:bottom w:val="none" w:sz="0" w:space="0" w:color="auto"/>
        <w:right w:val="none" w:sz="0" w:space="0" w:color="auto"/>
      </w:divBdr>
    </w:div>
    <w:div w:id="1622491075">
      <w:bodyDiv w:val="1"/>
      <w:marLeft w:val="0"/>
      <w:marRight w:val="0"/>
      <w:marTop w:val="0"/>
      <w:marBottom w:val="0"/>
      <w:divBdr>
        <w:top w:val="none" w:sz="0" w:space="0" w:color="auto"/>
        <w:left w:val="none" w:sz="0" w:space="0" w:color="auto"/>
        <w:bottom w:val="none" w:sz="0" w:space="0" w:color="auto"/>
        <w:right w:val="none" w:sz="0" w:space="0" w:color="auto"/>
      </w:divBdr>
    </w:div>
    <w:div w:id="1622875974">
      <w:bodyDiv w:val="1"/>
      <w:marLeft w:val="0"/>
      <w:marRight w:val="0"/>
      <w:marTop w:val="0"/>
      <w:marBottom w:val="0"/>
      <w:divBdr>
        <w:top w:val="none" w:sz="0" w:space="0" w:color="auto"/>
        <w:left w:val="none" w:sz="0" w:space="0" w:color="auto"/>
        <w:bottom w:val="none" w:sz="0" w:space="0" w:color="auto"/>
        <w:right w:val="none" w:sz="0" w:space="0" w:color="auto"/>
      </w:divBdr>
    </w:div>
    <w:div w:id="1628127234">
      <w:bodyDiv w:val="1"/>
      <w:marLeft w:val="0"/>
      <w:marRight w:val="0"/>
      <w:marTop w:val="0"/>
      <w:marBottom w:val="0"/>
      <w:divBdr>
        <w:top w:val="none" w:sz="0" w:space="0" w:color="auto"/>
        <w:left w:val="none" w:sz="0" w:space="0" w:color="auto"/>
        <w:bottom w:val="none" w:sz="0" w:space="0" w:color="auto"/>
        <w:right w:val="none" w:sz="0" w:space="0" w:color="auto"/>
      </w:divBdr>
    </w:div>
    <w:div w:id="1665278232">
      <w:bodyDiv w:val="1"/>
      <w:marLeft w:val="0"/>
      <w:marRight w:val="0"/>
      <w:marTop w:val="0"/>
      <w:marBottom w:val="0"/>
      <w:divBdr>
        <w:top w:val="none" w:sz="0" w:space="0" w:color="auto"/>
        <w:left w:val="none" w:sz="0" w:space="0" w:color="auto"/>
        <w:bottom w:val="none" w:sz="0" w:space="0" w:color="auto"/>
        <w:right w:val="none" w:sz="0" w:space="0" w:color="auto"/>
      </w:divBdr>
    </w:div>
    <w:div w:id="1688754734">
      <w:bodyDiv w:val="1"/>
      <w:marLeft w:val="0"/>
      <w:marRight w:val="0"/>
      <w:marTop w:val="0"/>
      <w:marBottom w:val="0"/>
      <w:divBdr>
        <w:top w:val="none" w:sz="0" w:space="0" w:color="auto"/>
        <w:left w:val="none" w:sz="0" w:space="0" w:color="auto"/>
        <w:bottom w:val="none" w:sz="0" w:space="0" w:color="auto"/>
        <w:right w:val="none" w:sz="0" w:space="0" w:color="auto"/>
      </w:divBdr>
    </w:div>
    <w:div w:id="1712921720">
      <w:bodyDiv w:val="1"/>
      <w:marLeft w:val="0"/>
      <w:marRight w:val="0"/>
      <w:marTop w:val="0"/>
      <w:marBottom w:val="0"/>
      <w:divBdr>
        <w:top w:val="none" w:sz="0" w:space="0" w:color="auto"/>
        <w:left w:val="none" w:sz="0" w:space="0" w:color="auto"/>
        <w:bottom w:val="none" w:sz="0" w:space="0" w:color="auto"/>
        <w:right w:val="none" w:sz="0" w:space="0" w:color="auto"/>
      </w:divBdr>
    </w:div>
    <w:div w:id="1717001976">
      <w:bodyDiv w:val="1"/>
      <w:marLeft w:val="0"/>
      <w:marRight w:val="0"/>
      <w:marTop w:val="0"/>
      <w:marBottom w:val="0"/>
      <w:divBdr>
        <w:top w:val="none" w:sz="0" w:space="0" w:color="auto"/>
        <w:left w:val="none" w:sz="0" w:space="0" w:color="auto"/>
        <w:bottom w:val="none" w:sz="0" w:space="0" w:color="auto"/>
        <w:right w:val="none" w:sz="0" w:space="0" w:color="auto"/>
      </w:divBdr>
    </w:div>
    <w:div w:id="1779368646">
      <w:bodyDiv w:val="1"/>
      <w:marLeft w:val="0"/>
      <w:marRight w:val="0"/>
      <w:marTop w:val="0"/>
      <w:marBottom w:val="0"/>
      <w:divBdr>
        <w:top w:val="none" w:sz="0" w:space="0" w:color="auto"/>
        <w:left w:val="none" w:sz="0" w:space="0" w:color="auto"/>
        <w:bottom w:val="none" w:sz="0" w:space="0" w:color="auto"/>
        <w:right w:val="none" w:sz="0" w:space="0" w:color="auto"/>
      </w:divBdr>
    </w:div>
    <w:div w:id="1852837895">
      <w:bodyDiv w:val="1"/>
      <w:marLeft w:val="0"/>
      <w:marRight w:val="0"/>
      <w:marTop w:val="0"/>
      <w:marBottom w:val="0"/>
      <w:divBdr>
        <w:top w:val="none" w:sz="0" w:space="0" w:color="auto"/>
        <w:left w:val="none" w:sz="0" w:space="0" w:color="auto"/>
        <w:bottom w:val="none" w:sz="0" w:space="0" w:color="auto"/>
        <w:right w:val="none" w:sz="0" w:space="0" w:color="auto"/>
      </w:divBdr>
    </w:div>
    <w:div w:id="1855999916">
      <w:bodyDiv w:val="1"/>
      <w:marLeft w:val="0"/>
      <w:marRight w:val="0"/>
      <w:marTop w:val="0"/>
      <w:marBottom w:val="0"/>
      <w:divBdr>
        <w:top w:val="none" w:sz="0" w:space="0" w:color="auto"/>
        <w:left w:val="none" w:sz="0" w:space="0" w:color="auto"/>
        <w:bottom w:val="none" w:sz="0" w:space="0" w:color="auto"/>
        <w:right w:val="none" w:sz="0" w:space="0" w:color="auto"/>
      </w:divBdr>
    </w:div>
    <w:div w:id="1870339815">
      <w:bodyDiv w:val="1"/>
      <w:marLeft w:val="0"/>
      <w:marRight w:val="0"/>
      <w:marTop w:val="0"/>
      <w:marBottom w:val="0"/>
      <w:divBdr>
        <w:top w:val="none" w:sz="0" w:space="0" w:color="auto"/>
        <w:left w:val="none" w:sz="0" w:space="0" w:color="auto"/>
        <w:bottom w:val="none" w:sz="0" w:space="0" w:color="auto"/>
        <w:right w:val="none" w:sz="0" w:space="0" w:color="auto"/>
      </w:divBdr>
    </w:div>
    <w:div w:id="1878086166">
      <w:bodyDiv w:val="1"/>
      <w:marLeft w:val="0"/>
      <w:marRight w:val="0"/>
      <w:marTop w:val="0"/>
      <w:marBottom w:val="0"/>
      <w:divBdr>
        <w:top w:val="none" w:sz="0" w:space="0" w:color="auto"/>
        <w:left w:val="none" w:sz="0" w:space="0" w:color="auto"/>
        <w:bottom w:val="none" w:sz="0" w:space="0" w:color="auto"/>
        <w:right w:val="none" w:sz="0" w:space="0" w:color="auto"/>
      </w:divBdr>
    </w:div>
    <w:div w:id="1893887170">
      <w:bodyDiv w:val="1"/>
      <w:marLeft w:val="0"/>
      <w:marRight w:val="0"/>
      <w:marTop w:val="0"/>
      <w:marBottom w:val="0"/>
      <w:divBdr>
        <w:top w:val="none" w:sz="0" w:space="0" w:color="auto"/>
        <w:left w:val="none" w:sz="0" w:space="0" w:color="auto"/>
        <w:bottom w:val="none" w:sz="0" w:space="0" w:color="auto"/>
        <w:right w:val="none" w:sz="0" w:space="0" w:color="auto"/>
      </w:divBdr>
    </w:div>
    <w:div w:id="1896315634">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1955136175">
      <w:bodyDiv w:val="1"/>
      <w:marLeft w:val="0"/>
      <w:marRight w:val="0"/>
      <w:marTop w:val="0"/>
      <w:marBottom w:val="0"/>
      <w:divBdr>
        <w:top w:val="none" w:sz="0" w:space="0" w:color="auto"/>
        <w:left w:val="none" w:sz="0" w:space="0" w:color="auto"/>
        <w:bottom w:val="none" w:sz="0" w:space="0" w:color="auto"/>
        <w:right w:val="none" w:sz="0" w:space="0" w:color="auto"/>
      </w:divBdr>
    </w:div>
    <w:div w:id="1965884588">
      <w:bodyDiv w:val="1"/>
      <w:marLeft w:val="0"/>
      <w:marRight w:val="0"/>
      <w:marTop w:val="0"/>
      <w:marBottom w:val="0"/>
      <w:divBdr>
        <w:top w:val="none" w:sz="0" w:space="0" w:color="auto"/>
        <w:left w:val="none" w:sz="0" w:space="0" w:color="auto"/>
        <w:bottom w:val="none" w:sz="0" w:space="0" w:color="auto"/>
        <w:right w:val="none" w:sz="0" w:space="0" w:color="auto"/>
      </w:divBdr>
    </w:div>
    <w:div w:id="1971353512">
      <w:bodyDiv w:val="1"/>
      <w:marLeft w:val="0"/>
      <w:marRight w:val="0"/>
      <w:marTop w:val="0"/>
      <w:marBottom w:val="0"/>
      <w:divBdr>
        <w:top w:val="none" w:sz="0" w:space="0" w:color="auto"/>
        <w:left w:val="none" w:sz="0" w:space="0" w:color="auto"/>
        <w:bottom w:val="none" w:sz="0" w:space="0" w:color="auto"/>
        <w:right w:val="none" w:sz="0" w:space="0" w:color="auto"/>
      </w:divBdr>
    </w:div>
    <w:div w:id="1988704634">
      <w:bodyDiv w:val="1"/>
      <w:marLeft w:val="0"/>
      <w:marRight w:val="0"/>
      <w:marTop w:val="0"/>
      <w:marBottom w:val="0"/>
      <w:divBdr>
        <w:top w:val="none" w:sz="0" w:space="0" w:color="auto"/>
        <w:left w:val="none" w:sz="0" w:space="0" w:color="auto"/>
        <w:bottom w:val="none" w:sz="0" w:space="0" w:color="auto"/>
        <w:right w:val="none" w:sz="0" w:space="0" w:color="auto"/>
      </w:divBdr>
    </w:div>
    <w:div w:id="2070570830">
      <w:bodyDiv w:val="1"/>
      <w:marLeft w:val="0"/>
      <w:marRight w:val="0"/>
      <w:marTop w:val="0"/>
      <w:marBottom w:val="0"/>
      <w:divBdr>
        <w:top w:val="none" w:sz="0" w:space="0" w:color="auto"/>
        <w:left w:val="none" w:sz="0" w:space="0" w:color="auto"/>
        <w:bottom w:val="none" w:sz="0" w:space="0" w:color="auto"/>
        <w:right w:val="none" w:sz="0" w:space="0" w:color="auto"/>
      </w:divBdr>
    </w:div>
    <w:div w:id="2070617100">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n.standards.iteh.ai/samples/70483/16f04de1cda3494f9e12567b7d1aa541/ISO-IEC-7810-2019.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99032-2536-47E8-BB21-35D6067B2B2B}">
  <ds:schemaRefs>
    <ds:schemaRef ds:uri="http://schemas.openxmlformats.org/officeDocument/2006/bibliography"/>
  </ds:schemaRefs>
</ds:datastoreItem>
</file>

<file path=customXml/itemProps2.xml><?xml version="1.0" encoding="utf-8"?>
<ds:datastoreItem xmlns:ds="http://schemas.openxmlformats.org/officeDocument/2006/customXml" ds:itemID="{626B6A69-351D-41C1-84AF-7956CEB38FD6}"/>
</file>

<file path=customXml/itemProps3.xml><?xml version="1.0" encoding="utf-8"?>
<ds:datastoreItem xmlns:ds="http://schemas.openxmlformats.org/officeDocument/2006/customXml" ds:itemID="{BB568D07-D750-415F-9522-97A74A382E3A}"/>
</file>

<file path=customXml/itemProps4.xml><?xml version="1.0" encoding="utf-8"?>
<ds:datastoreItem xmlns:ds="http://schemas.openxmlformats.org/officeDocument/2006/customXml" ds:itemID="{E588D8CC-C266-4CFF-B08D-BFFB0ECBF599}"/>
</file>

<file path=docProps/app.xml><?xml version="1.0" encoding="utf-8"?>
<Properties xmlns="http://schemas.openxmlformats.org/officeDocument/2006/extended-properties" xmlns:vt="http://schemas.openxmlformats.org/officeDocument/2006/docPropsVTypes">
  <Template>Normal</Template>
  <TotalTime>91</TotalTime>
  <Pages>14</Pages>
  <Words>4600</Words>
  <Characters>31194</Characters>
  <Application>Microsoft Office Word</Application>
  <DocSecurity>0</DocSecurity>
  <Lines>259</Lines>
  <Paragraphs>71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Martine Moench</cp:lastModifiedBy>
  <cp:revision>7</cp:revision>
  <cp:lastPrinted>2021-09-08T11:50:00Z</cp:lastPrinted>
  <dcterms:created xsi:type="dcterms:W3CDTF">2021-11-22T11:00:00Z</dcterms:created>
  <dcterms:modified xsi:type="dcterms:W3CDTF">2021-11-22T13:33:00Z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