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25D09E7" w14:textId="77777777" w:rsidTr="00371E65">
        <w:trPr>
          <w:cantSplit/>
          <w:trHeight w:hRule="exact" w:val="851"/>
        </w:trPr>
        <w:tc>
          <w:tcPr>
            <w:tcW w:w="1276" w:type="dxa"/>
            <w:vAlign w:val="bottom"/>
          </w:tcPr>
          <w:p w14:paraId="40D06A9F" w14:textId="77777777" w:rsidR="009E6CB7" w:rsidRDefault="009E6CB7" w:rsidP="00B20551">
            <w:pPr>
              <w:spacing w:after="80"/>
            </w:pPr>
          </w:p>
        </w:tc>
        <w:tc>
          <w:tcPr>
            <w:tcW w:w="2268" w:type="dxa"/>
            <w:vAlign w:val="bottom"/>
          </w:tcPr>
          <w:p w14:paraId="16971D05" w14:textId="1EB3FB10" w:rsidR="009E6CB7" w:rsidRPr="00B97172" w:rsidRDefault="009E6CB7" w:rsidP="00B20551">
            <w:pPr>
              <w:spacing w:after="80" w:line="300" w:lineRule="exact"/>
              <w:rPr>
                <w:b/>
                <w:sz w:val="24"/>
                <w:szCs w:val="24"/>
              </w:rPr>
            </w:pPr>
          </w:p>
        </w:tc>
        <w:tc>
          <w:tcPr>
            <w:tcW w:w="6095" w:type="dxa"/>
            <w:gridSpan w:val="2"/>
            <w:vAlign w:val="bottom"/>
          </w:tcPr>
          <w:p w14:paraId="3E4118B1" w14:textId="1C4728FA" w:rsidR="00371E65" w:rsidRPr="00371E65" w:rsidRDefault="00371E65" w:rsidP="005009ED">
            <w:pPr>
              <w:jc w:val="right"/>
            </w:pPr>
          </w:p>
        </w:tc>
      </w:tr>
      <w:tr w:rsidR="009E6CB7" w14:paraId="6E2BA7FA" w14:textId="77777777" w:rsidTr="00371E65">
        <w:trPr>
          <w:cantSplit/>
          <w:trHeight w:hRule="exact" w:val="995"/>
        </w:trPr>
        <w:tc>
          <w:tcPr>
            <w:tcW w:w="1276" w:type="dxa"/>
          </w:tcPr>
          <w:p w14:paraId="2651C753" w14:textId="79B35B77" w:rsidR="009E6CB7" w:rsidRDefault="009E6CB7" w:rsidP="00B20551">
            <w:pPr>
              <w:spacing w:before="120"/>
            </w:pPr>
          </w:p>
        </w:tc>
        <w:tc>
          <w:tcPr>
            <w:tcW w:w="5528" w:type="dxa"/>
            <w:gridSpan w:val="2"/>
          </w:tcPr>
          <w:p w14:paraId="2A587DEA" w14:textId="70C8EF72" w:rsidR="009E6CB7" w:rsidRPr="00D773DF" w:rsidRDefault="009E6CB7" w:rsidP="00B20551">
            <w:pPr>
              <w:spacing w:before="120" w:line="420" w:lineRule="exact"/>
              <w:rPr>
                <w:sz w:val="40"/>
                <w:szCs w:val="40"/>
              </w:rPr>
            </w:pPr>
          </w:p>
        </w:tc>
        <w:tc>
          <w:tcPr>
            <w:tcW w:w="2835" w:type="dxa"/>
          </w:tcPr>
          <w:p w14:paraId="6E1D9012" w14:textId="77777777" w:rsidR="00371E65" w:rsidRPr="00371E65" w:rsidRDefault="00371E65" w:rsidP="00371E65">
            <w:pPr>
              <w:spacing w:before="240" w:line="240" w:lineRule="exact"/>
            </w:pPr>
            <w:r w:rsidRPr="00371E65">
              <w:t>ECE/MP.EIA/WG.2/2021/INF.11</w:t>
            </w:r>
          </w:p>
          <w:p w14:paraId="1DCC9E76" w14:textId="24A0F133" w:rsidR="005009ED" w:rsidRDefault="005009ED" w:rsidP="005009ED">
            <w:pPr>
              <w:spacing w:line="240" w:lineRule="exact"/>
            </w:pPr>
            <w:r>
              <w:t>2</w:t>
            </w:r>
            <w:r w:rsidR="00371E65">
              <w:t>5</w:t>
            </w:r>
            <w:r>
              <w:t xml:space="preserve"> October 2021</w:t>
            </w:r>
          </w:p>
          <w:p w14:paraId="1FE34DC8" w14:textId="30AA9C9E" w:rsidR="005009ED" w:rsidRDefault="005009ED" w:rsidP="005009ED">
            <w:pPr>
              <w:spacing w:line="240" w:lineRule="exact"/>
            </w:pPr>
            <w:r>
              <w:t>English</w:t>
            </w:r>
            <w:r w:rsidR="00371E65">
              <w:t xml:space="preserve"> only</w:t>
            </w:r>
          </w:p>
        </w:tc>
      </w:tr>
    </w:tbl>
    <w:p w14:paraId="01381719" w14:textId="77777777" w:rsidR="005009ED" w:rsidRPr="00136A88" w:rsidRDefault="005009ED" w:rsidP="0094684F">
      <w:pPr>
        <w:spacing w:before="120"/>
        <w:rPr>
          <w:b/>
          <w:sz w:val="28"/>
          <w:szCs w:val="28"/>
        </w:rPr>
      </w:pPr>
      <w:r w:rsidRPr="00136A88">
        <w:rPr>
          <w:b/>
          <w:sz w:val="28"/>
          <w:szCs w:val="28"/>
        </w:rPr>
        <w:t>Economic Commission for Europe</w:t>
      </w:r>
    </w:p>
    <w:p w14:paraId="5FDACA7C" w14:textId="77777777" w:rsidR="005009ED" w:rsidRPr="00136A88" w:rsidRDefault="005009ED" w:rsidP="0094684F">
      <w:pPr>
        <w:spacing w:before="120"/>
        <w:rPr>
          <w:bCs/>
          <w:sz w:val="24"/>
          <w:szCs w:val="24"/>
        </w:rPr>
      </w:pPr>
      <w:r w:rsidRPr="00136A88">
        <w:rPr>
          <w:bCs/>
          <w:sz w:val="24"/>
          <w:szCs w:val="24"/>
        </w:rPr>
        <w:t xml:space="preserve">Meeting of the Parties to the Convention </w:t>
      </w:r>
      <w:r w:rsidRPr="00136A88">
        <w:rPr>
          <w:bCs/>
          <w:sz w:val="24"/>
          <w:szCs w:val="24"/>
        </w:rPr>
        <w:br/>
        <w:t xml:space="preserve">on Environmental Impact Assessment </w:t>
      </w:r>
      <w:r w:rsidRPr="00136A88">
        <w:rPr>
          <w:bCs/>
          <w:sz w:val="24"/>
          <w:szCs w:val="24"/>
        </w:rPr>
        <w:br/>
        <w:t>in a Transboundary Context</w:t>
      </w:r>
    </w:p>
    <w:p w14:paraId="6796DDEC" w14:textId="77777777" w:rsidR="005009ED" w:rsidRPr="00136A88" w:rsidRDefault="005009ED" w:rsidP="0094684F">
      <w:pPr>
        <w:autoSpaceDE w:val="0"/>
        <w:autoSpaceDN w:val="0"/>
        <w:adjustRightInd w:val="0"/>
        <w:spacing w:before="120"/>
        <w:rPr>
          <w:sz w:val="24"/>
          <w:szCs w:val="24"/>
        </w:rPr>
      </w:pPr>
      <w:r w:rsidRPr="00136A88">
        <w:rPr>
          <w:sz w:val="24"/>
          <w:szCs w:val="24"/>
        </w:rPr>
        <w:t xml:space="preserve">Meeting of the Parties to the Convention </w:t>
      </w:r>
      <w:r w:rsidRPr="00136A88">
        <w:rPr>
          <w:sz w:val="24"/>
          <w:szCs w:val="24"/>
        </w:rPr>
        <w:br/>
        <w:t xml:space="preserve">on Environmental Impact Assessment in </w:t>
      </w:r>
      <w:r w:rsidRPr="00136A88">
        <w:rPr>
          <w:sz w:val="24"/>
          <w:szCs w:val="24"/>
        </w:rPr>
        <w:br/>
        <w:t xml:space="preserve">a Transboundary Context serving as the </w:t>
      </w:r>
      <w:r w:rsidRPr="00136A88">
        <w:rPr>
          <w:sz w:val="24"/>
          <w:szCs w:val="24"/>
        </w:rPr>
        <w:br/>
        <w:t xml:space="preserve">Meeting of the Parties to the Protocol on </w:t>
      </w:r>
      <w:r w:rsidRPr="00136A88">
        <w:rPr>
          <w:sz w:val="24"/>
          <w:szCs w:val="24"/>
        </w:rPr>
        <w:br/>
        <w:t>Strategic Environmental Assessment</w:t>
      </w:r>
    </w:p>
    <w:p w14:paraId="21CC9B1A" w14:textId="77777777" w:rsidR="005009ED" w:rsidRPr="00136A88" w:rsidRDefault="005009ED" w:rsidP="0094684F">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14:paraId="4166EB4B" w14:textId="6F323DD7" w:rsidR="005009ED" w:rsidRPr="00136A88" w:rsidRDefault="005009ED" w:rsidP="005009ED">
      <w:pPr>
        <w:spacing w:before="120"/>
        <w:rPr>
          <w:b/>
          <w:lang w:eastAsia="en-US"/>
        </w:rPr>
      </w:pPr>
      <w:r w:rsidRPr="003A589D">
        <w:rPr>
          <w:b/>
          <w:lang w:eastAsia="en-US"/>
        </w:rPr>
        <w:t>Tenth meeting</w:t>
      </w:r>
    </w:p>
    <w:p w14:paraId="245D7497" w14:textId="5EC38ED5" w:rsidR="005009ED" w:rsidRPr="00136A88" w:rsidRDefault="005009ED" w:rsidP="0094684F">
      <w:r w:rsidRPr="00136A88">
        <w:t xml:space="preserve">Geneva, </w:t>
      </w:r>
      <w:r w:rsidRPr="003A589D">
        <w:rPr>
          <w:lang w:eastAsia="en-US"/>
        </w:rPr>
        <w:t>1–3 December 2021</w:t>
      </w:r>
    </w:p>
    <w:p w14:paraId="304E7E40" w14:textId="34310209" w:rsidR="005009ED" w:rsidRDefault="005009ED" w:rsidP="0094684F">
      <w:r w:rsidRPr="00136A88">
        <w:t xml:space="preserve">Item </w:t>
      </w:r>
      <w:r>
        <w:t xml:space="preserve">6 </w:t>
      </w:r>
      <w:r w:rsidRPr="00136A88">
        <w:t>of the provisional agenda</w:t>
      </w:r>
    </w:p>
    <w:p w14:paraId="5727E311" w14:textId="303EEE2D" w:rsidR="00371E65" w:rsidRPr="00371E65" w:rsidRDefault="00371E65" w:rsidP="0094684F">
      <w:r w:rsidRPr="00371E65">
        <w:rPr>
          <w:rFonts w:asciiTheme="majorBidi" w:hAnsiTheme="majorBidi" w:cstheme="majorBidi"/>
          <w:b/>
          <w:bCs/>
          <w:color w:val="000000"/>
        </w:rPr>
        <w:t>Financial arrangements</w:t>
      </w:r>
    </w:p>
    <w:p w14:paraId="2064968B" w14:textId="44B0E592" w:rsidR="005009ED" w:rsidRPr="005009ED" w:rsidRDefault="005009ED" w:rsidP="005009ED">
      <w:pPr>
        <w:pStyle w:val="HChG"/>
        <w:rPr>
          <w:lang w:eastAsia="en-US"/>
        </w:rPr>
      </w:pPr>
      <w:r>
        <w:rPr>
          <w:lang w:eastAsia="en-US"/>
        </w:rPr>
        <w:tab/>
      </w:r>
      <w:r>
        <w:rPr>
          <w:lang w:eastAsia="en-US"/>
        </w:rPr>
        <w:tab/>
      </w:r>
      <w:r w:rsidRPr="005009ED">
        <w:rPr>
          <w:lang w:eastAsia="en-US"/>
        </w:rPr>
        <w:t>Consideration of in-kind contributions</w:t>
      </w:r>
    </w:p>
    <w:p w14:paraId="4DF02285" w14:textId="644CDD88" w:rsidR="005009ED" w:rsidRDefault="005009ED" w:rsidP="005009ED">
      <w:pPr>
        <w:pStyle w:val="H1G"/>
      </w:pPr>
      <w:r>
        <w:tab/>
      </w:r>
      <w:r>
        <w:tab/>
      </w:r>
      <w:r w:rsidRPr="005009ED">
        <w:t>Note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B9521A" w14:paraId="242ADD9B" w14:textId="77777777" w:rsidTr="006E5E26">
        <w:trPr>
          <w:jc w:val="center"/>
        </w:trPr>
        <w:tc>
          <w:tcPr>
            <w:tcW w:w="9637" w:type="dxa"/>
            <w:shd w:val="clear" w:color="auto" w:fill="auto"/>
          </w:tcPr>
          <w:p w14:paraId="6801B287" w14:textId="77777777" w:rsidR="00B9521A" w:rsidRPr="00C6263E" w:rsidRDefault="00B9521A" w:rsidP="006E5E26">
            <w:pPr>
              <w:spacing w:before="240" w:after="120"/>
              <w:ind w:left="255"/>
              <w:rPr>
                <w:i/>
                <w:sz w:val="24"/>
              </w:rPr>
            </w:pPr>
            <w:r w:rsidRPr="00C6263E">
              <w:rPr>
                <w:i/>
                <w:sz w:val="24"/>
              </w:rPr>
              <w:t>Summary</w:t>
            </w:r>
          </w:p>
        </w:tc>
      </w:tr>
      <w:tr w:rsidR="00B9521A" w14:paraId="3BB4DD7E" w14:textId="77777777" w:rsidTr="006E5E26">
        <w:trPr>
          <w:jc w:val="center"/>
        </w:trPr>
        <w:tc>
          <w:tcPr>
            <w:tcW w:w="9637" w:type="dxa"/>
            <w:shd w:val="clear" w:color="auto" w:fill="auto"/>
          </w:tcPr>
          <w:p w14:paraId="44F448FB" w14:textId="5BC19163" w:rsidR="00B9521A" w:rsidRPr="00B9521A" w:rsidRDefault="00B9521A" w:rsidP="00371E65">
            <w:pPr>
              <w:pStyle w:val="SingleTxtG"/>
              <w:ind w:firstLine="567"/>
              <w:rPr>
                <w:rFonts w:eastAsia="DengXian"/>
                <w:lang w:eastAsia="en-US"/>
              </w:rPr>
            </w:pPr>
            <w:r w:rsidRPr="00B9521A">
              <w:rPr>
                <w:rFonts w:eastAsia="DengXian"/>
                <w:lang w:eastAsia="en-US"/>
              </w:rPr>
              <w:t xml:space="preserve">This note by the Bureau to the Meetings of the Parties </w:t>
            </w:r>
            <w:bookmarkStart w:id="0" w:name="_Hlk86153087"/>
            <w:r w:rsidRPr="00B9521A">
              <w:rPr>
                <w:rFonts w:eastAsia="DengXian"/>
                <w:lang w:eastAsia="en-US"/>
              </w:rPr>
              <w:t xml:space="preserve">to the Convention on Environmental Impact Assessment in a Transboundary Context and its Protocol on Strategic Environmental Assessment </w:t>
            </w:r>
            <w:bookmarkEnd w:id="0"/>
            <w:r w:rsidRPr="00B9521A">
              <w:rPr>
                <w:rFonts w:eastAsia="DengXian"/>
                <w:lang w:eastAsia="en-US"/>
              </w:rPr>
              <w:t>has been prepared with support from the secretariat further to the request by the Meetings of the Parties at their last sessions (Vilnius, online, 8–10 December 2020) that the Bureau develop a system “to recognize in-kind contributions in a proper manner within a financial scheme”. The note contains background information and initial reflections by the Bureau. It draws attention to issues to be clarified by the Working Group to allow the Bureau to proceed with its deliberations on the matter.</w:t>
            </w:r>
          </w:p>
          <w:p w14:paraId="1B8440C1" w14:textId="6AA0A7B6" w:rsidR="00B9521A" w:rsidRDefault="00B9521A" w:rsidP="00371E65">
            <w:pPr>
              <w:pStyle w:val="SingleTxtG"/>
              <w:ind w:firstLine="567"/>
            </w:pPr>
            <w:r w:rsidRPr="00B9521A">
              <w:rPr>
                <w:rFonts w:eastAsia="DengXian"/>
                <w:lang w:eastAsia="en-US"/>
              </w:rPr>
              <w:t>The Working Group is invited to consider and comment on the information, and to provide the requested clarifications.</w:t>
            </w:r>
          </w:p>
        </w:tc>
      </w:tr>
      <w:tr w:rsidR="00B9521A" w14:paraId="74E0007E" w14:textId="77777777" w:rsidTr="006E5E26">
        <w:trPr>
          <w:jc w:val="center"/>
        </w:trPr>
        <w:tc>
          <w:tcPr>
            <w:tcW w:w="9637" w:type="dxa"/>
            <w:shd w:val="clear" w:color="auto" w:fill="auto"/>
          </w:tcPr>
          <w:p w14:paraId="24A1F927" w14:textId="77777777" w:rsidR="00B9521A" w:rsidRDefault="00B9521A" w:rsidP="006E5E26"/>
        </w:tc>
      </w:tr>
    </w:tbl>
    <w:p w14:paraId="73DB9EFE" w14:textId="77777777" w:rsidR="005009ED" w:rsidRPr="005009ED" w:rsidRDefault="005009ED" w:rsidP="00B9521A"/>
    <w:p w14:paraId="1CEE5416" w14:textId="3A989BA5" w:rsidR="00B9521A" w:rsidRDefault="00B9521A" w:rsidP="0094684F">
      <w:r>
        <w:br w:type="page"/>
      </w:r>
    </w:p>
    <w:p w14:paraId="56CD8264" w14:textId="677A6693" w:rsidR="00B9521A" w:rsidRPr="00B9521A" w:rsidRDefault="00B9521A" w:rsidP="00B9521A">
      <w:pPr>
        <w:pStyle w:val="HChG"/>
      </w:pPr>
      <w:r>
        <w:lastRenderedPageBreak/>
        <w:tab/>
      </w:r>
      <w:r w:rsidRPr="00B9521A">
        <w:t>I.</w:t>
      </w:r>
      <w:r w:rsidRPr="00B9521A">
        <w:tab/>
        <w:t>Background</w:t>
      </w:r>
    </w:p>
    <w:p w14:paraId="76DB55AD" w14:textId="5DBDFA1B" w:rsidR="00B9521A" w:rsidRPr="00B9521A" w:rsidRDefault="00B9521A" w:rsidP="00B9521A">
      <w:pPr>
        <w:pStyle w:val="SingleTxtG"/>
        <w:rPr>
          <w:lang w:eastAsia="en-US"/>
        </w:rPr>
      </w:pPr>
      <w:r w:rsidRPr="00B9521A">
        <w:rPr>
          <w:lang w:eastAsia="en-US"/>
        </w:rPr>
        <w:t>1.</w:t>
      </w:r>
      <w:r w:rsidRPr="00B9521A">
        <w:rPr>
          <w:lang w:eastAsia="en-US"/>
        </w:rPr>
        <w:tab/>
        <w:t>Further to the proposal by the delegation of the European Union, the Meetings of the Parties to the Convention on Environmental Impact Assessment in a Transboundary Context and its Protocol on Strategic Environmental Assessment at their last sessions (Vilnius, online, 8–10 December 2020) requested the Bureau, with the assistance of the secretariat, to develop a system “to recognize in-kind contributions in a proper manner within the financial scheme”.</w:t>
      </w:r>
      <w:r w:rsidRPr="00B9521A">
        <w:rPr>
          <w:vertAlign w:val="superscript"/>
          <w:lang w:eastAsia="en-US"/>
        </w:rPr>
        <w:footnoteReference w:id="2"/>
      </w:r>
      <w:r w:rsidRPr="00B9521A">
        <w:rPr>
          <w:lang w:eastAsia="en-US"/>
        </w:rPr>
        <w:t xml:space="preserve"> The “proper manner” was not specified. The requested work was to be delivered for consideration of the Meetings of the Parties at their next sessions, scheduled for December 2023. The present document outlines the outcomes of the Bureau’s initial deliberations on the matter at its meeting held online on 16 and 17 June 2021.</w:t>
      </w:r>
      <w:r w:rsidRPr="00B9521A">
        <w:rPr>
          <w:sz w:val="18"/>
          <w:vertAlign w:val="superscript"/>
          <w:lang w:eastAsia="en-US"/>
        </w:rPr>
        <w:footnoteReference w:id="3"/>
      </w:r>
    </w:p>
    <w:p w14:paraId="5772B699" w14:textId="79991F0D" w:rsidR="00B9521A" w:rsidRPr="00B9521A" w:rsidRDefault="00B9521A" w:rsidP="00B9521A">
      <w:pPr>
        <w:pStyle w:val="SingleTxtG"/>
        <w:rPr>
          <w:lang w:eastAsia="en-US"/>
        </w:rPr>
      </w:pPr>
      <w:r w:rsidRPr="00B9521A">
        <w:rPr>
          <w:lang w:eastAsia="en-US"/>
        </w:rPr>
        <w:t>2.</w:t>
      </w:r>
      <w:r>
        <w:rPr>
          <w:lang w:eastAsia="en-US"/>
        </w:rPr>
        <w:tab/>
      </w:r>
      <w:r w:rsidRPr="00B9521A">
        <w:rPr>
          <w:lang w:eastAsia="en-US"/>
        </w:rPr>
        <w:t>Over the years, through decisions on budget and financial arrangements by the Meetings of the Parties, Parties to the Convention and the Protocol and stakeholders have consistently been encouraged to provide in-kind contributions as a valuable additional means to implement the workplan activities, in addition to contributing extrabudgetary funds to the trust fund under the two treaties.</w:t>
      </w:r>
      <w:r w:rsidRPr="00B9521A">
        <w:rPr>
          <w:vertAlign w:val="superscript"/>
          <w:lang w:eastAsia="en-US"/>
        </w:rPr>
        <w:footnoteReference w:id="4"/>
      </w:r>
    </w:p>
    <w:p w14:paraId="66D3E305" w14:textId="22E3536E" w:rsidR="00B9521A" w:rsidRPr="00B9521A" w:rsidRDefault="00B9521A" w:rsidP="00B9521A">
      <w:pPr>
        <w:pStyle w:val="SingleTxtG"/>
        <w:rPr>
          <w:lang w:eastAsia="en-US"/>
        </w:rPr>
      </w:pPr>
      <w:r w:rsidRPr="00B9521A">
        <w:rPr>
          <w:lang w:eastAsia="en-US"/>
        </w:rPr>
        <w:t>3.</w:t>
      </w:r>
      <w:r w:rsidRPr="00B9521A">
        <w:rPr>
          <w:lang w:eastAsia="en-US"/>
        </w:rPr>
        <w:tab/>
        <w:t>The financial strategy adopted by the Meetings of the Parties in 2014</w:t>
      </w:r>
      <w:r w:rsidRPr="00B9521A">
        <w:rPr>
          <w:sz w:val="18"/>
          <w:vertAlign w:val="superscript"/>
          <w:lang w:eastAsia="en-US"/>
        </w:rPr>
        <w:footnoteReference w:id="5"/>
      </w:r>
      <w:r w:rsidRPr="00B9521A">
        <w:rPr>
          <w:lang w:eastAsia="en-US"/>
        </w:rPr>
        <w:t xml:space="preserve"> provided the following examples of what in-kind contributions may consist of:</w:t>
      </w:r>
    </w:p>
    <w:p w14:paraId="69B9360B" w14:textId="06046CFE" w:rsidR="00B9521A" w:rsidRPr="00B9521A" w:rsidRDefault="00B9521A" w:rsidP="00B9521A">
      <w:pPr>
        <w:pStyle w:val="SingleTxtG"/>
        <w:ind w:firstLine="567"/>
        <w:rPr>
          <w:lang w:eastAsia="en-US"/>
        </w:rPr>
      </w:pPr>
      <w:r w:rsidRPr="00B9521A">
        <w:rPr>
          <w:lang w:eastAsia="en-US"/>
        </w:rPr>
        <w:t>(a)</w:t>
      </w:r>
      <w:r w:rsidRPr="00B9521A">
        <w:rPr>
          <w:lang w:eastAsia="en-US"/>
        </w:rPr>
        <w:tab/>
        <w:t>Covering the cost of services linked to workplan activities (provision of expertise, organization of a meeting, publication of results, etc.);</w:t>
      </w:r>
    </w:p>
    <w:p w14:paraId="015B2E2C" w14:textId="72D6116E" w:rsidR="00B9521A" w:rsidRPr="00B9521A" w:rsidRDefault="00B9521A" w:rsidP="00B9521A">
      <w:pPr>
        <w:pStyle w:val="SingleTxtG"/>
        <w:ind w:firstLine="567"/>
        <w:rPr>
          <w:lang w:eastAsia="en-US"/>
        </w:rPr>
      </w:pPr>
      <w:r w:rsidRPr="00B9521A">
        <w:rPr>
          <w:lang w:eastAsia="en-US"/>
        </w:rPr>
        <w:t>(b)</w:t>
      </w:r>
      <w:r w:rsidRPr="00B9521A">
        <w:rPr>
          <w:lang w:eastAsia="en-US"/>
        </w:rPr>
        <w:tab/>
        <w:t>Funding directly the participation of representatives of countries with economies in transition and the secretariat, rather than through contributions to the trust fund;</w:t>
      </w:r>
    </w:p>
    <w:p w14:paraId="22071039" w14:textId="19679BE7" w:rsidR="00B9521A" w:rsidRPr="00B9521A" w:rsidRDefault="00B9521A" w:rsidP="00B9521A">
      <w:pPr>
        <w:pStyle w:val="SingleTxtG"/>
        <w:ind w:firstLine="567"/>
        <w:rPr>
          <w:lang w:eastAsia="en-US"/>
        </w:rPr>
      </w:pPr>
      <w:r w:rsidRPr="00B9521A">
        <w:rPr>
          <w:lang w:eastAsia="en-US"/>
        </w:rPr>
        <w:t>(c)</w:t>
      </w:r>
      <w:r w:rsidRPr="00B9521A">
        <w:rPr>
          <w:lang w:eastAsia="en-US"/>
        </w:rPr>
        <w:tab/>
        <w:t>Providing financial support for representatives of States outside the ECE region that they wished to participate in activities or meetings;</w:t>
      </w:r>
    </w:p>
    <w:p w14:paraId="04062411" w14:textId="36D4B8F9" w:rsidR="00B9521A" w:rsidRPr="00B9521A" w:rsidRDefault="00B9521A" w:rsidP="00B9521A">
      <w:pPr>
        <w:pStyle w:val="SingleTxtG"/>
        <w:ind w:firstLine="567"/>
        <w:rPr>
          <w:lang w:eastAsia="en-US"/>
        </w:rPr>
      </w:pPr>
      <w:r w:rsidRPr="00B9521A">
        <w:rPr>
          <w:lang w:eastAsia="en-US"/>
        </w:rPr>
        <w:t>(d)</w:t>
      </w:r>
      <w:r w:rsidRPr="00B9521A">
        <w:rPr>
          <w:lang w:eastAsia="en-US"/>
        </w:rPr>
        <w:tab/>
        <w:t>Provision of leadership and expertise within the subsidiary bodies under the Convention and the Protocol, (e.g. as Chairs or members of official treaty bodies (elected officials) or of ad hoc bodies (ad hoc working groups, task forces, editorial groups etc.)).</w:t>
      </w:r>
    </w:p>
    <w:p w14:paraId="7AA2587B" w14:textId="77777777" w:rsidR="00B9521A" w:rsidRPr="00B9521A" w:rsidRDefault="00B9521A" w:rsidP="00B9521A">
      <w:pPr>
        <w:pStyle w:val="SingleTxtG"/>
        <w:rPr>
          <w:lang w:eastAsia="en-US"/>
        </w:rPr>
      </w:pPr>
      <w:r w:rsidRPr="00B9521A">
        <w:rPr>
          <w:lang w:eastAsia="en-US"/>
        </w:rPr>
        <w:t>4.</w:t>
      </w:r>
      <w:r w:rsidRPr="00B9521A">
        <w:rPr>
          <w:lang w:eastAsia="en-US"/>
        </w:rPr>
        <w:tab/>
        <w:t>The past workplans and budgets have referred to a variety of in-kind contributions over the years, which have typically constituted “services in-kind,”</w:t>
      </w:r>
      <w:r w:rsidRPr="00B9521A">
        <w:rPr>
          <w:vertAlign w:val="superscript"/>
          <w:lang w:eastAsia="en-US"/>
        </w:rPr>
        <w:t xml:space="preserve"> </w:t>
      </w:r>
      <w:r w:rsidRPr="00B9521A">
        <w:rPr>
          <w:vertAlign w:val="superscript"/>
          <w:lang w:eastAsia="en-US"/>
        </w:rPr>
        <w:footnoteReference w:id="6"/>
      </w:r>
      <w:r w:rsidRPr="00B9521A">
        <w:rPr>
          <w:lang w:eastAsia="en-US"/>
        </w:rPr>
        <w:t xml:space="preserve"> for example for the provision of technical assistance, exchange of good practice, informal translations, preparation of guidance materials. Such contributions have involved consultancy costs, costs associated with logistical arrangements for workshops and conferences and costs related to translation of documents or interpretation at meetings listed in the workplan. Another particularly significant example of a past in-kind contribution has been the sponsoring by Finland of a junior professional officer to UNECE to support the work of the secretariat for 3 years (2011–2014).</w:t>
      </w:r>
    </w:p>
    <w:p w14:paraId="41296700" w14:textId="4BC3B950" w:rsidR="00B9521A" w:rsidRPr="00B9521A" w:rsidRDefault="00B9521A" w:rsidP="00B9521A">
      <w:pPr>
        <w:pStyle w:val="H4G"/>
        <w:rPr>
          <w:lang w:eastAsia="en-US"/>
        </w:rPr>
      </w:pPr>
      <w:r>
        <w:rPr>
          <w:lang w:eastAsia="en-US"/>
        </w:rPr>
        <w:tab/>
      </w:r>
      <w:r>
        <w:rPr>
          <w:lang w:eastAsia="en-US"/>
        </w:rPr>
        <w:tab/>
      </w:r>
      <w:r w:rsidRPr="00B9521A">
        <w:rPr>
          <w:lang w:eastAsia="en-US"/>
        </w:rPr>
        <w:t>Practice this far</w:t>
      </w:r>
    </w:p>
    <w:p w14:paraId="6C61340D" w14:textId="2EA90815" w:rsidR="00B9521A" w:rsidRPr="00B9521A" w:rsidRDefault="00B9521A" w:rsidP="00B9521A">
      <w:pPr>
        <w:pStyle w:val="SingleTxtG"/>
        <w:rPr>
          <w:lang w:eastAsia="en-US"/>
        </w:rPr>
      </w:pPr>
      <w:r w:rsidRPr="00B9521A">
        <w:rPr>
          <w:lang w:eastAsia="en-US"/>
        </w:rPr>
        <w:t>5.</w:t>
      </w:r>
      <w:r w:rsidRPr="00B9521A">
        <w:rPr>
          <w:lang w:eastAsia="en-US"/>
        </w:rPr>
        <w:tab/>
        <w:t xml:space="preserve">The longstanding stablished practice under the Convention and its Protocol has been to prominently acknowledge the in-kind contributions provided, as follows:  </w:t>
      </w:r>
    </w:p>
    <w:p w14:paraId="6816DABF" w14:textId="51E199EE" w:rsidR="00B9521A" w:rsidRPr="00B9521A" w:rsidRDefault="00B9521A" w:rsidP="00B9521A">
      <w:pPr>
        <w:pStyle w:val="SingleTxtG"/>
        <w:ind w:firstLine="567"/>
        <w:rPr>
          <w:lang w:eastAsia="en-US"/>
        </w:rPr>
      </w:pPr>
      <w:r w:rsidRPr="00B9521A">
        <w:rPr>
          <w:lang w:eastAsia="en-US"/>
        </w:rPr>
        <w:t>(a)</w:t>
      </w:r>
      <w:r w:rsidRPr="00B9521A">
        <w:rPr>
          <w:lang w:eastAsia="en-US"/>
        </w:rPr>
        <w:tab/>
        <w:t>Through the annual financial reports (where in-kind contributions are described both in the body of the text and in corresponding tables);</w:t>
      </w:r>
      <w:r w:rsidRPr="00B9521A">
        <w:rPr>
          <w:sz w:val="18"/>
          <w:vertAlign w:val="superscript"/>
          <w:lang w:eastAsia="en-US"/>
        </w:rPr>
        <w:footnoteReference w:id="7"/>
      </w:r>
    </w:p>
    <w:p w14:paraId="4FD2AD53" w14:textId="77777777" w:rsidR="00B9521A" w:rsidRPr="00B9521A" w:rsidRDefault="00B9521A" w:rsidP="009445D3">
      <w:pPr>
        <w:pStyle w:val="SingleTxtG"/>
        <w:ind w:firstLine="567"/>
        <w:rPr>
          <w:lang w:eastAsia="en-US"/>
        </w:rPr>
      </w:pPr>
      <w:r w:rsidRPr="00B9521A">
        <w:rPr>
          <w:lang w:eastAsia="en-US"/>
        </w:rPr>
        <w:lastRenderedPageBreak/>
        <w:t>(b)</w:t>
      </w:r>
      <w:r w:rsidRPr="00B9521A">
        <w:rPr>
          <w:lang w:eastAsia="en-US"/>
        </w:rPr>
        <w:tab/>
        <w:t>Referring to them at every meeting of the Bureau, the Working Group and the Meetings of the Parties;</w:t>
      </w:r>
    </w:p>
    <w:p w14:paraId="60501E1F" w14:textId="25FAEFD3" w:rsidR="00B9521A" w:rsidRPr="00B9521A" w:rsidRDefault="00B9521A" w:rsidP="009445D3">
      <w:pPr>
        <w:pStyle w:val="SingleTxtG"/>
        <w:ind w:firstLine="567"/>
        <w:rPr>
          <w:lang w:eastAsia="en-US"/>
        </w:rPr>
      </w:pPr>
      <w:r w:rsidRPr="00B9521A">
        <w:rPr>
          <w:lang w:eastAsia="en-US"/>
        </w:rPr>
        <w:t>(c)</w:t>
      </w:r>
      <w:r w:rsidRPr="00B9521A">
        <w:rPr>
          <w:lang w:eastAsia="en-US"/>
        </w:rPr>
        <w:tab/>
        <w:t>Recording them in the meeting reports</w:t>
      </w:r>
      <w:r w:rsidRPr="00B9521A">
        <w:t xml:space="preserve"> of </w:t>
      </w:r>
      <w:r w:rsidRPr="00B9521A">
        <w:rPr>
          <w:lang w:eastAsia="en-US"/>
        </w:rPr>
        <w:t xml:space="preserve">the Bureau, the Working Group and the Meetings of the Parties. </w:t>
      </w:r>
    </w:p>
    <w:p w14:paraId="7CA06459" w14:textId="763D85D4" w:rsidR="00B9521A" w:rsidRPr="00B9521A" w:rsidRDefault="00B9521A" w:rsidP="00B9521A">
      <w:pPr>
        <w:pStyle w:val="SingleTxtG"/>
        <w:rPr>
          <w:lang w:eastAsia="en-US"/>
        </w:rPr>
      </w:pPr>
      <w:r w:rsidRPr="00B9521A">
        <w:rPr>
          <w:lang w:eastAsia="en-US"/>
        </w:rPr>
        <w:t>6.</w:t>
      </w:r>
      <w:r w:rsidR="009445D3">
        <w:rPr>
          <w:lang w:eastAsia="en-US"/>
        </w:rPr>
        <w:tab/>
      </w:r>
      <w:r w:rsidRPr="00B9521A">
        <w:rPr>
          <w:lang w:eastAsia="en-US"/>
        </w:rPr>
        <w:t>Since 2013, the funding that the secretariat channelled through large projects (such as the European Union funded programmes EaP GREEN (2013–2018) and EU4Environment (2019–2022)), administered through separate trust funds, has required a separate detailed financial and narrative reporting to the donor. Consequently, to avoid double reporting, the financial reports under the Convention and the Protocol no longer indicate all the details of the related transactions but describe the activities in question, the total amounts of the project funding, and provide links to available further information.</w:t>
      </w:r>
      <w:r w:rsidRPr="00B9521A">
        <w:rPr>
          <w:sz w:val="18"/>
          <w:vertAlign w:val="superscript"/>
          <w:lang w:eastAsia="en-US"/>
        </w:rPr>
        <w:footnoteReference w:id="8"/>
      </w:r>
      <w:r w:rsidRPr="00B9521A">
        <w:rPr>
          <w:lang w:eastAsia="en-US"/>
        </w:rPr>
        <w:t xml:space="preserve"> </w:t>
      </w:r>
      <w:bookmarkStart w:id="4" w:name="_Hlk74296683"/>
    </w:p>
    <w:bookmarkEnd w:id="4"/>
    <w:p w14:paraId="3036A969" w14:textId="77777777" w:rsidR="00B9521A" w:rsidRPr="00B9521A" w:rsidRDefault="00B9521A" w:rsidP="00B9521A">
      <w:pPr>
        <w:pStyle w:val="SingleTxtG"/>
        <w:rPr>
          <w:lang w:eastAsia="en-US"/>
        </w:rPr>
      </w:pPr>
      <w:r w:rsidRPr="00B9521A">
        <w:rPr>
          <w:lang w:eastAsia="en-US"/>
        </w:rPr>
        <w:t>7.</w:t>
      </w:r>
      <w:r w:rsidRPr="00B9521A">
        <w:rPr>
          <w:lang w:eastAsia="en-US"/>
        </w:rPr>
        <w:tab/>
        <w:t>As a rule, the in-kind and project funded contributions that are not transferred to the trust fund under the Convention and the Protocol to finance the budget adopted by the Parties, have always been presented in the financial reports separately, after the trust fund balance in the reporting period, in tables summarizing the corresponding income and expenditure. In-kind contributions have been mostly valued according to the budget/workplan resource requirements indicated by the Meeting of the Parties or based on estimated amounts provided by the contributing Parties/organizations.</w:t>
      </w:r>
      <w:r w:rsidRPr="00B9521A">
        <w:rPr>
          <w:vertAlign w:val="superscript"/>
          <w:lang w:eastAsia="en-US"/>
        </w:rPr>
        <w:footnoteReference w:id="9"/>
      </w:r>
    </w:p>
    <w:p w14:paraId="3C0DFD62" w14:textId="65852054" w:rsidR="00B9521A" w:rsidRPr="00B9521A" w:rsidRDefault="00B9521A" w:rsidP="00B9521A">
      <w:pPr>
        <w:pStyle w:val="SingleTxtG"/>
        <w:rPr>
          <w:lang w:eastAsia="en-US"/>
        </w:rPr>
      </w:pPr>
      <w:r w:rsidRPr="00B9521A">
        <w:rPr>
          <w:lang w:eastAsia="en-US"/>
        </w:rPr>
        <w:t>8.</w:t>
      </w:r>
      <w:r w:rsidR="009445D3">
        <w:rPr>
          <w:lang w:eastAsia="en-US"/>
        </w:rPr>
        <w:tab/>
      </w:r>
      <w:r w:rsidRPr="00B9521A">
        <w:rPr>
          <w:lang w:eastAsia="en-US"/>
        </w:rPr>
        <w:t>Previously, the workplans contained an extensive list of activities that countries had expressed a wish for, indicating also estimated resource requirements for such activities, independently whether any resources had yet been identified for their implementation. In contrast, in 2017, the Meetings of the Parties decided that workplans should consist only of activities for which funding has been identified in advance (or else the activities should be listed in a waiting list)</w:t>
      </w:r>
      <w:r w:rsidRPr="00B9521A">
        <w:rPr>
          <w:sz w:val="18"/>
          <w:vertAlign w:val="superscript"/>
          <w:lang w:eastAsia="en-US"/>
        </w:rPr>
        <w:footnoteReference w:id="10"/>
      </w:r>
      <w:r w:rsidRPr="00B9521A">
        <w:rPr>
          <w:lang w:eastAsia="en-US"/>
        </w:rPr>
        <w:t>.</w:t>
      </w:r>
    </w:p>
    <w:p w14:paraId="7FBE6314" w14:textId="3F363166" w:rsidR="00B9521A" w:rsidRPr="00B9521A" w:rsidRDefault="00B9521A" w:rsidP="00B9521A">
      <w:pPr>
        <w:pStyle w:val="SingleTxtG"/>
      </w:pPr>
      <w:r w:rsidRPr="00B9521A">
        <w:rPr>
          <w:lang w:eastAsia="en-US"/>
        </w:rPr>
        <w:t>9.</w:t>
      </w:r>
      <w:r w:rsidRPr="00B9521A">
        <w:rPr>
          <w:lang w:eastAsia="en-US"/>
        </w:rPr>
        <w:tab/>
        <w:t>The intersessional period 2017–2020 was characterized by substantial in-kind contributions made by numerous Parties, in particular for the preparation of the Guidance on the applicability of the Convention to the lifetime extension of nuclear power plants: During three years, several Parties,</w:t>
      </w:r>
      <w:r w:rsidRPr="00B9521A">
        <w:t xml:space="preserve"> in particular Germany and the United Kingdom of Great Britain and Northern Ireland, as Co-Chairs of the ad hoc group, but also many other Parties, as members of that group, spent time, effort and funds in travelling to meetings and in contributing to the elaboration of the draft guidance. Several Parties also </w:t>
      </w:r>
      <w:r w:rsidRPr="00B9521A">
        <w:rPr>
          <w:lang w:eastAsia="en-US"/>
        </w:rPr>
        <w:t>hosted and organized m</w:t>
      </w:r>
      <w:r w:rsidRPr="00B9521A">
        <w:t>eetings, which, in 2017–2020, were held in Luxembourg; Brussels; Berlin; London; Lisbon; Rotterdam; and Vienna, covering the organizational costs of the meetings. In addition, Germany hired a consultant to support the drafting of the guidance and translated the draft guidance into Russian in advance of a meeting of the Working Group in 2020.</w:t>
      </w:r>
    </w:p>
    <w:p w14:paraId="45EBE53C" w14:textId="40B3BFD1" w:rsidR="00B9521A" w:rsidRDefault="00B9521A" w:rsidP="00B9521A">
      <w:pPr>
        <w:pStyle w:val="SingleTxtG"/>
      </w:pPr>
      <w:r w:rsidRPr="00B9521A">
        <w:t>10.</w:t>
      </w:r>
      <w:r w:rsidRPr="00B9521A">
        <w:tab/>
        <w:t>The budget and the workplan for 2017–2020 as agreed by the Meetings of the Parties did not, however, indicate any estimated monetary values for the foreseen or possible in-kind contribution, including as regards the development of draft guidance documents by volunteering Parties, nor did any of the contributing Parties subsequently inform the secretariat of the related costs/budgetary figures. In absence of such information, the financial report for 2017–2020 recorded all the in-kind contributions and indicted that their monetary value was not known. The same would hold true for the present workplan for 2021–2023.</w:t>
      </w:r>
    </w:p>
    <w:p w14:paraId="4B46563C" w14:textId="69D15D37" w:rsidR="009445D3" w:rsidRPr="009445D3" w:rsidRDefault="009445D3" w:rsidP="009445D3">
      <w:pPr>
        <w:pStyle w:val="HChG"/>
        <w:rPr>
          <w:lang w:eastAsia="en-US"/>
        </w:rPr>
      </w:pPr>
      <w:r>
        <w:rPr>
          <w:lang w:eastAsia="en-US"/>
        </w:rPr>
        <w:lastRenderedPageBreak/>
        <w:tab/>
      </w:r>
      <w:r w:rsidRPr="009445D3">
        <w:rPr>
          <w:lang w:eastAsia="en-US"/>
        </w:rPr>
        <w:t>II.</w:t>
      </w:r>
      <w:r w:rsidRPr="009445D3">
        <w:rPr>
          <w:lang w:eastAsia="en-US"/>
        </w:rPr>
        <w:tab/>
        <w:t>Issues for consideration by the Working Group</w:t>
      </w:r>
    </w:p>
    <w:p w14:paraId="64670AFF" w14:textId="1FF1F919" w:rsidR="009445D3" w:rsidRPr="009445D3" w:rsidRDefault="009445D3" w:rsidP="007C6089">
      <w:pPr>
        <w:pStyle w:val="SingleTxtG"/>
      </w:pPr>
      <w:r w:rsidRPr="009445D3">
        <w:t>11.</w:t>
      </w:r>
      <w:r>
        <w:tab/>
      </w:r>
      <w:r w:rsidRPr="009445D3">
        <w:t>The Bureau deliberated on several issues in relation to the requested “proper” recognition of in-kind contributions “within a financial scheme”. It observed that the request as it was formulated lacked clarity and that further explanations and guidance from the Working Group would be useful to allow the Bureau to consider the matter further and be able to properly address it. The Bureau considered that the in-kind contributions under the Convention and the Protocol were already prominently recognized (see para. 5 above). It therefore invited the Working Group to clarify whether the request advocated for a better and more systematic determination of monetary values of in-kind contributions. Based on that assumption, the Bureau considered the issue of “monetarization” of in-kind contributions more in depth and raised several questions in that regard.</w:t>
      </w:r>
    </w:p>
    <w:p w14:paraId="601DB240" w14:textId="20EE0010" w:rsidR="009445D3" w:rsidRPr="009445D3" w:rsidRDefault="009445D3" w:rsidP="007C6089">
      <w:pPr>
        <w:pStyle w:val="SingleTxtG"/>
      </w:pPr>
      <w:r w:rsidRPr="009445D3">
        <w:t>12.</w:t>
      </w:r>
      <w:r w:rsidRPr="009445D3">
        <w:tab/>
        <w:t>The Bureau invited the Working Group to provide feedback and clarifications, including as regards the following issues and questions:</w:t>
      </w:r>
    </w:p>
    <w:p w14:paraId="6E4C2461" w14:textId="3E47D981" w:rsidR="009445D3" w:rsidRPr="009445D3" w:rsidRDefault="009445D3" w:rsidP="007C6089">
      <w:pPr>
        <w:pStyle w:val="SingleTxtG"/>
        <w:ind w:firstLine="567"/>
        <w:rPr>
          <w:lang w:val="en-US"/>
        </w:rPr>
      </w:pPr>
      <w:r w:rsidRPr="009445D3">
        <w:t>(a)</w:t>
      </w:r>
      <w:r w:rsidRPr="009445D3">
        <w:tab/>
      </w:r>
      <w:r w:rsidRPr="009445D3">
        <w:rPr>
          <w:b/>
          <w:bCs/>
        </w:rPr>
        <w:t>The determination of specific monetary values for in-kind contributions</w:t>
      </w:r>
      <w:r w:rsidRPr="009445D3">
        <w:t>. As the Meetings of the Parties have decided that the workplans that they adopt should be matched with corresponding funding, a Party that commits to providing in-kind services for the implementation of a workplan activity would need to indicate this well in advance and provide an estimated value for that service to be recorded in the workplan (under “resource requirements”). Upon the implementation of the activity, that Party should also report on the actual value of the service provided, for that expenditure to be more accurately recorded in the financial reports, and not only reflecting an initial estimate</w:t>
      </w:r>
      <w:r w:rsidRPr="009445D3">
        <w:rPr>
          <w:sz w:val="18"/>
          <w:vertAlign w:val="superscript"/>
        </w:rPr>
        <w:footnoteReference w:id="11"/>
      </w:r>
      <w:r w:rsidRPr="009445D3">
        <w:t>. For the purposes of the financial report, any expenditure figures should be provided to the secretariat in United States’ Dollars. The secretariat would fully rely only on the information provided by the contributing Parties or stakeholders without a possibility to verify the expenditures regarding funds not administered by it;</w:t>
      </w:r>
    </w:p>
    <w:p w14:paraId="7A1C82FD" w14:textId="1592BED5" w:rsidR="009445D3" w:rsidRPr="009445D3" w:rsidRDefault="009445D3" w:rsidP="007C6089">
      <w:pPr>
        <w:pStyle w:val="SingleTxtG"/>
        <w:ind w:firstLine="567"/>
        <w:rPr>
          <w:lang w:eastAsia="en-US"/>
        </w:rPr>
      </w:pPr>
      <w:r w:rsidRPr="009445D3">
        <w:t>(b)</w:t>
      </w:r>
      <w:r w:rsidRPr="009445D3">
        <w:tab/>
      </w:r>
      <w:r w:rsidRPr="009445D3">
        <w:rPr>
          <w:b/>
          <w:bCs/>
        </w:rPr>
        <w:t xml:space="preserve">Identifying the types of in-kind contributions to be “monetarized”. </w:t>
      </w:r>
      <w:r w:rsidRPr="009445D3">
        <w:t>The Bureau considered that systematically “monetarizing” all in-kind contributions would not be feasible. While calculating the costs for the organization of a meeting or a workshop would not be difficult, other in-kind contributions would be more challenging. In particular, determining the monetary value of individual Parties’ officials in-kind inputs to the work of the formal or ad hoc treaty bodies, (through calculating the number of days spent and the corresponding daily fees of the officers, in US dollars) would be too challenging to collect and to compare, taking into account the differences in national salary levels and currencies of Parties and stakeholders across the UNECE region. The current s</w:t>
      </w:r>
      <w:r w:rsidRPr="009445D3">
        <w:rPr>
          <w:lang w:eastAsia="en-US"/>
        </w:rPr>
        <w:t>taff resources of the secretariat would clearly not be sufficient for the additional work to liaise with the concerned Parties and stakeholders to collect and to assemble the data, and to convert costs into USD;</w:t>
      </w:r>
    </w:p>
    <w:p w14:paraId="32DA1787" w14:textId="785068AF" w:rsidR="009445D3" w:rsidRPr="009445D3" w:rsidRDefault="009445D3" w:rsidP="007C6089">
      <w:pPr>
        <w:spacing w:after="120"/>
        <w:ind w:left="1134" w:right="1134" w:firstLine="567"/>
        <w:jc w:val="both"/>
      </w:pPr>
      <w:r w:rsidRPr="009445D3">
        <w:t>(c)</w:t>
      </w:r>
      <w:r w:rsidRPr="009445D3">
        <w:tab/>
      </w:r>
      <w:r w:rsidRPr="009445D3">
        <w:rPr>
          <w:b/>
          <w:bCs/>
        </w:rPr>
        <w:t>Factoring in funds for the secretariat resources needed to supplement in-kind contributions.</w:t>
      </w:r>
      <w:r w:rsidRPr="009445D3">
        <w:t xml:space="preserve"> The Bureau underscored that no matter how useful the in-kind contributions were, the budget deficit in the trust fund and the resource constraints of the secretariat remained acute problems. The workplan activities that were delivered through in-kind contributions had also needed to be backed up by a varying extent of secretariat support and often also required travel funds for the secretariat - but without any additional funding or secretariat resources provided for that purpose. For example, the preparation of the guidance on the lifetime-extension of nuclear power plants, referred to above, demanded also considerable secretariat resources, for servicing and contributing to the work, travelling to meetings and organizing multiple online meetings. That effort overlapped with the peak-workload period for the secretariat for the organization of the sessions of the Meetings of the Parties in 2019 and in 2020, and preceding meetings of the Bureau, Working Group and the Implementation Committee in 2017–2020. Consequently, the Working Group was invited to acknowledge that any system for reflecting in-kind contributions would also need to factor in and ensure the availability of sufficient funds in the trust fund for the required secretariat </w:t>
      </w:r>
      <w:r w:rsidRPr="009445D3">
        <w:lastRenderedPageBreak/>
        <w:t xml:space="preserve">support or any other expenditure needed from the trust fund (e.g. travel of participants funded from the trust fund); </w:t>
      </w:r>
      <w:bookmarkStart w:id="5" w:name="_Hlk86167778"/>
    </w:p>
    <w:bookmarkEnd w:id="5"/>
    <w:p w14:paraId="73C55401" w14:textId="77777777" w:rsidR="009445D3" w:rsidRPr="009445D3" w:rsidRDefault="009445D3" w:rsidP="007C6089">
      <w:pPr>
        <w:pStyle w:val="SingleTxtG"/>
        <w:ind w:firstLine="567"/>
      </w:pPr>
      <w:r w:rsidRPr="009445D3">
        <w:t>(d)</w:t>
      </w:r>
      <w:r w:rsidRPr="009445D3">
        <w:tab/>
      </w:r>
      <w:r w:rsidRPr="009445D3">
        <w:rPr>
          <w:b/>
          <w:bCs/>
        </w:rPr>
        <w:t>The determination of a possible minimum value for in-kind contributions to be reflected in the financial reports</w:t>
      </w:r>
      <w:r w:rsidRPr="009445D3">
        <w:t>. In the past, in-kind contributions, including those of estimated value of below USD 5,000 have been summarized in the financial reports. From the financial and accounting perspective, the “United Nations Corporate Guidance for International Public Sector Accounting Standards” specify that [t]he United Nations does not recognize services in kind. However, the disclosure to the financial statements should include information about services in kind with a value above USD 20,000.</w:t>
      </w:r>
      <w:r w:rsidRPr="009445D3">
        <w:rPr>
          <w:b/>
          <w:bCs/>
          <w:sz w:val="18"/>
          <w:vertAlign w:val="superscript"/>
        </w:rPr>
        <w:footnoteReference w:id="12"/>
      </w:r>
      <w:r w:rsidRPr="009445D3">
        <w:t xml:space="preserve">  The Bureau considered it useful to establish possible thresholds/ minimum values for the acknowledgement of in-kind contributions (e.g. organizing a meeting vs. delivering a presentation at a meeting);</w:t>
      </w:r>
    </w:p>
    <w:p w14:paraId="4AD28686" w14:textId="623535F6" w:rsidR="009445D3" w:rsidRPr="00B9521A" w:rsidRDefault="009445D3" w:rsidP="007C6089">
      <w:pPr>
        <w:pStyle w:val="SingleTxtG"/>
      </w:pPr>
      <w:r w:rsidRPr="009445D3">
        <w:rPr>
          <w:rFonts w:eastAsia="DengXian"/>
          <w:sz w:val="22"/>
          <w:szCs w:val="22"/>
          <w:lang w:eastAsia="zh-CN"/>
        </w:rPr>
        <w:t>13.</w:t>
      </w:r>
      <w:r w:rsidRPr="009445D3">
        <w:rPr>
          <w:rFonts w:eastAsia="DengXian"/>
          <w:sz w:val="22"/>
          <w:szCs w:val="22"/>
          <w:lang w:eastAsia="zh-CN"/>
        </w:rPr>
        <w:tab/>
        <w:t>Lastly, the Bureau again strongly recommended its members and other Parties to consider the possibilities of their countries to sponsor a junior professional officer to assist the secretariat in servicing the two treaties, following the example of Finland that had financed a staff member for the secretariat in 2011–2014.</w:t>
      </w:r>
    </w:p>
    <w:p w14:paraId="0B97DB37" w14:textId="4CA5F5E2" w:rsidR="007C6089" w:rsidRDefault="007C6089" w:rsidP="0094684F">
      <w:r>
        <w:br w:type="page"/>
      </w:r>
    </w:p>
    <w:p w14:paraId="5097EC44" w14:textId="1D11EBB3" w:rsidR="00DB69F5" w:rsidRDefault="007C6089" w:rsidP="007C6089">
      <w:pPr>
        <w:pStyle w:val="HChG"/>
        <w:rPr>
          <w:lang w:eastAsia="en-US"/>
        </w:rPr>
      </w:pPr>
      <w:r>
        <w:rPr>
          <w:lang w:eastAsia="en-US"/>
        </w:rPr>
        <w:lastRenderedPageBreak/>
        <w:tab/>
      </w:r>
      <w:r>
        <w:rPr>
          <w:lang w:eastAsia="en-US"/>
        </w:rPr>
        <w:tab/>
      </w:r>
      <w:r w:rsidRPr="007C6089">
        <w:rPr>
          <w:lang w:eastAsia="en-US"/>
        </w:rPr>
        <w:t>Annex I</w:t>
      </w:r>
    </w:p>
    <w:p w14:paraId="6E65B3D7" w14:textId="64AB5B35" w:rsidR="007C6089" w:rsidRPr="007C6089" w:rsidRDefault="00DB69F5" w:rsidP="007C6089">
      <w:pPr>
        <w:pStyle w:val="HChG"/>
        <w:rPr>
          <w:lang w:eastAsia="en-US"/>
        </w:rPr>
      </w:pPr>
      <w:r>
        <w:rPr>
          <w:lang w:eastAsia="en-US"/>
        </w:rPr>
        <w:tab/>
      </w:r>
      <w:r>
        <w:rPr>
          <w:lang w:eastAsia="en-US"/>
        </w:rPr>
        <w:tab/>
      </w:r>
      <w:r w:rsidR="007C6089" w:rsidRPr="007C6089">
        <w:rPr>
          <w:lang w:eastAsia="en-US"/>
        </w:rPr>
        <w:t>Extracts from the financial reports under the Convention and the Protocol</w:t>
      </w:r>
    </w:p>
    <w:p w14:paraId="4EB12EAC" w14:textId="55E398E8" w:rsidR="007C6089" w:rsidRPr="007C6089" w:rsidRDefault="00DB69F5" w:rsidP="004675A1">
      <w:pPr>
        <w:pStyle w:val="H23G"/>
        <w:rPr>
          <w:lang w:val="es-ES" w:eastAsia="en-US"/>
        </w:rPr>
      </w:pPr>
      <w:r>
        <w:rPr>
          <w:szCs w:val="24"/>
          <w:lang w:val="es-ES" w:eastAsia="en-US"/>
        </w:rPr>
        <w:tab/>
      </w:r>
      <w:r>
        <w:rPr>
          <w:szCs w:val="24"/>
          <w:lang w:val="es-ES" w:eastAsia="en-US"/>
        </w:rPr>
        <w:tab/>
      </w:r>
      <w:r w:rsidR="007C6089" w:rsidRPr="007C6089">
        <w:rPr>
          <w:szCs w:val="24"/>
          <w:lang w:val="es-ES" w:eastAsia="en-US"/>
        </w:rPr>
        <w:t>2017–2020</w:t>
      </w:r>
      <w:r>
        <w:rPr>
          <w:szCs w:val="24"/>
          <w:lang w:val="es-ES" w:eastAsia="en-US"/>
        </w:rPr>
        <w:br/>
      </w:r>
      <w:r w:rsidR="007C6089" w:rsidRPr="007C6089">
        <w:rPr>
          <w:lang w:val="es-ES" w:eastAsia="en-US"/>
        </w:rPr>
        <w:t xml:space="preserve">Source: </w:t>
      </w:r>
      <w:bookmarkStart w:id="6" w:name="_Hlk74296373"/>
      <w:r w:rsidR="007C6089" w:rsidRPr="007C6089">
        <w:rPr>
          <w:lang w:val="es-ES" w:eastAsia="en-US"/>
        </w:rPr>
        <w:t>ECE/MP.EIA/2020/2–ECE/MP.EIA/SEA/2020/2</w:t>
      </w:r>
      <w:bookmarkEnd w:id="6"/>
    </w:p>
    <w:p w14:paraId="20A0A10C" w14:textId="7286F4F4" w:rsidR="007C6089" w:rsidRPr="007C6089" w:rsidRDefault="007C6089" w:rsidP="00DB69F5">
      <w:pPr>
        <w:pStyle w:val="SingleTxtG"/>
      </w:pPr>
      <w:r w:rsidRPr="007C6089">
        <w:t>22.</w:t>
      </w:r>
      <w:r w:rsidRPr="007C6089">
        <w:tab/>
      </w:r>
      <w:r w:rsidRPr="00DB69F5">
        <w:rPr>
          <w:b/>
          <w:bCs/>
        </w:rPr>
        <w:t>Parties and partner organizations also undertook or financed the following activities by providing in-kind contributions</w:t>
      </w:r>
      <w:r w:rsidRPr="007C6089">
        <w:t xml:space="preserve"> (table A.7):</w:t>
      </w:r>
    </w:p>
    <w:p w14:paraId="4D4F0D05" w14:textId="11ACAAA1" w:rsidR="007C6089" w:rsidRPr="007C6089" w:rsidRDefault="007C6089" w:rsidP="00DB69F5">
      <w:pPr>
        <w:pStyle w:val="SingleTxtG"/>
        <w:ind w:firstLine="567"/>
      </w:pPr>
      <w:r w:rsidRPr="007C6089">
        <w:t>(a)</w:t>
      </w:r>
      <w:r w:rsidRPr="007C6089">
        <w:tab/>
        <w:t>Subregional cooperation meetings: A session on implementation of the Convention, the Protocol and the Bucharest Agreement in the South-Eastern Europe subregion, co-organized by Romania and the secretariat during a regional conference on environmental impact assessment hosted by Croatia (Vodice, Croatia, 14 and 15 September 2017);</w:t>
      </w:r>
    </w:p>
    <w:p w14:paraId="6CB3537A" w14:textId="0037CB56" w:rsidR="007C6089" w:rsidRPr="007C6089" w:rsidRDefault="007C6089" w:rsidP="00DB69F5">
      <w:pPr>
        <w:pStyle w:val="SingleTxtG"/>
        <w:ind w:firstLine="567"/>
      </w:pPr>
      <w:r w:rsidRPr="007C6089">
        <w:t>(b)</w:t>
      </w:r>
      <w:r w:rsidRPr="007C6089">
        <w:tab/>
        <w:t xml:space="preserve">Preparation of draft guidance on </w:t>
      </w:r>
      <w:bookmarkStart w:id="7" w:name="_Hlk512602837"/>
      <w:r w:rsidRPr="007C6089">
        <w:t xml:space="preserve">the applicability of the Convention to the lifetime extension of nuclear power plants </w:t>
      </w:r>
      <w:bookmarkEnd w:id="7"/>
      <w:r w:rsidRPr="007C6089">
        <w:t xml:space="preserve">by an ad hoc working group co-chaired by Germany and the United Kingdom </w:t>
      </w:r>
      <w:bookmarkStart w:id="8" w:name="_Hlk51600491"/>
      <w:r w:rsidRPr="007C6089">
        <w:t>of Great Britain and Northern Ireland</w:t>
      </w:r>
      <w:bookmarkEnd w:id="8"/>
      <w:r w:rsidRPr="007C6089">
        <w:t>, and including nominated experts from: Armenia, Austria, Azerbaijan, Belarus, Belgium, Bulgaria, Canada, Croatia, Czechia, Finland, France, Germany, Greece, Italy, Lithuania, Luxembourg, Netherlands, Norway, Poland, Portugal, Romania, Slovakia, Slovenia, Spain, Sweden, Switzerland, Ukraine and the United Kingdom of Great Britain and Northern Ireland and the European Union (represented by Directorate Generals for Energy and for the Environment of the European Commission). The work was supported by the secretariat. The ad hoc group held eight meetings (Luxembourg, 27–28 November 2017, Brussels, 20–21 February and Berlin, 20–21 June 2018; London, 2–3 October 2018; Geneva, 25–26 March 2019; Lisbon, 3–4 June 2019; Rotterdam, 8–9 October 2020; and Vienna, 3–4 December 2019). In 2020, due to COVID-19, three further meetings were cancelled, and work continued via written procedure, one-to-one discussions with the experts and on-line meetings (seven meetings were held in May and June and further seven meetings in September and October 2020). In addition, the co-chairs held regular consultation meetings with NGOs in Brussels, Bonn and on-line. Germany also translated into Russian the draft guidance for consideration of the Working Group in August 2020;</w:t>
      </w:r>
    </w:p>
    <w:p w14:paraId="36966748" w14:textId="77777777" w:rsidR="007C6089" w:rsidRPr="007C6089" w:rsidRDefault="007C6089" w:rsidP="00DB69F5">
      <w:pPr>
        <w:pStyle w:val="SingleTxtG"/>
        <w:ind w:firstLine="567"/>
      </w:pPr>
      <w:r w:rsidRPr="007C6089">
        <w:t>(c)</w:t>
      </w:r>
      <w:r w:rsidRPr="007C6089">
        <w:tab/>
        <w:t xml:space="preserve">Stakeholder workshops on the application of the Convention to the lifetime extension of nuclear power plants co-organized by Germany and the United Kingdom of Great Britain and Northern Ireland, with support from the secretariat (Geneva, 28 May 2018) during the seventh meeting of the Working Group, with additional Russian interpretation financed by the Netherlands; and hosted by Austria, in Vienna on 2 December 2019;   </w:t>
      </w:r>
    </w:p>
    <w:p w14:paraId="430507A7" w14:textId="77804801" w:rsidR="007C6089" w:rsidRPr="007C6089" w:rsidRDefault="007C6089" w:rsidP="00DB69F5">
      <w:pPr>
        <w:pStyle w:val="SingleTxtG"/>
        <w:ind w:firstLine="567"/>
      </w:pPr>
      <w:r w:rsidRPr="007C6089">
        <w:t>(d)</w:t>
      </w:r>
      <w:r w:rsidRPr="007C6089">
        <w:tab/>
        <w:t>Workshop on the environmental and health impacts of the lifetime extension of nuclear power plants organized by International Association of Impact Assessment in Lisbon, on 5 June 2019, with support from the secretariat;</w:t>
      </w:r>
    </w:p>
    <w:p w14:paraId="33036AFC" w14:textId="77777777" w:rsidR="007C6089" w:rsidRPr="007C6089" w:rsidRDefault="007C6089" w:rsidP="00DB69F5">
      <w:pPr>
        <w:pStyle w:val="SingleTxtG"/>
        <w:ind w:firstLine="567"/>
      </w:pPr>
      <w:r w:rsidRPr="007C6089">
        <w:t>(e)</w:t>
      </w:r>
      <w:r w:rsidRPr="007C6089">
        <w:tab/>
        <w:t>Preparation of guidance on assessing health impacts in strategic environmental assessment developed by consultants funded by the European Investment Bank, in collaboration with ECE, the World Health Organization (WHO) based on terms of reference agreed by the Working Group in May 2018, with inputs from a task force composed of representatives of Austria, Finland, Ireland and Slovenia and in consultation with the Bureau and the Working Group in 2019;</w:t>
      </w:r>
    </w:p>
    <w:p w14:paraId="252C0CCE" w14:textId="20D30ED1" w:rsidR="007C6089" w:rsidRPr="007C6089" w:rsidRDefault="007C6089" w:rsidP="00DB69F5">
      <w:pPr>
        <w:pStyle w:val="SingleTxtG"/>
        <w:ind w:firstLine="567"/>
      </w:pPr>
      <w:r w:rsidRPr="007C6089">
        <w:t>(f)</w:t>
      </w:r>
      <w:r w:rsidRPr="007C6089">
        <w:tab/>
        <w:t>Preparation of a strategy and an action plan for the Convention and the Protocol through three informal meetings of Parties and support from the secretariat: the first two informal meetings were co-chaired  by Austria and the Netherlands (London, 1 October 2018 and Rotterdam, 7 October, 2019); and the last one by the Netherlands and Poland (Warsaw, 23 and 24 January 2020);</w:t>
      </w:r>
    </w:p>
    <w:p w14:paraId="0BB3324B" w14:textId="749D139A" w:rsidR="00DB69F5" w:rsidRPr="007C6089" w:rsidRDefault="007C6089" w:rsidP="00DB69F5">
      <w:pPr>
        <w:pStyle w:val="SingleTxtG"/>
        <w:ind w:firstLine="567"/>
      </w:pPr>
      <w:r w:rsidRPr="007C6089">
        <w:t>(g)</w:t>
      </w:r>
      <w:r w:rsidRPr="007C6089">
        <w:tab/>
        <w:t>Informal translation by WWF Russia of FasTips;</w:t>
      </w:r>
    </w:p>
    <w:p w14:paraId="1E4BB3B9" w14:textId="77777777" w:rsidR="007C6089" w:rsidRPr="007C6089" w:rsidRDefault="007C6089" w:rsidP="00DB69F5">
      <w:pPr>
        <w:pStyle w:val="SingleTxtG"/>
        <w:ind w:firstLine="567"/>
      </w:pPr>
      <w:r w:rsidRPr="007C6089">
        <w:lastRenderedPageBreak/>
        <w:t>(h)</w:t>
      </w:r>
      <w:r w:rsidRPr="007C6089">
        <w:tab/>
        <w:t xml:space="preserve">Informal translation by Canada of Parties’ responses to the questionnaire on the implementation of the Convention and the Protocol during the period 2016–2018 from original French into English. </w:t>
      </w:r>
    </w:p>
    <w:p w14:paraId="593A7E3F" w14:textId="77777777" w:rsidR="007C6089" w:rsidRPr="007C6089" w:rsidRDefault="007C6089" w:rsidP="00DB69F5">
      <w:pPr>
        <w:pStyle w:val="SingleTxtG"/>
      </w:pPr>
      <w:r w:rsidRPr="007C6089">
        <w:t>23.</w:t>
      </w:r>
      <w:r w:rsidRPr="007C6089">
        <w:tab/>
      </w:r>
      <w:bookmarkStart w:id="9" w:name="_Hlk51665491"/>
      <w:r w:rsidRPr="007C6089">
        <w:t xml:space="preserve">Information on outcomes of the activities implemented by the secretariat and partner organizations with project funding is provided in the summary report on the implementation of technical assistance and capacity building in the period from June 2017–September 2020 (ECE/MP.EIA/2020/6–ECE/MP.EIA/SEA/2020/6). The paragraph 13 above indicates the total amounts of the available project funding by European Union targeting East Europe and the Caucasus and Kazakhstan; and by Germany with co-funding from ECE and OSCE targeting Central Asia. Details on the use of the project funds are reported on separately to the donors and not covered in the present financial report. </w:t>
      </w:r>
      <w:bookmarkEnd w:id="9"/>
    </w:p>
    <w:p w14:paraId="037AE6DD" w14:textId="77777777" w:rsidR="007C6089" w:rsidRPr="007C6089" w:rsidRDefault="007C6089" w:rsidP="00DB69F5">
      <w:pPr>
        <w:pStyle w:val="SingleTxtG"/>
      </w:pPr>
      <w:r w:rsidRPr="007C6089">
        <w:t>13.</w:t>
      </w:r>
      <w:r w:rsidRPr="007C6089">
        <w:tab/>
        <w:t xml:space="preserve">In addition, in the reporting period, </w:t>
      </w:r>
      <w:r w:rsidRPr="007C6089">
        <w:rPr>
          <w:b/>
          <w:bCs/>
        </w:rPr>
        <w:t>a substantial amount of project funding</w:t>
      </w:r>
      <w:r w:rsidRPr="007C6089">
        <w:t xml:space="preserve">, raised by the secretariat, was available to finance the implementation by the secretariat of technical assistance and capacity building activities included in or related to the workplan. The project funds were managed separately from the Parties’ contributions to the trust fund and details on their use reported on separately to the donor. Therefore, the project funding is not covered in the present financial report. The available project funding included the following:  </w:t>
      </w:r>
    </w:p>
    <w:p w14:paraId="1CF7629C" w14:textId="77777777" w:rsidR="007C6089" w:rsidRPr="007C6089" w:rsidRDefault="007C6089" w:rsidP="00DB69F5">
      <w:pPr>
        <w:pStyle w:val="SingleTxtG"/>
        <w:ind w:firstLine="567"/>
      </w:pPr>
      <w:r w:rsidRPr="007C6089">
        <w:t>(a)</w:t>
      </w:r>
      <w:r w:rsidRPr="007C6089">
        <w:tab/>
      </w:r>
      <w:r w:rsidRPr="00DB69F5">
        <w:rPr>
          <w:b/>
          <w:bCs/>
        </w:rPr>
        <w:t>Funding from the European Union under the Greening Economies in the European Union’s Eastern Partnership (EaP GREEN)</w:t>
      </w:r>
      <w:r w:rsidRPr="007C6089">
        <w:t xml:space="preserve"> programme totalling €163,000 or $195,913;</w:t>
      </w:r>
      <w:r w:rsidRPr="007C6089">
        <w:rPr>
          <w:sz w:val="18"/>
          <w:vertAlign w:val="superscript"/>
        </w:rPr>
        <w:footnoteReference w:id="13"/>
      </w:r>
    </w:p>
    <w:p w14:paraId="598EC899" w14:textId="77777777" w:rsidR="007C6089" w:rsidRPr="007C6089" w:rsidRDefault="007C6089" w:rsidP="00DB69F5">
      <w:pPr>
        <w:pStyle w:val="SingleTxtG"/>
        <w:ind w:firstLine="567"/>
      </w:pPr>
      <w:r w:rsidRPr="007C6089">
        <w:t>(b)</w:t>
      </w:r>
      <w:r w:rsidRPr="007C6089">
        <w:tab/>
      </w:r>
      <w:r w:rsidRPr="00DB69F5">
        <w:rPr>
          <w:b/>
          <w:bCs/>
        </w:rPr>
        <w:t>Funding from the European Union for technical assistance on strategic environmental assessment to Kazakhstan for the period 2016–2018 (“Supporting Kazakhstan’s Transition to a Green Economy Model”)</w:t>
      </w:r>
      <w:r w:rsidRPr="007C6089">
        <w:t xml:space="preserve"> totalling </w:t>
      </w:r>
      <w:bookmarkStart w:id="10" w:name="_Hlk11400091"/>
      <w:r w:rsidRPr="007C6089">
        <w:t>$</w:t>
      </w:r>
      <w:bookmarkEnd w:id="10"/>
      <w:r w:rsidRPr="007C6089">
        <w:t>164,000;</w:t>
      </w:r>
    </w:p>
    <w:p w14:paraId="55B26BD3" w14:textId="77777777" w:rsidR="007C6089" w:rsidRPr="007C6089" w:rsidRDefault="007C6089" w:rsidP="00DB69F5">
      <w:pPr>
        <w:pStyle w:val="SingleTxtG"/>
        <w:ind w:firstLine="567"/>
      </w:pPr>
      <w:r w:rsidRPr="007C6089">
        <w:t>(c)</w:t>
      </w:r>
      <w:r w:rsidRPr="007C6089">
        <w:tab/>
      </w:r>
      <w:r w:rsidRPr="00DB69F5">
        <w:rPr>
          <w:b/>
          <w:bCs/>
        </w:rPr>
        <w:t>Funding from the European Union under the EU4 Environment programme</w:t>
      </w:r>
      <w:r w:rsidRPr="007C6089">
        <w:rPr>
          <w:sz w:val="18"/>
          <w:vertAlign w:val="superscript"/>
        </w:rPr>
        <w:footnoteReference w:id="14"/>
      </w:r>
      <w:r w:rsidRPr="007C6089">
        <w:t xml:space="preserve"> totalling $1,451,153 (the first tranche received in April 2019 amounted to $569,720 and the second from July 2020 to $881,433);</w:t>
      </w:r>
      <w:r w:rsidRPr="007C6089">
        <w:rPr>
          <w:sz w:val="18"/>
          <w:vertAlign w:val="superscript"/>
        </w:rPr>
        <w:footnoteReference w:id="15"/>
      </w:r>
      <w:r w:rsidRPr="007C6089">
        <w:t xml:space="preserve"> </w:t>
      </w:r>
    </w:p>
    <w:p w14:paraId="38DF5A1D" w14:textId="77777777" w:rsidR="007C6089" w:rsidRPr="007C6089" w:rsidRDefault="007C6089" w:rsidP="00DB69F5">
      <w:pPr>
        <w:pStyle w:val="SingleTxtG"/>
        <w:ind w:firstLine="567"/>
      </w:pPr>
      <w:r w:rsidRPr="007C6089">
        <w:t>(d)</w:t>
      </w:r>
      <w:r w:rsidRPr="007C6089">
        <w:tab/>
      </w:r>
      <w:r w:rsidRPr="00DB69F5">
        <w:rPr>
          <w:b/>
          <w:bCs/>
        </w:rPr>
        <w:t>Funding from Germany of €164,375 or some $189,250 for reviewing the national legislation of Tajikistan and Uzbekistan vis-à-vis the Protocol</w:t>
      </w:r>
      <w:r w:rsidRPr="007C6089">
        <w:t xml:space="preserve"> and for drafting primary and secondary legislation on environmental impact assessment and strategic environmental assessment;</w:t>
      </w:r>
    </w:p>
    <w:p w14:paraId="6B90E9EB" w14:textId="77777777" w:rsidR="007C6089" w:rsidRPr="007C6089" w:rsidRDefault="007C6089" w:rsidP="00DB69F5">
      <w:pPr>
        <w:pStyle w:val="SingleTxtG"/>
        <w:ind w:firstLine="567"/>
      </w:pPr>
      <w:r w:rsidRPr="007C6089">
        <w:t>(e)</w:t>
      </w:r>
      <w:r w:rsidRPr="007C6089">
        <w:tab/>
      </w:r>
      <w:r w:rsidRPr="00DB69F5">
        <w:rPr>
          <w:b/>
          <w:bCs/>
        </w:rPr>
        <w:t>The project of ECE and Organization for Security and Cooperation in Europe “Strengthening national and regional capacities and cooperation on strategic environmental assessment in Central Asia</w:t>
      </w:r>
      <w:r w:rsidRPr="007C6089">
        <w:t>, including as a response to climate change” was put together to strengthen capacities of the five Central Asian Republics in the application of strategic environmental assessment and to enhance regional cooperation addressing transboundary environmental challenges with funding mainly from Germany with co-funding from OSCE and ECE (in total €214,888 or some $258,000). (The implementation will continue in 2021).</w:t>
      </w:r>
    </w:p>
    <w:p w14:paraId="15D6B13A" w14:textId="0FC993EA" w:rsidR="00DB69F5" w:rsidRDefault="00DB69F5" w:rsidP="0094684F">
      <w:r>
        <w:br w:type="page"/>
      </w:r>
    </w:p>
    <w:p w14:paraId="6350D650" w14:textId="403D98DA" w:rsidR="00DB69F5" w:rsidRPr="00DB69F5" w:rsidRDefault="00DB69F5" w:rsidP="00DB69F5">
      <w:pPr>
        <w:pStyle w:val="H1G"/>
        <w:rPr>
          <w:lang w:eastAsia="en-US"/>
        </w:rPr>
      </w:pPr>
      <w:bookmarkStart w:id="11" w:name="_Hlk74295111"/>
      <w:r>
        <w:rPr>
          <w:lang w:eastAsia="en-US"/>
        </w:rPr>
        <w:lastRenderedPageBreak/>
        <w:tab/>
      </w:r>
      <w:r>
        <w:rPr>
          <w:lang w:eastAsia="en-US"/>
        </w:rPr>
        <w:tab/>
      </w:r>
      <w:r w:rsidRPr="00DB69F5">
        <w:rPr>
          <w:lang w:eastAsia="en-US"/>
        </w:rPr>
        <w:t>Source: ECE/MP.EIA/2011/1–ECE/MP.EIA/SEA/2011/1</w:t>
      </w:r>
    </w:p>
    <w:bookmarkEnd w:id="11"/>
    <w:p w14:paraId="2F3A9F18" w14:textId="79ACE119" w:rsidR="00DB69F5" w:rsidRPr="00DB69F5" w:rsidRDefault="00DB69F5" w:rsidP="00DB69F5">
      <w:pPr>
        <w:pStyle w:val="H23G"/>
        <w:rPr>
          <w:lang w:eastAsia="en-US"/>
        </w:rPr>
      </w:pPr>
      <w:r>
        <w:rPr>
          <w:bCs/>
          <w:lang w:eastAsia="en-US"/>
        </w:rPr>
        <w:tab/>
      </w:r>
      <w:r>
        <w:rPr>
          <w:bCs/>
          <w:lang w:eastAsia="en-US"/>
        </w:rPr>
        <w:tab/>
      </w:r>
      <w:r w:rsidRPr="00DB69F5">
        <w:rPr>
          <w:b w:val="0"/>
          <w:lang w:eastAsia="en-US"/>
        </w:rPr>
        <w:t>Table 1</w:t>
      </w:r>
      <w:r>
        <w:rPr>
          <w:bCs/>
          <w:lang w:eastAsia="en-US"/>
        </w:rPr>
        <w:br/>
      </w:r>
      <w:r w:rsidRPr="00DB69F5">
        <w:rPr>
          <w:lang w:eastAsia="en-US"/>
        </w:rPr>
        <w:t xml:space="preserve">Income and expenditure </w:t>
      </w:r>
      <w:r w:rsidRPr="00DB69F5">
        <w:rPr>
          <w:lang w:eastAsia="en-US"/>
        </w:rPr>
        <w:br/>
      </w:r>
      <w:r w:rsidRPr="00DB69F5">
        <w:rPr>
          <w:sz w:val="14"/>
          <w:szCs w:val="14"/>
          <w:lang w:eastAsia="en-US"/>
        </w:rPr>
        <w:t>(in United States dollars)</w:t>
      </w:r>
    </w:p>
    <w:tbl>
      <w:tblPr>
        <w:tblStyle w:val="TableGrid3"/>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53"/>
        <w:gridCol w:w="3679"/>
        <w:gridCol w:w="1068"/>
        <w:gridCol w:w="1068"/>
        <w:gridCol w:w="1068"/>
        <w:gridCol w:w="1068"/>
      </w:tblGrid>
      <w:tr w:rsidR="007B5D81" w:rsidRPr="007B5D81" w14:paraId="25E02C18" w14:textId="77777777" w:rsidTr="00DD49BD">
        <w:trPr>
          <w:tblHeader/>
        </w:trPr>
        <w:tc>
          <w:tcPr>
            <w:tcW w:w="466" w:type="dxa"/>
            <w:tcBorders>
              <w:top w:val="single" w:sz="4" w:space="0" w:color="auto"/>
            </w:tcBorders>
          </w:tcPr>
          <w:p w14:paraId="65C740E9" w14:textId="77777777" w:rsidR="007B5D81" w:rsidRPr="007B5D81" w:rsidRDefault="007B5D81" w:rsidP="007B5D81">
            <w:pPr>
              <w:keepNext/>
              <w:spacing w:before="80" w:after="80" w:line="220" w:lineRule="exact"/>
              <w:ind w:right="113"/>
              <w:rPr>
                <w:i/>
                <w:sz w:val="16"/>
                <w:lang w:eastAsia="en-US"/>
              </w:rPr>
            </w:pPr>
            <w:bookmarkStart w:id="12" w:name="_Hlk86228678"/>
          </w:p>
        </w:tc>
        <w:tc>
          <w:tcPr>
            <w:tcW w:w="3100" w:type="dxa"/>
            <w:tcBorders>
              <w:top w:val="single" w:sz="4" w:space="0" w:color="auto"/>
            </w:tcBorders>
            <w:shd w:val="clear" w:color="auto" w:fill="auto"/>
            <w:vAlign w:val="bottom"/>
          </w:tcPr>
          <w:p w14:paraId="2812241B" w14:textId="77777777" w:rsidR="007B5D81" w:rsidRPr="007B5D81" w:rsidRDefault="007B5D81" w:rsidP="007B5D81">
            <w:pPr>
              <w:keepNext/>
              <w:spacing w:before="80" w:after="80" w:line="220" w:lineRule="exact"/>
              <w:ind w:right="113"/>
              <w:rPr>
                <w:i/>
                <w:sz w:val="16"/>
                <w:lang w:eastAsia="en-US"/>
              </w:rPr>
            </w:pPr>
          </w:p>
        </w:tc>
        <w:tc>
          <w:tcPr>
            <w:tcW w:w="3600" w:type="dxa"/>
            <w:gridSpan w:val="4"/>
            <w:tcBorders>
              <w:top w:val="single" w:sz="4" w:space="0" w:color="auto"/>
              <w:bottom w:val="single" w:sz="4" w:space="0" w:color="auto"/>
            </w:tcBorders>
            <w:vAlign w:val="bottom"/>
          </w:tcPr>
          <w:p w14:paraId="5AFFE424" w14:textId="77777777" w:rsidR="007B5D81" w:rsidRPr="007B5D81" w:rsidRDefault="007B5D81" w:rsidP="007B5D81">
            <w:pPr>
              <w:keepNext/>
              <w:spacing w:before="80" w:after="80" w:line="220" w:lineRule="exact"/>
              <w:ind w:right="113"/>
              <w:jc w:val="center"/>
              <w:rPr>
                <w:i/>
                <w:sz w:val="16"/>
                <w:lang w:eastAsia="en-US"/>
              </w:rPr>
            </w:pPr>
            <w:r w:rsidRPr="007B5D81">
              <w:rPr>
                <w:i/>
                <w:sz w:val="16"/>
                <w:lang w:eastAsia="en-US"/>
              </w:rPr>
              <w:t>Amount by priority</w:t>
            </w:r>
          </w:p>
        </w:tc>
      </w:tr>
      <w:tr w:rsidR="007B5D81" w:rsidRPr="007B5D81" w14:paraId="383B35D9" w14:textId="77777777" w:rsidTr="00DD49BD">
        <w:trPr>
          <w:tblHeader/>
        </w:trPr>
        <w:tc>
          <w:tcPr>
            <w:tcW w:w="466" w:type="dxa"/>
            <w:tcBorders>
              <w:bottom w:val="single" w:sz="12" w:space="0" w:color="auto"/>
            </w:tcBorders>
          </w:tcPr>
          <w:p w14:paraId="24086797" w14:textId="77777777" w:rsidR="007B5D81" w:rsidRPr="007B5D81" w:rsidRDefault="007B5D81" w:rsidP="007B5D81">
            <w:pPr>
              <w:keepNext/>
              <w:spacing w:before="80" w:after="80" w:line="220" w:lineRule="exact"/>
              <w:ind w:right="113"/>
              <w:rPr>
                <w:i/>
                <w:sz w:val="16"/>
                <w:lang w:eastAsia="en-US"/>
              </w:rPr>
            </w:pPr>
          </w:p>
        </w:tc>
        <w:tc>
          <w:tcPr>
            <w:tcW w:w="3100" w:type="dxa"/>
            <w:tcBorders>
              <w:bottom w:val="single" w:sz="12" w:space="0" w:color="auto"/>
            </w:tcBorders>
            <w:shd w:val="clear" w:color="auto" w:fill="auto"/>
            <w:vAlign w:val="bottom"/>
          </w:tcPr>
          <w:p w14:paraId="717AE1A5" w14:textId="77777777" w:rsidR="007B5D81" w:rsidRPr="007B5D81" w:rsidRDefault="007B5D81" w:rsidP="007B5D81">
            <w:pPr>
              <w:keepNext/>
              <w:spacing w:before="80" w:after="80" w:line="220" w:lineRule="exact"/>
              <w:ind w:right="113"/>
              <w:rPr>
                <w:i/>
                <w:sz w:val="16"/>
                <w:lang w:eastAsia="en-US"/>
              </w:rPr>
            </w:pPr>
          </w:p>
        </w:tc>
        <w:tc>
          <w:tcPr>
            <w:tcW w:w="900" w:type="dxa"/>
            <w:tcBorders>
              <w:top w:val="single" w:sz="4" w:space="0" w:color="auto"/>
              <w:bottom w:val="single" w:sz="12" w:space="0" w:color="auto"/>
            </w:tcBorders>
            <w:vAlign w:val="bottom"/>
          </w:tcPr>
          <w:p w14:paraId="122F7653" w14:textId="77777777" w:rsidR="007B5D81" w:rsidRPr="007B5D81" w:rsidRDefault="007B5D81" w:rsidP="007B5D81">
            <w:pPr>
              <w:keepNext/>
              <w:spacing w:before="80" w:after="80" w:line="220" w:lineRule="exact"/>
              <w:ind w:right="113"/>
              <w:jc w:val="right"/>
              <w:rPr>
                <w:i/>
                <w:sz w:val="16"/>
                <w:lang w:eastAsia="en-US"/>
              </w:rPr>
            </w:pPr>
            <w:r w:rsidRPr="007B5D81">
              <w:rPr>
                <w:i/>
                <w:sz w:val="16"/>
                <w:lang w:eastAsia="en-US"/>
              </w:rPr>
              <w:t>1</w:t>
            </w:r>
          </w:p>
        </w:tc>
        <w:tc>
          <w:tcPr>
            <w:tcW w:w="900" w:type="dxa"/>
            <w:tcBorders>
              <w:top w:val="single" w:sz="4" w:space="0" w:color="auto"/>
              <w:bottom w:val="single" w:sz="12" w:space="0" w:color="auto"/>
            </w:tcBorders>
            <w:shd w:val="clear" w:color="auto" w:fill="auto"/>
            <w:vAlign w:val="bottom"/>
          </w:tcPr>
          <w:p w14:paraId="41DAF989" w14:textId="77777777" w:rsidR="007B5D81" w:rsidRPr="007B5D81" w:rsidRDefault="007B5D81" w:rsidP="007B5D81">
            <w:pPr>
              <w:keepNext/>
              <w:spacing w:before="80" w:after="80" w:line="220" w:lineRule="exact"/>
              <w:ind w:right="113"/>
              <w:jc w:val="right"/>
              <w:rPr>
                <w:i/>
                <w:sz w:val="16"/>
                <w:lang w:eastAsia="en-US"/>
              </w:rPr>
            </w:pPr>
            <w:r w:rsidRPr="007B5D81">
              <w:rPr>
                <w:i/>
                <w:sz w:val="16"/>
                <w:lang w:eastAsia="en-US"/>
              </w:rPr>
              <w:t>2</w:t>
            </w:r>
          </w:p>
        </w:tc>
        <w:tc>
          <w:tcPr>
            <w:tcW w:w="900" w:type="dxa"/>
            <w:tcBorders>
              <w:top w:val="single" w:sz="4" w:space="0" w:color="auto"/>
              <w:bottom w:val="single" w:sz="12" w:space="0" w:color="auto"/>
            </w:tcBorders>
            <w:shd w:val="clear" w:color="auto" w:fill="auto"/>
            <w:vAlign w:val="bottom"/>
          </w:tcPr>
          <w:p w14:paraId="08A3DD22" w14:textId="77777777" w:rsidR="007B5D81" w:rsidRPr="007B5D81" w:rsidRDefault="007B5D81" w:rsidP="007B5D81">
            <w:pPr>
              <w:keepNext/>
              <w:spacing w:before="80" w:after="80" w:line="220" w:lineRule="exact"/>
              <w:ind w:right="113"/>
              <w:jc w:val="right"/>
              <w:rPr>
                <w:i/>
                <w:sz w:val="16"/>
                <w:lang w:eastAsia="en-US"/>
              </w:rPr>
            </w:pPr>
            <w:r w:rsidRPr="007B5D81">
              <w:rPr>
                <w:i/>
                <w:sz w:val="16"/>
                <w:lang w:eastAsia="en-US"/>
              </w:rPr>
              <w:t>3</w:t>
            </w:r>
          </w:p>
        </w:tc>
        <w:tc>
          <w:tcPr>
            <w:tcW w:w="900" w:type="dxa"/>
            <w:tcBorders>
              <w:top w:val="single" w:sz="4" w:space="0" w:color="auto"/>
              <w:bottom w:val="single" w:sz="12" w:space="0" w:color="auto"/>
            </w:tcBorders>
          </w:tcPr>
          <w:p w14:paraId="11670518" w14:textId="77777777" w:rsidR="007B5D81" w:rsidRPr="007B5D81" w:rsidRDefault="007B5D81" w:rsidP="007B5D81">
            <w:pPr>
              <w:keepNext/>
              <w:spacing w:before="80" w:after="80" w:line="220" w:lineRule="exact"/>
              <w:ind w:right="113"/>
              <w:jc w:val="right"/>
              <w:rPr>
                <w:b/>
                <w:i/>
                <w:sz w:val="16"/>
                <w:lang w:eastAsia="en-US"/>
              </w:rPr>
            </w:pPr>
            <w:r w:rsidRPr="007B5D81">
              <w:rPr>
                <w:b/>
                <w:i/>
                <w:sz w:val="16"/>
                <w:lang w:eastAsia="en-US"/>
              </w:rPr>
              <w:t>Total</w:t>
            </w:r>
          </w:p>
        </w:tc>
      </w:tr>
      <w:tr w:rsidR="007B5D81" w:rsidRPr="007B5D81" w14:paraId="46F13C5C" w14:textId="77777777" w:rsidTr="00DD49BD">
        <w:tc>
          <w:tcPr>
            <w:tcW w:w="466" w:type="dxa"/>
            <w:tcBorders>
              <w:top w:val="single" w:sz="12" w:space="0" w:color="auto"/>
            </w:tcBorders>
          </w:tcPr>
          <w:p w14:paraId="528D8E49" w14:textId="77777777" w:rsidR="007B5D81" w:rsidRPr="007B5D81" w:rsidRDefault="007B5D81" w:rsidP="007B5D81">
            <w:pPr>
              <w:keepNext/>
              <w:spacing w:before="80" w:after="40" w:line="220" w:lineRule="exact"/>
              <w:ind w:right="113"/>
              <w:rPr>
                <w:sz w:val="18"/>
                <w:szCs w:val="18"/>
                <w:lang w:eastAsia="en-US"/>
              </w:rPr>
            </w:pPr>
            <w:r w:rsidRPr="007B5D81">
              <w:rPr>
                <w:sz w:val="18"/>
                <w:szCs w:val="18"/>
                <w:lang w:eastAsia="en-US"/>
              </w:rPr>
              <w:t>(a)</w:t>
            </w:r>
          </w:p>
        </w:tc>
        <w:tc>
          <w:tcPr>
            <w:tcW w:w="3100" w:type="dxa"/>
            <w:tcBorders>
              <w:top w:val="single" w:sz="12" w:space="0" w:color="auto"/>
            </w:tcBorders>
            <w:shd w:val="clear" w:color="auto" w:fill="auto"/>
          </w:tcPr>
          <w:p w14:paraId="1B98792A" w14:textId="77777777" w:rsidR="007B5D81" w:rsidRPr="007B5D81" w:rsidRDefault="007B5D81" w:rsidP="007B5D81">
            <w:pPr>
              <w:keepNext/>
              <w:spacing w:before="80" w:after="40" w:line="220" w:lineRule="exact"/>
              <w:ind w:right="113"/>
              <w:rPr>
                <w:sz w:val="18"/>
                <w:szCs w:val="18"/>
                <w:lang w:eastAsia="en-US"/>
              </w:rPr>
            </w:pPr>
            <w:r w:rsidRPr="007B5D81">
              <w:rPr>
                <w:sz w:val="18"/>
                <w:szCs w:val="18"/>
                <w:lang w:eastAsia="en-US"/>
              </w:rPr>
              <w:t>Contributions made to the trust fund, with non-earmarked contributions being allocated first to priority 1 activities (from tables A.1 and A.2)</w:t>
            </w:r>
          </w:p>
        </w:tc>
        <w:tc>
          <w:tcPr>
            <w:tcW w:w="900" w:type="dxa"/>
            <w:tcBorders>
              <w:top w:val="single" w:sz="12" w:space="0" w:color="auto"/>
            </w:tcBorders>
          </w:tcPr>
          <w:p w14:paraId="436CF049" w14:textId="77777777" w:rsidR="007B5D81" w:rsidRPr="007B5D81" w:rsidRDefault="007B5D81" w:rsidP="007B5D81">
            <w:pPr>
              <w:keepNext/>
              <w:spacing w:before="80" w:after="40" w:line="220" w:lineRule="exact"/>
              <w:ind w:right="113"/>
              <w:jc w:val="right"/>
              <w:rPr>
                <w:sz w:val="18"/>
                <w:szCs w:val="18"/>
                <w:lang w:eastAsia="en-US"/>
              </w:rPr>
            </w:pPr>
            <w:r w:rsidRPr="007B5D81">
              <w:rPr>
                <w:sz w:val="18"/>
                <w:szCs w:val="18"/>
                <w:lang w:eastAsia="en-US"/>
              </w:rPr>
              <w:t>962 551</w:t>
            </w:r>
          </w:p>
        </w:tc>
        <w:tc>
          <w:tcPr>
            <w:tcW w:w="900" w:type="dxa"/>
            <w:tcBorders>
              <w:top w:val="single" w:sz="12" w:space="0" w:color="auto"/>
            </w:tcBorders>
            <w:shd w:val="clear" w:color="auto" w:fill="auto"/>
          </w:tcPr>
          <w:p w14:paraId="454B0AEB" w14:textId="77777777" w:rsidR="007B5D81" w:rsidRPr="007B5D81" w:rsidRDefault="007B5D81" w:rsidP="007B5D81">
            <w:pPr>
              <w:keepNext/>
              <w:spacing w:before="80" w:after="40" w:line="220" w:lineRule="exact"/>
              <w:ind w:right="113"/>
              <w:jc w:val="right"/>
              <w:rPr>
                <w:sz w:val="18"/>
                <w:szCs w:val="18"/>
                <w:lang w:eastAsia="en-US"/>
              </w:rPr>
            </w:pPr>
            <w:r w:rsidRPr="007B5D81">
              <w:rPr>
                <w:sz w:val="18"/>
                <w:szCs w:val="18"/>
                <w:lang w:eastAsia="en-US"/>
              </w:rPr>
              <w:t>9 000</w:t>
            </w:r>
          </w:p>
        </w:tc>
        <w:tc>
          <w:tcPr>
            <w:tcW w:w="900" w:type="dxa"/>
            <w:tcBorders>
              <w:top w:val="single" w:sz="12" w:space="0" w:color="auto"/>
            </w:tcBorders>
            <w:shd w:val="clear" w:color="auto" w:fill="auto"/>
          </w:tcPr>
          <w:p w14:paraId="6AEEB083" w14:textId="77777777" w:rsidR="007B5D81" w:rsidRPr="007B5D81" w:rsidRDefault="007B5D81" w:rsidP="007B5D81">
            <w:pPr>
              <w:keepNext/>
              <w:spacing w:before="80" w:after="40" w:line="220" w:lineRule="exact"/>
              <w:ind w:right="113"/>
              <w:jc w:val="right"/>
              <w:rPr>
                <w:sz w:val="18"/>
                <w:szCs w:val="18"/>
                <w:lang w:eastAsia="en-US"/>
              </w:rPr>
            </w:pPr>
            <w:r w:rsidRPr="007B5D81">
              <w:rPr>
                <w:sz w:val="18"/>
                <w:szCs w:val="18"/>
                <w:lang w:eastAsia="en-US"/>
              </w:rPr>
              <w:t>0</w:t>
            </w:r>
          </w:p>
        </w:tc>
        <w:tc>
          <w:tcPr>
            <w:tcW w:w="900" w:type="dxa"/>
            <w:tcBorders>
              <w:top w:val="single" w:sz="12" w:space="0" w:color="auto"/>
            </w:tcBorders>
          </w:tcPr>
          <w:p w14:paraId="61F674F1" w14:textId="77777777" w:rsidR="007B5D81" w:rsidRPr="007B5D81" w:rsidRDefault="007B5D81" w:rsidP="007B5D81">
            <w:pPr>
              <w:keepNext/>
              <w:spacing w:before="80" w:after="40" w:line="220" w:lineRule="exact"/>
              <w:ind w:right="113"/>
              <w:jc w:val="right"/>
              <w:rPr>
                <w:b/>
                <w:sz w:val="18"/>
                <w:szCs w:val="18"/>
                <w:lang w:eastAsia="en-US"/>
              </w:rPr>
            </w:pPr>
            <w:r w:rsidRPr="007B5D81">
              <w:rPr>
                <w:b/>
                <w:sz w:val="18"/>
                <w:szCs w:val="18"/>
                <w:lang w:eastAsia="en-US"/>
              </w:rPr>
              <w:t>971 551</w:t>
            </w:r>
          </w:p>
        </w:tc>
      </w:tr>
      <w:tr w:rsidR="007B5D81" w:rsidRPr="007B5D81" w14:paraId="4C223E84" w14:textId="77777777" w:rsidTr="00DD49BD">
        <w:tc>
          <w:tcPr>
            <w:tcW w:w="466" w:type="dxa"/>
            <w:tcBorders>
              <w:bottom w:val="single" w:sz="4" w:space="0" w:color="auto"/>
            </w:tcBorders>
          </w:tcPr>
          <w:p w14:paraId="2FA56419" w14:textId="77777777" w:rsidR="007B5D81" w:rsidRPr="007B5D81" w:rsidRDefault="007B5D81" w:rsidP="007B5D81">
            <w:pPr>
              <w:spacing w:before="40" w:after="80" w:line="220" w:lineRule="exact"/>
              <w:ind w:right="113"/>
              <w:rPr>
                <w:sz w:val="18"/>
                <w:szCs w:val="18"/>
                <w:lang w:eastAsia="en-US"/>
              </w:rPr>
            </w:pPr>
            <w:r w:rsidRPr="007B5D81">
              <w:rPr>
                <w:sz w:val="18"/>
                <w:szCs w:val="18"/>
                <w:lang w:eastAsia="en-US"/>
              </w:rPr>
              <w:t>(b)</w:t>
            </w:r>
          </w:p>
        </w:tc>
        <w:tc>
          <w:tcPr>
            <w:tcW w:w="3100" w:type="dxa"/>
            <w:tcBorders>
              <w:bottom w:val="single" w:sz="4" w:space="0" w:color="auto"/>
            </w:tcBorders>
            <w:shd w:val="clear" w:color="auto" w:fill="auto"/>
          </w:tcPr>
          <w:p w14:paraId="76FDE247" w14:textId="77777777" w:rsidR="007B5D81" w:rsidRPr="007B5D81" w:rsidRDefault="007B5D81" w:rsidP="007B5D81">
            <w:pPr>
              <w:spacing w:before="40" w:after="80" w:line="220" w:lineRule="exact"/>
              <w:ind w:right="113"/>
              <w:rPr>
                <w:sz w:val="18"/>
                <w:szCs w:val="18"/>
                <w:lang w:eastAsia="en-US"/>
              </w:rPr>
            </w:pPr>
            <w:r w:rsidRPr="007B5D81">
              <w:rPr>
                <w:sz w:val="18"/>
                <w:szCs w:val="18"/>
                <w:lang w:eastAsia="en-US"/>
              </w:rPr>
              <w:t>Funds for carried-over activities (see para. 7)</w:t>
            </w:r>
          </w:p>
        </w:tc>
        <w:tc>
          <w:tcPr>
            <w:tcW w:w="900" w:type="dxa"/>
            <w:tcBorders>
              <w:bottom w:val="single" w:sz="4" w:space="0" w:color="auto"/>
            </w:tcBorders>
          </w:tcPr>
          <w:p w14:paraId="04DEBDC6" w14:textId="77777777" w:rsidR="007B5D81" w:rsidRPr="007B5D81" w:rsidRDefault="007B5D81" w:rsidP="007B5D81">
            <w:pPr>
              <w:spacing w:before="40" w:after="80" w:line="220" w:lineRule="exact"/>
              <w:ind w:right="113"/>
              <w:jc w:val="right"/>
              <w:rPr>
                <w:sz w:val="18"/>
                <w:szCs w:val="18"/>
                <w:lang w:eastAsia="en-US"/>
              </w:rPr>
            </w:pPr>
            <w:r w:rsidRPr="007B5D81">
              <w:rPr>
                <w:sz w:val="18"/>
                <w:szCs w:val="18"/>
                <w:lang w:eastAsia="en-US"/>
              </w:rPr>
              <w:t>0</w:t>
            </w:r>
          </w:p>
        </w:tc>
        <w:tc>
          <w:tcPr>
            <w:tcW w:w="900" w:type="dxa"/>
            <w:tcBorders>
              <w:bottom w:val="single" w:sz="4" w:space="0" w:color="auto"/>
            </w:tcBorders>
            <w:shd w:val="clear" w:color="auto" w:fill="auto"/>
          </w:tcPr>
          <w:p w14:paraId="702311B2" w14:textId="77777777" w:rsidR="007B5D81" w:rsidRPr="007B5D81" w:rsidRDefault="007B5D81" w:rsidP="007B5D81">
            <w:pPr>
              <w:spacing w:before="40" w:after="80" w:line="220" w:lineRule="exact"/>
              <w:ind w:right="113"/>
              <w:jc w:val="right"/>
              <w:rPr>
                <w:sz w:val="18"/>
                <w:szCs w:val="18"/>
                <w:lang w:eastAsia="en-US"/>
              </w:rPr>
            </w:pPr>
            <w:r w:rsidRPr="007B5D81">
              <w:rPr>
                <w:sz w:val="18"/>
                <w:szCs w:val="18"/>
                <w:lang w:eastAsia="en-US"/>
              </w:rPr>
              <w:t>53 869</w:t>
            </w:r>
          </w:p>
        </w:tc>
        <w:tc>
          <w:tcPr>
            <w:tcW w:w="900" w:type="dxa"/>
            <w:tcBorders>
              <w:bottom w:val="single" w:sz="4" w:space="0" w:color="auto"/>
            </w:tcBorders>
            <w:shd w:val="clear" w:color="auto" w:fill="auto"/>
          </w:tcPr>
          <w:p w14:paraId="0C6ABF6C" w14:textId="77777777" w:rsidR="007B5D81" w:rsidRPr="007B5D81" w:rsidRDefault="007B5D81" w:rsidP="007B5D81">
            <w:pPr>
              <w:spacing w:before="40" w:after="80" w:line="220" w:lineRule="exact"/>
              <w:ind w:right="113"/>
              <w:jc w:val="right"/>
              <w:rPr>
                <w:sz w:val="18"/>
                <w:szCs w:val="18"/>
                <w:lang w:eastAsia="en-US"/>
              </w:rPr>
            </w:pPr>
            <w:r w:rsidRPr="007B5D81">
              <w:rPr>
                <w:sz w:val="18"/>
                <w:szCs w:val="18"/>
                <w:lang w:eastAsia="en-US"/>
              </w:rPr>
              <w:t>0</w:t>
            </w:r>
          </w:p>
        </w:tc>
        <w:tc>
          <w:tcPr>
            <w:tcW w:w="900" w:type="dxa"/>
            <w:tcBorders>
              <w:bottom w:val="single" w:sz="4" w:space="0" w:color="auto"/>
            </w:tcBorders>
          </w:tcPr>
          <w:p w14:paraId="763E391F" w14:textId="77777777" w:rsidR="007B5D81" w:rsidRPr="007B5D81" w:rsidRDefault="007B5D81" w:rsidP="007B5D81">
            <w:pPr>
              <w:spacing w:before="40" w:after="80" w:line="220" w:lineRule="exact"/>
              <w:ind w:right="113"/>
              <w:jc w:val="right"/>
              <w:rPr>
                <w:b/>
                <w:sz w:val="18"/>
                <w:szCs w:val="18"/>
                <w:lang w:eastAsia="en-US"/>
              </w:rPr>
            </w:pPr>
            <w:r w:rsidRPr="007B5D81">
              <w:rPr>
                <w:b/>
                <w:sz w:val="18"/>
                <w:szCs w:val="18"/>
                <w:lang w:eastAsia="en-US"/>
              </w:rPr>
              <w:t>53 869</w:t>
            </w:r>
          </w:p>
        </w:tc>
      </w:tr>
      <w:tr w:rsidR="007B5D81" w:rsidRPr="007B5D81" w14:paraId="157EDE29" w14:textId="77777777" w:rsidTr="00DD49BD">
        <w:tc>
          <w:tcPr>
            <w:tcW w:w="466" w:type="dxa"/>
            <w:tcBorders>
              <w:top w:val="single" w:sz="4" w:space="0" w:color="auto"/>
              <w:bottom w:val="single" w:sz="4" w:space="0" w:color="auto"/>
            </w:tcBorders>
          </w:tcPr>
          <w:p w14:paraId="58C5294A" w14:textId="77777777" w:rsidR="007B5D81" w:rsidRPr="007B5D81" w:rsidRDefault="007B5D81" w:rsidP="007B5D81">
            <w:pPr>
              <w:spacing w:before="80" w:after="80" w:line="220" w:lineRule="exact"/>
              <w:ind w:right="113"/>
              <w:rPr>
                <w:b/>
                <w:sz w:val="18"/>
                <w:szCs w:val="18"/>
                <w:lang w:eastAsia="en-US"/>
              </w:rPr>
            </w:pPr>
            <w:r w:rsidRPr="007B5D81">
              <w:rPr>
                <w:b/>
                <w:sz w:val="18"/>
                <w:szCs w:val="18"/>
                <w:lang w:eastAsia="en-US"/>
              </w:rPr>
              <w:t>(c)</w:t>
            </w:r>
          </w:p>
        </w:tc>
        <w:tc>
          <w:tcPr>
            <w:tcW w:w="3100" w:type="dxa"/>
            <w:tcBorders>
              <w:top w:val="single" w:sz="4" w:space="0" w:color="auto"/>
              <w:bottom w:val="single" w:sz="4" w:space="0" w:color="auto"/>
            </w:tcBorders>
            <w:shd w:val="clear" w:color="auto" w:fill="auto"/>
          </w:tcPr>
          <w:p w14:paraId="1ECDE5D5" w14:textId="77777777" w:rsidR="007B5D81" w:rsidRPr="007B5D81" w:rsidRDefault="007B5D81" w:rsidP="007B5D81">
            <w:pPr>
              <w:spacing w:before="80" w:after="80" w:line="220" w:lineRule="exact"/>
              <w:ind w:right="113"/>
              <w:rPr>
                <w:b/>
                <w:sz w:val="18"/>
                <w:szCs w:val="18"/>
                <w:lang w:eastAsia="en-US"/>
              </w:rPr>
            </w:pPr>
            <w:r w:rsidRPr="007B5D81">
              <w:rPr>
                <w:b/>
                <w:sz w:val="18"/>
                <w:szCs w:val="18"/>
                <w:lang w:eastAsia="en-US"/>
              </w:rPr>
              <w:t>Total income to the trust fund in the period ((a)+(b))</w:t>
            </w:r>
          </w:p>
        </w:tc>
        <w:tc>
          <w:tcPr>
            <w:tcW w:w="900" w:type="dxa"/>
            <w:tcBorders>
              <w:top w:val="single" w:sz="4" w:space="0" w:color="auto"/>
              <w:bottom w:val="single" w:sz="4" w:space="0" w:color="auto"/>
            </w:tcBorders>
          </w:tcPr>
          <w:p w14:paraId="5BF6F013" w14:textId="77777777" w:rsidR="007B5D81" w:rsidRPr="007B5D81" w:rsidRDefault="007B5D81" w:rsidP="007B5D81">
            <w:pPr>
              <w:spacing w:before="80" w:after="80" w:line="220" w:lineRule="exact"/>
              <w:ind w:right="113"/>
              <w:jc w:val="right"/>
              <w:rPr>
                <w:b/>
                <w:sz w:val="18"/>
                <w:szCs w:val="18"/>
                <w:lang w:eastAsia="en-US"/>
              </w:rPr>
            </w:pPr>
            <w:r w:rsidRPr="007B5D81">
              <w:rPr>
                <w:b/>
                <w:sz w:val="18"/>
                <w:szCs w:val="18"/>
                <w:lang w:eastAsia="en-US"/>
              </w:rPr>
              <w:t>962 551</w:t>
            </w:r>
          </w:p>
        </w:tc>
        <w:tc>
          <w:tcPr>
            <w:tcW w:w="900" w:type="dxa"/>
            <w:tcBorders>
              <w:top w:val="single" w:sz="4" w:space="0" w:color="auto"/>
              <w:bottom w:val="single" w:sz="4" w:space="0" w:color="auto"/>
            </w:tcBorders>
            <w:shd w:val="clear" w:color="auto" w:fill="auto"/>
          </w:tcPr>
          <w:p w14:paraId="2B64DE9F" w14:textId="77777777" w:rsidR="007B5D81" w:rsidRPr="007B5D81" w:rsidRDefault="007B5D81" w:rsidP="007B5D81">
            <w:pPr>
              <w:spacing w:before="80" w:after="80" w:line="220" w:lineRule="exact"/>
              <w:ind w:right="113"/>
              <w:jc w:val="right"/>
              <w:rPr>
                <w:b/>
                <w:sz w:val="18"/>
                <w:szCs w:val="18"/>
                <w:lang w:eastAsia="en-US"/>
              </w:rPr>
            </w:pPr>
            <w:r w:rsidRPr="007B5D81">
              <w:rPr>
                <w:b/>
                <w:sz w:val="18"/>
                <w:szCs w:val="18"/>
                <w:lang w:eastAsia="en-US"/>
              </w:rPr>
              <w:t>62 869</w:t>
            </w:r>
          </w:p>
        </w:tc>
        <w:tc>
          <w:tcPr>
            <w:tcW w:w="900" w:type="dxa"/>
            <w:tcBorders>
              <w:top w:val="single" w:sz="4" w:space="0" w:color="auto"/>
              <w:bottom w:val="single" w:sz="4" w:space="0" w:color="auto"/>
            </w:tcBorders>
            <w:shd w:val="clear" w:color="auto" w:fill="auto"/>
          </w:tcPr>
          <w:p w14:paraId="57BD4BCF" w14:textId="77777777" w:rsidR="007B5D81" w:rsidRPr="007B5D81" w:rsidRDefault="007B5D81" w:rsidP="007B5D81">
            <w:pPr>
              <w:spacing w:before="80" w:after="80" w:line="220" w:lineRule="exact"/>
              <w:ind w:right="113"/>
              <w:jc w:val="right"/>
              <w:rPr>
                <w:b/>
                <w:sz w:val="18"/>
                <w:szCs w:val="18"/>
                <w:lang w:eastAsia="en-US"/>
              </w:rPr>
            </w:pPr>
            <w:r w:rsidRPr="007B5D81">
              <w:rPr>
                <w:b/>
                <w:sz w:val="18"/>
                <w:szCs w:val="18"/>
                <w:lang w:eastAsia="en-US"/>
              </w:rPr>
              <w:t>0</w:t>
            </w:r>
          </w:p>
        </w:tc>
        <w:tc>
          <w:tcPr>
            <w:tcW w:w="900" w:type="dxa"/>
            <w:tcBorders>
              <w:top w:val="single" w:sz="4" w:space="0" w:color="auto"/>
              <w:bottom w:val="single" w:sz="4" w:space="0" w:color="auto"/>
            </w:tcBorders>
          </w:tcPr>
          <w:p w14:paraId="14121A12" w14:textId="77777777" w:rsidR="007B5D81" w:rsidRPr="007B5D81" w:rsidRDefault="007B5D81" w:rsidP="007B5D81">
            <w:pPr>
              <w:spacing w:before="80" w:after="80" w:line="220" w:lineRule="exact"/>
              <w:ind w:right="113"/>
              <w:jc w:val="right"/>
              <w:rPr>
                <w:b/>
                <w:sz w:val="18"/>
                <w:szCs w:val="18"/>
                <w:lang w:eastAsia="en-US"/>
              </w:rPr>
            </w:pPr>
            <w:r w:rsidRPr="007B5D81">
              <w:rPr>
                <w:b/>
                <w:sz w:val="18"/>
                <w:szCs w:val="18"/>
                <w:lang w:eastAsia="en-US"/>
              </w:rPr>
              <w:t>1 025 420</w:t>
            </w:r>
          </w:p>
        </w:tc>
      </w:tr>
      <w:tr w:rsidR="007B5D81" w:rsidRPr="007B5D81" w14:paraId="799F25E8" w14:textId="77777777" w:rsidTr="00DD49BD">
        <w:tc>
          <w:tcPr>
            <w:tcW w:w="466" w:type="dxa"/>
            <w:tcBorders>
              <w:top w:val="single" w:sz="4" w:space="0" w:color="auto"/>
            </w:tcBorders>
          </w:tcPr>
          <w:p w14:paraId="3F1D9885" w14:textId="77777777" w:rsidR="007B5D81" w:rsidRPr="007B5D81" w:rsidRDefault="007B5D81" w:rsidP="007B5D81">
            <w:pPr>
              <w:spacing w:before="80" w:after="40" w:line="220" w:lineRule="exact"/>
              <w:ind w:right="113"/>
              <w:rPr>
                <w:sz w:val="18"/>
                <w:szCs w:val="18"/>
                <w:lang w:eastAsia="en-US"/>
              </w:rPr>
            </w:pPr>
            <w:r w:rsidRPr="007B5D81">
              <w:rPr>
                <w:sz w:val="18"/>
                <w:szCs w:val="18"/>
                <w:lang w:eastAsia="en-US"/>
              </w:rPr>
              <w:t>(d)</w:t>
            </w:r>
          </w:p>
        </w:tc>
        <w:tc>
          <w:tcPr>
            <w:tcW w:w="3100" w:type="dxa"/>
            <w:tcBorders>
              <w:top w:val="single" w:sz="4" w:space="0" w:color="auto"/>
            </w:tcBorders>
            <w:shd w:val="clear" w:color="auto" w:fill="auto"/>
          </w:tcPr>
          <w:p w14:paraId="6D71070C" w14:textId="77777777" w:rsidR="007B5D81" w:rsidRPr="007B5D81" w:rsidRDefault="007B5D81" w:rsidP="007B5D81">
            <w:pPr>
              <w:spacing w:before="80" w:after="40" w:line="220" w:lineRule="exact"/>
              <w:ind w:right="113"/>
              <w:rPr>
                <w:sz w:val="18"/>
                <w:szCs w:val="18"/>
                <w:lang w:eastAsia="en-US"/>
              </w:rPr>
            </w:pPr>
            <w:r w:rsidRPr="007B5D81">
              <w:rPr>
                <w:sz w:val="18"/>
                <w:szCs w:val="18"/>
                <w:lang w:eastAsia="en-US"/>
              </w:rPr>
              <w:t>Expenditure from the trust fund for budgeted workplan activities (from tables A.3, A.4 and A.5)</w:t>
            </w:r>
          </w:p>
        </w:tc>
        <w:tc>
          <w:tcPr>
            <w:tcW w:w="900" w:type="dxa"/>
            <w:tcBorders>
              <w:top w:val="single" w:sz="4" w:space="0" w:color="auto"/>
            </w:tcBorders>
          </w:tcPr>
          <w:p w14:paraId="2428444F" w14:textId="77777777" w:rsidR="007B5D81" w:rsidRPr="007B5D81" w:rsidRDefault="007B5D81" w:rsidP="007B5D81">
            <w:pPr>
              <w:spacing w:before="80" w:after="40" w:line="220" w:lineRule="exact"/>
              <w:ind w:right="113"/>
              <w:jc w:val="right"/>
              <w:rPr>
                <w:sz w:val="18"/>
                <w:szCs w:val="18"/>
                <w:highlight w:val="yellow"/>
                <w:lang w:eastAsia="en-US"/>
              </w:rPr>
            </w:pPr>
            <w:r w:rsidRPr="007B5D81">
              <w:rPr>
                <w:sz w:val="18"/>
                <w:szCs w:val="18"/>
                <w:lang w:eastAsia="en-US"/>
              </w:rPr>
              <w:t>686 856</w:t>
            </w:r>
          </w:p>
        </w:tc>
        <w:tc>
          <w:tcPr>
            <w:tcW w:w="900" w:type="dxa"/>
            <w:tcBorders>
              <w:top w:val="single" w:sz="4" w:space="0" w:color="auto"/>
            </w:tcBorders>
            <w:shd w:val="clear" w:color="auto" w:fill="auto"/>
          </w:tcPr>
          <w:p w14:paraId="37D1425F" w14:textId="77777777" w:rsidR="007B5D81" w:rsidRPr="007B5D81" w:rsidRDefault="007B5D81" w:rsidP="007B5D81">
            <w:pPr>
              <w:spacing w:before="80" w:after="40" w:line="220" w:lineRule="exact"/>
              <w:ind w:right="113"/>
              <w:jc w:val="right"/>
              <w:rPr>
                <w:sz w:val="18"/>
                <w:szCs w:val="18"/>
                <w:highlight w:val="yellow"/>
                <w:lang w:eastAsia="en-US"/>
              </w:rPr>
            </w:pPr>
            <w:r w:rsidRPr="007B5D81">
              <w:rPr>
                <w:sz w:val="18"/>
                <w:szCs w:val="18"/>
                <w:lang w:eastAsia="en-US"/>
              </w:rPr>
              <w:t>88 681</w:t>
            </w:r>
          </w:p>
        </w:tc>
        <w:tc>
          <w:tcPr>
            <w:tcW w:w="900" w:type="dxa"/>
            <w:tcBorders>
              <w:top w:val="single" w:sz="4" w:space="0" w:color="auto"/>
            </w:tcBorders>
            <w:shd w:val="clear" w:color="auto" w:fill="auto"/>
          </w:tcPr>
          <w:p w14:paraId="71EC0EC6" w14:textId="77777777" w:rsidR="007B5D81" w:rsidRPr="007B5D81" w:rsidRDefault="007B5D81" w:rsidP="007B5D81">
            <w:pPr>
              <w:spacing w:before="80" w:after="40" w:line="220" w:lineRule="exact"/>
              <w:ind w:right="113"/>
              <w:jc w:val="right"/>
              <w:rPr>
                <w:sz w:val="18"/>
                <w:szCs w:val="18"/>
                <w:lang w:eastAsia="en-US"/>
              </w:rPr>
            </w:pPr>
            <w:r w:rsidRPr="007B5D81">
              <w:rPr>
                <w:sz w:val="18"/>
                <w:szCs w:val="18"/>
                <w:lang w:eastAsia="en-US"/>
              </w:rPr>
              <w:t>0</w:t>
            </w:r>
          </w:p>
        </w:tc>
        <w:tc>
          <w:tcPr>
            <w:tcW w:w="900" w:type="dxa"/>
            <w:tcBorders>
              <w:top w:val="single" w:sz="4" w:space="0" w:color="auto"/>
            </w:tcBorders>
          </w:tcPr>
          <w:p w14:paraId="07FFC116" w14:textId="77777777" w:rsidR="007B5D81" w:rsidRPr="007B5D81" w:rsidRDefault="007B5D81" w:rsidP="007B5D81">
            <w:pPr>
              <w:spacing w:before="80" w:after="40" w:line="220" w:lineRule="exact"/>
              <w:ind w:right="113"/>
              <w:jc w:val="right"/>
              <w:rPr>
                <w:b/>
                <w:sz w:val="18"/>
                <w:szCs w:val="18"/>
                <w:highlight w:val="yellow"/>
                <w:lang w:eastAsia="en-US"/>
              </w:rPr>
            </w:pPr>
            <w:r w:rsidRPr="007B5D81">
              <w:rPr>
                <w:b/>
                <w:sz w:val="18"/>
                <w:szCs w:val="18"/>
                <w:lang w:eastAsia="en-US"/>
              </w:rPr>
              <w:t>775 537</w:t>
            </w:r>
          </w:p>
        </w:tc>
      </w:tr>
      <w:tr w:rsidR="007B5D81" w:rsidRPr="007B5D81" w14:paraId="537DA78F" w14:textId="77777777" w:rsidTr="00DD49BD">
        <w:tc>
          <w:tcPr>
            <w:tcW w:w="466" w:type="dxa"/>
            <w:tcBorders>
              <w:bottom w:val="single" w:sz="4" w:space="0" w:color="auto"/>
            </w:tcBorders>
          </w:tcPr>
          <w:p w14:paraId="697E28F8" w14:textId="77777777" w:rsidR="007B5D81" w:rsidRPr="007B5D81" w:rsidRDefault="007B5D81" w:rsidP="007B5D81">
            <w:pPr>
              <w:spacing w:before="40" w:after="80" w:line="220" w:lineRule="exact"/>
              <w:ind w:right="113"/>
              <w:rPr>
                <w:sz w:val="18"/>
                <w:szCs w:val="18"/>
                <w:lang w:eastAsia="en-US"/>
              </w:rPr>
            </w:pPr>
            <w:r w:rsidRPr="007B5D81">
              <w:rPr>
                <w:sz w:val="18"/>
                <w:szCs w:val="18"/>
                <w:lang w:eastAsia="en-US"/>
              </w:rPr>
              <w:t>(e)</w:t>
            </w:r>
          </w:p>
        </w:tc>
        <w:tc>
          <w:tcPr>
            <w:tcW w:w="3100" w:type="dxa"/>
            <w:tcBorders>
              <w:bottom w:val="single" w:sz="4" w:space="0" w:color="auto"/>
            </w:tcBorders>
            <w:shd w:val="clear" w:color="auto" w:fill="auto"/>
          </w:tcPr>
          <w:p w14:paraId="27F69D51" w14:textId="77777777" w:rsidR="007B5D81" w:rsidRPr="007B5D81" w:rsidRDefault="007B5D81" w:rsidP="007B5D81">
            <w:pPr>
              <w:spacing w:before="40" w:after="80" w:line="220" w:lineRule="exact"/>
              <w:ind w:right="113"/>
              <w:rPr>
                <w:sz w:val="18"/>
                <w:szCs w:val="18"/>
                <w:lang w:eastAsia="en-US"/>
              </w:rPr>
            </w:pPr>
            <w:r w:rsidRPr="007B5D81">
              <w:rPr>
                <w:sz w:val="18"/>
                <w:szCs w:val="18"/>
                <w:lang w:eastAsia="en-US"/>
              </w:rPr>
              <w:t>13% United Nations programme support costs</w:t>
            </w:r>
          </w:p>
        </w:tc>
        <w:tc>
          <w:tcPr>
            <w:tcW w:w="900" w:type="dxa"/>
            <w:tcBorders>
              <w:bottom w:val="single" w:sz="4" w:space="0" w:color="auto"/>
            </w:tcBorders>
          </w:tcPr>
          <w:p w14:paraId="3AFE037E" w14:textId="77777777" w:rsidR="007B5D81" w:rsidRPr="007B5D81" w:rsidRDefault="007B5D81" w:rsidP="007B5D81">
            <w:pPr>
              <w:spacing w:before="40" w:after="80" w:line="220" w:lineRule="exact"/>
              <w:ind w:right="113"/>
              <w:jc w:val="right"/>
              <w:rPr>
                <w:sz w:val="18"/>
                <w:szCs w:val="18"/>
                <w:highlight w:val="yellow"/>
                <w:lang w:eastAsia="en-US"/>
              </w:rPr>
            </w:pPr>
            <w:r w:rsidRPr="007B5D81">
              <w:rPr>
                <w:sz w:val="18"/>
                <w:szCs w:val="18"/>
                <w:lang w:eastAsia="en-US"/>
              </w:rPr>
              <w:t>89 291</w:t>
            </w:r>
          </w:p>
        </w:tc>
        <w:tc>
          <w:tcPr>
            <w:tcW w:w="900" w:type="dxa"/>
            <w:tcBorders>
              <w:bottom w:val="single" w:sz="4" w:space="0" w:color="auto"/>
            </w:tcBorders>
            <w:shd w:val="clear" w:color="auto" w:fill="auto"/>
          </w:tcPr>
          <w:p w14:paraId="3DD8D529" w14:textId="77777777" w:rsidR="007B5D81" w:rsidRPr="007B5D81" w:rsidRDefault="007B5D81" w:rsidP="007B5D81">
            <w:pPr>
              <w:spacing w:before="40" w:after="80" w:line="220" w:lineRule="exact"/>
              <w:ind w:right="113"/>
              <w:jc w:val="right"/>
              <w:rPr>
                <w:sz w:val="18"/>
                <w:szCs w:val="18"/>
                <w:lang w:eastAsia="en-US"/>
              </w:rPr>
            </w:pPr>
            <w:r w:rsidRPr="007B5D81">
              <w:rPr>
                <w:sz w:val="18"/>
                <w:szCs w:val="18"/>
                <w:lang w:eastAsia="en-US"/>
              </w:rPr>
              <w:t>11 529</w:t>
            </w:r>
          </w:p>
        </w:tc>
        <w:tc>
          <w:tcPr>
            <w:tcW w:w="900" w:type="dxa"/>
            <w:tcBorders>
              <w:bottom w:val="single" w:sz="4" w:space="0" w:color="auto"/>
            </w:tcBorders>
            <w:shd w:val="clear" w:color="auto" w:fill="auto"/>
          </w:tcPr>
          <w:p w14:paraId="42765E4F" w14:textId="77777777" w:rsidR="007B5D81" w:rsidRPr="007B5D81" w:rsidRDefault="007B5D81" w:rsidP="007B5D81">
            <w:pPr>
              <w:spacing w:before="40" w:after="80" w:line="220" w:lineRule="exact"/>
              <w:ind w:right="113"/>
              <w:jc w:val="right"/>
              <w:rPr>
                <w:sz w:val="18"/>
                <w:szCs w:val="18"/>
                <w:lang w:eastAsia="en-US"/>
              </w:rPr>
            </w:pPr>
            <w:r w:rsidRPr="007B5D81">
              <w:rPr>
                <w:sz w:val="18"/>
                <w:szCs w:val="18"/>
                <w:lang w:eastAsia="en-US"/>
              </w:rPr>
              <w:t>0</w:t>
            </w:r>
          </w:p>
        </w:tc>
        <w:tc>
          <w:tcPr>
            <w:tcW w:w="900" w:type="dxa"/>
            <w:tcBorders>
              <w:bottom w:val="single" w:sz="4" w:space="0" w:color="auto"/>
            </w:tcBorders>
          </w:tcPr>
          <w:p w14:paraId="520CE36D" w14:textId="77777777" w:rsidR="007B5D81" w:rsidRPr="007B5D81" w:rsidRDefault="007B5D81" w:rsidP="007B5D81">
            <w:pPr>
              <w:spacing w:before="40" w:after="80" w:line="220" w:lineRule="exact"/>
              <w:ind w:right="113"/>
              <w:jc w:val="right"/>
              <w:rPr>
                <w:b/>
                <w:sz w:val="18"/>
                <w:szCs w:val="18"/>
                <w:highlight w:val="yellow"/>
                <w:lang w:eastAsia="en-US"/>
              </w:rPr>
            </w:pPr>
            <w:r w:rsidRPr="007B5D81">
              <w:rPr>
                <w:b/>
                <w:sz w:val="18"/>
                <w:szCs w:val="18"/>
                <w:lang w:eastAsia="en-US"/>
              </w:rPr>
              <w:t>100 820</w:t>
            </w:r>
          </w:p>
        </w:tc>
      </w:tr>
      <w:tr w:rsidR="007B5D81" w:rsidRPr="007B5D81" w14:paraId="0AD2D6A5" w14:textId="77777777" w:rsidTr="00DD49BD">
        <w:tc>
          <w:tcPr>
            <w:tcW w:w="466" w:type="dxa"/>
            <w:tcBorders>
              <w:top w:val="single" w:sz="4" w:space="0" w:color="auto"/>
              <w:bottom w:val="single" w:sz="4" w:space="0" w:color="auto"/>
            </w:tcBorders>
          </w:tcPr>
          <w:p w14:paraId="1692066C" w14:textId="77777777" w:rsidR="007B5D81" w:rsidRPr="007B5D81" w:rsidRDefault="007B5D81" w:rsidP="007B5D81">
            <w:pPr>
              <w:spacing w:before="80" w:after="80" w:line="220" w:lineRule="exact"/>
              <w:ind w:right="113"/>
              <w:rPr>
                <w:b/>
                <w:sz w:val="18"/>
                <w:szCs w:val="18"/>
                <w:lang w:eastAsia="en-US"/>
              </w:rPr>
            </w:pPr>
            <w:r w:rsidRPr="007B5D81">
              <w:rPr>
                <w:b/>
                <w:sz w:val="18"/>
                <w:szCs w:val="18"/>
                <w:lang w:eastAsia="en-US"/>
              </w:rPr>
              <w:t>(f)</w:t>
            </w:r>
          </w:p>
        </w:tc>
        <w:tc>
          <w:tcPr>
            <w:tcW w:w="3100" w:type="dxa"/>
            <w:tcBorders>
              <w:top w:val="single" w:sz="4" w:space="0" w:color="auto"/>
              <w:bottom w:val="single" w:sz="4" w:space="0" w:color="auto"/>
            </w:tcBorders>
            <w:shd w:val="clear" w:color="auto" w:fill="auto"/>
          </w:tcPr>
          <w:p w14:paraId="7B0D1F2B" w14:textId="77777777" w:rsidR="007B5D81" w:rsidRPr="007B5D81" w:rsidRDefault="007B5D81" w:rsidP="007B5D81">
            <w:pPr>
              <w:spacing w:before="80" w:after="80" w:line="220" w:lineRule="exact"/>
              <w:ind w:right="113"/>
              <w:rPr>
                <w:b/>
                <w:sz w:val="18"/>
                <w:szCs w:val="18"/>
                <w:lang w:eastAsia="en-US"/>
              </w:rPr>
            </w:pPr>
            <w:r w:rsidRPr="007B5D81">
              <w:rPr>
                <w:b/>
                <w:sz w:val="18"/>
                <w:szCs w:val="18"/>
                <w:lang w:eastAsia="en-US"/>
              </w:rPr>
              <w:t>Trust fund balance: income less expenditure in the period ((c)-(d)-(e))</w:t>
            </w:r>
          </w:p>
        </w:tc>
        <w:tc>
          <w:tcPr>
            <w:tcW w:w="900" w:type="dxa"/>
            <w:tcBorders>
              <w:top w:val="single" w:sz="4" w:space="0" w:color="auto"/>
              <w:bottom w:val="single" w:sz="4" w:space="0" w:color="auto"/>
            </w:tcBorders>
          </w:tcPr>
          <w:p w14:paraId="4171AED4" w14:textId="77777777" w:rsidR="007B5D81" w:rsidRPr="007B5D81" w:rsidRDefault="007B5D81" w:rsidP="007B5D81">
            <w:pPr>
              <w:spacing w:before="80" w:after="80" w:line="220" w:lineRule="exact"/>
              <w:ind w:right="113"/>
              <w:jc w:val="right"/>
              <w:rPr>
                <w:b/>
                <w:sz w:val="18"/>
                <w:szCs w:val="18"/>
                <w:highlight w:val="yellow"/>
                <w:lang w:eastAsia="en-US"/>
              </w:rPr>
            </w:pPr>
            <w:r w:rsidRPr="007B5D81">
              <w:rPr>
                <w:b/>
                <w:sz w:val="18"/>
                <w:szCs w:val="18"/>
                <w:lang w:eastAsia="en-US"/>
              </w:rPr>
              <w:t>186 404</w:t>
            </w:r>
          </w:p>
        </w:tc>
        <w:tc>
          <w:tcPr>
            <w:tcW w:w="900" w:type="dxa"/>
            <w:tcBorders>
              <w:top w:val="single" w:sz="4" w:space="0" w:color="auto"/>
              <w:bottom w:val="single" w:sz="4" w:space="0" w:color="auto"/>
            </w:tcBorders>
            <w:shd w:val="clear" w:color="auto" w:fill="auto"/>
          </w:tcPr>
          <w:p w14:paraId="414CDEBF" w14:textId="77777777" w:rsidR="007B5D81" w:rsidRPr="007B5D81" w:rsidRDefault="007B5D81" w:rsidP="007B5D81">
            <w:pPr>
              <w:spacing w:before="80" w:after="80" w:line="220" w:lineRule="exact"/>
              <w:ind w:right="113"/>
              <w:jc w:val="right"/>
              <w:rPr>
                <w:b/>
                <w:sz w:val="18"/>
                <w:szCs w:val="18"/>
                <w:lang w:eastAsia="en-US"/>
              </w:rPr>
            </w:pPr>
            <w:r w:rsidRPr="007B5D81">
              <w:rPr>
                <w:b/>
                <w:sz w:val="18"/>
                <w:szCs w:val="18"/>
                <w:lang w:eastAsia="en-US"/>
              </w:rPr>
              <w:t>-37 340</w:t>
            </w:r>
          </w:p>
        </w:tc>
        <w:tc>
          <w:tcPr>
            <w:tcW w:w="900" w:type="dxa"/>
            <w:tcBorders>
              <w:top w:val="single" w:sz="4" w:space="0" w:color="auto"/>
              <w:bottom w:val="single" w:sz="4" w:space="0" w:color="auto"/>
            </w:tcBorders>
            <w:shd w:val="clear" w:color="auto" w:fill="auto"/>
          </w:tcPr>
          <w:p w14:paraId="3D0A1629" w14:textId="77777777" w:rsidR="007B5D81" w:rsidRPr="007B5D81" w:rsidRDefault="007B5D81" w:rsidP="007B5D81">
            <w:pPr>
              <w:spacing w:before="80" w:after="80" w:line="220" w:lineRule="exact"/>
              <w:ind w:right="113"/>
              <w:jc w:val="right"/>
              <w:rPr>
                <w:b/>
                <w:sz w:val="18"/>
                <w:szCs w:val="18"/>
                <w:lang w:eastAsia="en-US"/>
              </w:rPr>
            </w:pPr>
            <w:r w:rsidRPr="007B5D81">
              <w:rPr>
                <w:b/>
                <w:sz w:val="18"/>
                <w:szCs w:val="18"/>
                <w:lang w:eastAsia="en-US"/>
              </w:rPr>
              <w:t>0</w:t>
            </w:r>
          </w:p>
        </w:tc>
        <w:tc>
          <w:tcPr>
            <w:tcW w:w="900" w:type="dxa"/>
            <w:tcBorders>
              <w:top w:val="single" w:sz="4" w:space="0" w:color="auto"/>
              <w:bottom w:val="single" w:sz="4" w:space="0" w:color="auto"/>
            </w:tcBorders>
          </w:tcPr>
          <w:p w14:paraId="4700F564" w14:textId="77777777" w:rsidR="007B5D81" w:rsidRPr="007B5D81" w:rsidRDefault="007B5D81" w:rsidP="007B5D81">
            <w:pPr>
              <w:spacing w:before="80" w:after="80" w:line="220" w:lineRule="exact"/>
              <w:ind w:right="113"/>
              <w:jc w:val="right"/>
              <w:rPr>
                <w:b/>
                <w:sz w:val="18"/>
                <w:szCs w:val="18"/>
                <w:highlight w:val="yellow"/>
                <w:lang w:eastAsia="en-US"/>
              </w:rPr>
            </w:pPr>
            <w:r w:rsidRPr="007B5D81">
              <w:rPr>
                <w:b/>
                <w:sz w:val="18"/>
                <w:szCs w:val="18"/>
                <w:lang w:eastAsia="en-US"/>
              </w:rPr>
              <w:t>149 063</w:t>
            </w:r>
          </w:p>
        </w:tc>
      </w:tr>
      <w:tr w:rsidR="007B5D81" w:rsidRPr="007B5D81" w14:paraId="38B45E79" w14:textId="77777777" w:rsidTr="00DD49BD">
        <w:tc>
          <w:tcPr>
            <w:tcW w:w="466" w:type="dxa"/>
            <w:tcBorders>
              <w:top w:val="single" w:sz="4" w:space="0" w:color="auto"/>
              <w:bottom w:val="single" w:sz="12" w:space="0" w:color="auto"/>
            </w:tcBorders>
          </w:tcPr>
          <w:p w14:paraId="55813F32" w14:textId="77777777" w:rsidR="007B5D81" w:rsidRPr="007B5D81" w:rsidRDefault="007B5D81" w:rsidP="007B5D81">
            <w:pPr>
              <w:spacing w:before="80" w:after="80" w:line="220" w:lineRule="exact"/>
              <w:ind w:right="113"/>
              <w:rPr>
                <w:sz w:val="18"/>
                <w:szCs w:val="18"/>
                <w:lang w:eastAsia="en-US"/>
              </w:rPr>
            </w:pPr>
            <w:r w:rsidRPr="007B5D81">
              <w:rPr>
                <w:sz w:val="18"/>
                <w:szCs w:val="18"/>
                <w:lang w:eastAsia="en-US"/>
              </w:rPr>
              <w:t>(g)</w:t>
            </w:r>
          </w:p>
        </w:tc>
        <w:tc>
          <w:tcPr>
            <w:tcW w:w="3100" w:type="dxa"/>
            <w:tcBorders>
              <w:top w:val="single" w:sz="4" w:space="0" w:color="auto"/>
              <w:bottom w:val="single" w:sz="12" w:space="0" w:color="auto"/>
            </w:tcBorders>
            <w:shd w:val="clear" w:color="auto" w:fill="auto"/>
          </w:tcPr>
          <w:p w14:paraId="5A625766" w14:textId="77777777" w:rsidR="007B5D81" w:rsidRPr="007B5D81" w:rsidRDefault="007B5D81" w:rsidP="007B5D81">
            <w:pPr>
              <w:spacing w:before="80" w:after="80" w:line="220" w:lineRule="exact"/>
              <w:ind w:right="113"/>
              <w:rPr>
                <w:sz w:val="18"/>
                <w:szCs w:val="18"/>
                <w:lang w:eastAsia="en-US"/>
              </w:rPr>
            </w:pPr>
            <w:r w:rsidRPr="007B5D81">
              <w:rPr>
                <w:sz w:val="18"/>
                <w:szCs w:val="18"/>
                <w:lang w:eastAsia="en-US"/>
              </w:rPr>
              <w:t>In-kind contributions made, valued according to the budgeted activity cost (from table A.6)</w:t>
            </w:r>
          </w:p>
        </w:tc>
        <w:tc>
          <w:tcPr>
            <w:tcW w:w="900" w:type="dxa"/>
            <w:tcBorders>
              <w:top w:val="single" w:sz="4" w:space="0" w:color="auto"/>
              <w:bottom w:val="single" w:sz="12" w:space="0" w:color="auto"/>
            </w:tcBorders>
          </w:tcPr>
          <w:p w14:paraId="09BFD606" w14:textId="77777777" w:rsidR="007B5D81" w:rsidRPr="007B5D81" w:rsidRDefault="007B5D81" w:rsidP="007B5D81">
            <w:pPr>
              <w:spacing w:before="80" w:after="80" w:line="220" w:lineRule="exact"/>
              <w:ind w:right="113"/>
              <w:jc w:val="right"/>
              <w:rPr>
                <w:sz w:val="18"/>
                <w:szCs w:val="18"/>
                <w:lang w:eastAsia="en-US"/>
              </w:rPr>
            </w:pPr>
            <w:r w:rsidRPr="007B5D81">
              <w:rPr>
                <w:sz w:val="18"/>
                <w:szCs w:val="18"/>
                <w:lang w:eastAsia="en-US"/>
              </w:rPr>
              <w:t>30 000</w:t>
            </w:r>
          </w:p>
        </w:tc>
        <w:tc>
          <w:tcPr>
            <w:tcW w:w="900" w:type="dxa"/>
            <w:tcBorders>
              <w:top w:val="single" w:sz="4" w:space="0" w:color="auto"/>
              <w:bottom w:val="single" w:sz="12" w:space="0" w:color="auto"/>
            </w:tcBorders>
            <w:shd w:val="clear" w:color="auto" w:fill="auto"/>
          </w:tcPr>
          <w:p w14:paraId="1F826239" w14:textId="77777777" w:rsidR="007B5D81" w:rsidRPr="007B5D81" w:rsidRDefault="007B5D81" w:rsidP="007B5D81">
            <w:pPr>
              <w:spacing w:before="80" w:after="80" w:line="220" w:lineRule="exact"/>
              <w:ind w:right="113"/>
              <w:jc w:val="right"/>
              <w:rPr>
                <w:sz w:val="18"/>
                <w:szCs w:val="18"/>
                <w:lang w:eastAsia="en-US"/>
              </w:rPr>
            </w:pPr>
            <w:r w:rsidRPr="007B5D81">
              <w:rPr>
                <w:sz w:val="18"/>
                <w:szCs w:val="18"/>
                <w:lang w:eastAsia="en-US"/>
              </w:rPr>
              <w:t>321 255</w:t>
            </w:r>
          </w:p>
        </w:tc>
        <w:tc>
          <w:tcPr>
            <w:tcW w:w="900" w:type="dxa"/>
            <w:tcBorders>
              <w:top w:val="single" w:sz="4" w:space="0" w:color="auto"/>
              <w:bottom w:val="single" w:sz="12" w:space="0" w:color="auto"/>
            </w:tcBorders>
            <w:shd w:val="clear" w:color="auto" w:fill="auto"/>
          </w:tcPr>
          <w:p w14:paraId="67FEE777" w14:textId="77777777" w:rsidR="007B5D81" w:rsidRPr="007B5D81" w:rsidRDefault="007B5D81" w:rsidP="007B5D81">
            <w:pPr>
              <w:spacing w:before="80" w:after="80" w:line="220" w:lineRule="exact"/>
              <w:ind w:right="113"/>
              <w:jc w:val="right"/>
              <w:rPr>
                <w:sz w:val="18"/>
                <w:szCs w:val="18"/>
                <w:lang w:eastAsia="en-US"/>
              </w:rPr>
            </w:pPr>
            <w:r w:rsidRPr="007B5D81">
              <w:rPr>
                <w:sz w:val="18"/>
                <w:szCs w:val="18"/>
                <w:lang w:eastAsia="en-US"/>
              </w:rPr>
              <w:t>0</w:t>
            </w:r>
          </w:p>
        </w:tc>
        <w:tc>
          <w:tcPr>
            <w:tcW w:w="900" w:type="dxa"/>
            <w:tcBorders>
              <w:top w:val="single" w:sz="4" w:space="0" w:color="auto"/>
              <w:bottom w:val="single" w:sz="12" w:space="0" w:color="auto"/>
            </w:tcBorders>
          </w:tcPr>
          <w:p w14:paraId="3902BA5D" w14:textId="77777777" w:rsidR="007B5D81" w:rsidRPr="007B5D81" w:rsidRDefault="007B5D81" w:rsidP="007B5D81">
            <w:pPr>
              <w:spacing w:before="80" w:after="80" w:line="220" w:lineRule="exact"/>
              <w:ind w:right="113"/>
              <w:jc w:val="right"/>
              <w:rPr>
                <w:b/>
                <w:sz w:val="18"/>
                <w:szCs w:val="18"/>
                <w:lang w:eastAsia="en-US"/>
              </w:rPr>
            </w:pPr>
            <w:r w:rsidRPr="007B5D81">
              <w:rPr>
                <w:b/>
                <w:sz w:val="18"/>
                <w:szCs w:val="18"/>
                <w:lang w:eastAsia="en-US"/>
              </w:rPr>
              <w:t>351 255</w:t>
            </w:r>
          </w:p>
        </w:tc>
      </w:tr>
      <w:bookmarkEnd w:id="12"/>
    </w:tbl>
    <w:p w14:paraId="433C2BEF" w14:textId="5B5648A6" w:rsidR="00995079" w:rsidRDefault="00995079" w:rsidP="0094684F"/>
    <w:p w14:paraId="3603F7B0" w14:textId="4520FF86" w:rsidR="00DB69F5" w:rsidRPr="00DB69F5" w:rsidRDefault="00DB69F5" w:rsidP="00DB69F5">
      <w:pPr>
        <w:pStyle w:val="H23G"/>
        <w:rPr>
          <w:lang w:eastAsia="en-US"/>
        </w:rPr>
      </w:pPr>
      <w:r>
        <w:rPr>
          <w:lang w:eastAsia="en-US"/>
        </w:rPr>
        <w:tab/>
      </w:r>
      <w:r>
        <w:rPr>
          <w:lang w:eastAsia="en-US"/>
        </w:rPr>
        <w:tab/>
      </w:r>
      <w:r w:rsidRPr="00DB69F5">
        <w:rPr>
          <w:b w:val="0"/>
          <w:bCs/>
          <w:lang w:eastAsia="en-US"/>
        </w:rPr>
        <w:t>Table A.6</w:t>
      </w:r>
      <w:r w:rsidRPr="00DB69F5">
        <w:rPr>
          <w:lang w:eastAsia="en-US"/>
        </w:rPr>
        <w:br/>
      </w:r>
      <w:r w:rsidRPr="00DB69F5">
        <w:rPr>
          <w:bCs/>
          <w:lang w:eastAsia="en-US"/>
        </w:rPr>
        <w:t>In-kind contributions made</w:t>
      </w:r>
      <w:r w:rsidRPr="00DB69F5">
        <w:rPr>
          <w:lang w:eastAsia="en-US"/>
        </w:rPr>
        <w:br/>
      </w:r>
      <w:r w:rsidRPr="00DB69F5">
        <w:rPr>
          <w:sz w:val="14"/>
          <w:szCs w:val="14"/>
          <w:lang w:eastAsia="en-US"/>
        </w:rPr>
        <w:t>(in United States dollars)</w:t>
      </w:r>
    </w:p>
    <w:tbl>
      <w:tblPr>
        <w:tblStyle w:val="TableGrid2"/>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54"/>
        <w:gridCol w:w="1047"/>
        <w:gridCol w:w="567"/>
        <w:gridCol w:w="1090"/>
        <w:gridCol w:w="795"/>
        <w:gridCol w:w="1673"/>
        <w:gridCol w:w="837"/>
        <w:gridCol w:w="1841"/>
      </w:tblGrid>
      <w:tr w:rsidR="007B5D81" w:rsidRPr="007B5D81" w14:paraId="52E7FC0D" w14:textId="77777777" w:rsidTr="007B5D81">
        <w:trPr>
          <w:tblHeader/>
        </w:trPr>
        <w:tc>
          <w:tcPr>
            <w:tcW w:w="654" w:type="dxa"/>
            <w:tcBorders>
              <w:top w:val="single" w:sz="4" w:space="0" w:color="auto"/>
              <w:bottom w:val="single" w:sz="12" w:space="0" w:color="auto"/>
            </w:tcBorders>
            <w:shd w:val="clear" w:color="auto" w:fill="auto"/>
            <w:vAlign w:val="bottom"/>
          </w:tcPr>
          <w:p w14:paraId="63CFA6CC" w14:textId="77777777" w:rsidR="00DB69F5" w:rsidRPr="007B5D81" w:rsidRDefault="00DB69F5" w:rsidP="007B5D81">
            <w:pPr>
              <w:spacing w:before="80" w:after="80" w:line="200" w:lineRule="exact"/>
              <w:ind w:right="113"/>
              <w:rPr>
                <w:i/>
                <w:sz w:val="16"/>
                <w:lang w:eastAsia="en-US"/>
              </w:rPr>
            </w:pPr>
            <w:r w:rsidRPr="007B5D81">
              <w:rPr>
                <w:i/>
                <w:sz w:val="16"/>
                <w:lang w:eastAsia="en-US"/>
              </w:rPr>
              <w:t>Index</w:t>
            </w:r>
          </w:p>
        </w:tc>
        <w:tc>
          <w:tcPr>
            <w:tcW w:w="1047" w:type="dxa"/>
            <w:tcBorders>
              <w:top w:val="single" w:sz="4" w:space="0" w:color="auto"/>
              <w:bottom w:val="single" w:sz="12" w:space="0" w:color="auto"/>
            </w:tcBorders>
            <w:shd w:val="clear" w:color="auto" w:fill="auto"/>
            <w:vAlign w:val="bottom"/>
          </w:tcPr>
          <w:p w14:paraId="303ECB8F" w14:textId="77777777" w:rsidR="00DB69F5" w:rsidRPr="007B5D81" w:rsidRDefault="00DB69F5" w:rsidP="007B5D81">
            <w:pPr>
              <w:spacing w:before="80" w:after="80" w:line="200" w:lineRule="exact"/>
              <w:ind w:right="113"/>
              <w:rPr>
                <w:i/>
                <w:sz w:val="16"/>
                <w:lang w:eastAsia="en-US"/>
              </w:rPr>
            </w:pPr>
            <w:r w:rsidRPr="007B5D81">
              <w:rPr>
                <w:i/>
                <w:sz w:val="16"/>
                <w:lang w:eastAsia="en-US"/>
              </w:rPr>
              <w:t>Activity</w:t>
            </w:r>
          </w:p>
        </w:tc>
        <w:tc>
          <w:tcPr>
            <w:tcW w:w="567" w:type="dxa"/>
            <w:tcBorders>
              <w:top w:val="single" w:sz="4" w:space="0" w:color="auto"/>
              <w:bottom w:val="single" w:sz="12" w:space="0" w:color="auto"/>
            </w:tcBorders>
            <w:shd w:val="clear" w:color="auto" w:fill="auto"/>
            <w:vAlign w:val="bottom"/>
          </w:tcPr>
          <w:p w14:paraId="7413F28E" w14:textId="77777777" w:rsidR="00DB69F5" w:rsidRPr="007B5D81" w:rsidRDefault="00DB69F5" w:rsidP="007B5D81">
            <w:pPr>
              <w:spacing w:before="80" w:after="80" w:line="200" w:lineRule="exact"/>
              <w:ind w:right="113"/>
              <w:rPr>
                <w:i/>
                <w:sz w:val="16"/>
                <w:lang w:eastAsia="en-US"/>
              </w:rPr>
            </w:pPr>
            <w:r w:rsidRPr="007B5D81">
              <w:rPr>
                <w:i/>
                <w:sz w:val="16"/>
                <w:lang w:eastAsia="en-US"/>
              </w:rPr>
              <w:t>Priority</w:t>
            </w:r>
          </w:p>
        </w:tc>
        <w:tc>
          <w:tcPr>
            <w:tcW w:w="1090" w:type="dxa"/>
            <w:tcBorders>
              <w:top w:val="single" w:sz="4" w:space="0" w:color="auto"/>
              <w:bottom w:val="single" w:sz="12" w:space="0" w:color="auto"/>
            </w:tcBorders>
            <w:shd w:val="clear" w:color="auto" w:fill="auto"/>
            <w:vAlign w:val="bottom"/>
          </w:tcPr>
          <w:p w14:paraId="3C4D27F9" w14:textId="77777777" w:rsidR="00DB69F5" w:rsidRPr="007B5D81" w:rsidRDefault="00DB69F5" w:rsidP="007B5D81">
            <w:pPr>
              <w:spacing w:before="80" w:after="80" w:line="200" w:lineRule="exact"/>
              <w:ind w:right="113"/>
              <w:rPr>
                <w:i/>
                <w:sz w:val="16"/>
                <w:lang w:eastAsia="en-US"/>
              </w:rPr>
            </w:pPr>
            <w:r w:rsidRPr="007B5D81">
              <w:rPr>
                <w:i/>
                <w:sz w:val="16"/>
                <w:lang w:eastAsia="en-US"/>
              </w:rPr>
              <w:t>Sub-activity</w:t>
            </w:r>
          </w:p>
        </w:tc>
        <w:tc>
          <w:tcPr>
            <w:tcW w:w="795" w:type="dxa"/>
            <w:tcBorders>
              <w:top w:val="single" w:sz="4" w:space="0" w:color="auto"/>
              <w:bottom w:val="single" w:sz="12" w:space="0" w:color="auto"/>
            </w:tcBorders>
            <w:shd w:val="clear" w:color="auto" w:fill="auto"/>
            <w:vAlign w:val="bottom"/>
          </w:tcPr>
          <w:p w14:paraId="770354FE" w14:textId="77777777" w:rsidR="00DB69F5" w:rsidRPr="007B5D81" w:rsidRDefault="00DB69F5" w:rsidP="007B5D81">
            <w:pPr>
              <w:spacing w:before="80" w:after="80" w:line="200" w:lineRule="exact"/>
              <w:ind w:right="113"/>
              <w:rPr>
                <w:i/>
                <w:sz w:val="16"/>
                <w:lang w:eastAsia="en-US"/>
              </w:rPr>
            </w:pPr>
            <w:r w:rsidRPr="007B5D81">
              <w:rPr>
                <w:i/>
                <w:sz w:val="16"/>
                <w:lang w:eastAsia="en-US"/>
              </w:rPr>
              <w:t>Date</w:t>
            </w:r>
          </w:p>
        </w:tc>
        <w:tc>
          <w:tcPr>
            <w:tcW w:w="1673" w:type="dxa"/>
            <w:tcBorders>
              <w:top w:val="single" w:sz="4" w:space="0" w:color="auto"/>
              <w:bottom w:val="single" w:sz="12" w:space="0" w:color="auto"/>
            </w:tcBorders>
            <w:shd w:val="clear" w:color="auto" w:fill="auto"/>
            <w:vAlign w:val="bottom"/>
          </w:tcPr>
          <w:p w14:paraId="55E096CC" w14:textId="77777777" w:rsidR="00DB69F5" w:rsidRPr="007B5D81" w:rsidRDefault="00DB69F5" w:rsidP="007B5D81">
            <w:pPr>
              <w:spacing w:before="80" w:after="80" w:line="200" w:lineRule="exact"/>
              <w:ind w:right="113"/>
              <w:rPr>
                <w:i/>
                <w:sz w:val="16"/>
                <w:lang w:eastAsia="en-US"/>
              </w:rPr>
            </w:pPr>
            <w:r w:rsidRPr="007B5D81">
              <w:rPr>
                <w:i/>
                <w:sz w:val="16"/>
                <w:lang w:eastAsia="en-US"/>
              </w:rPr>
              <w:t>Source</w:t>
            </w:r>
          </w:p>
        </w:tc>
        <w:tc>
          <w:tcPr>
            <w:tcW w:w="837" w:type="dxa"/>
            <w:tcBorders>
              <w:top w:val="single" w:sz="4" w:space="0" w:color="auto"/>
              <w:bottom w:val="single" w:sz="12" w:space="0" w:color="auto"/>
            </w:tcBorders>
            <w:shd w:val="clear" w:color="auto" w:fill="auto"/>
            <w:vAlign w:val="bottom"/>
          </w:tcPr>
          <w:p w14:paraId="2405FA23" w14:textId="77777777" w:rsidR="00DB69F5" w:rsidRPr="007B5D81" w:rsidRDefault="00DB69F5" w:rsidP="007B5D81">
            <w:pPr>
              <w:spacing w:before="80" w:after="80" w:line="200" w:lineRule="exact"/>
              <w:ind w:right="113"/>
              <w:rPr>
                <w:i/>
                <w:sz w:val="16"/>
                <w:lang w:eastAsia="en-US"/>
              </w:rPr>
            </w:pPr>
            <w:r w:rsidRPr="007B5D81">
              <w:rPr>
                <w:i/>
                <w:sz w:val="16"/>
                <w:lang w:eastAsia="en-US"/>
              </w:rPr>
              <w:t xml:space="preserve">Value </w:t>
            </w:r>
            <w:r w:rsidRPr="007B5D81">
              <w:rPr>
                <w:i/>
                <w:sz w:val="16"/>
                <w:vertAlign w:val="superscript"/>
                <w:lang w:eastAsia="en-US"/>
              </w:rPr>
              <w:t>a</w:t>
            </w:r>
          </w:p>
        </w:tc>
        <w:tc>
          <w:tcPr>
            <w:tcW w:w="1841" w:type="dxa"/>
            <w:tcBorders>
              <w:top w:val="single" w:sz="4" w:space="0" w:color="auto"/>
              <w:bottom w:val="single" w:sz="12" w:space="0" w:color="auto"/>
            </w:tcBorders>
            <w:shd w:val="clear" w:color="auto" w:fill="auto"/>
            <w:vAlign w:val="bottom"/>
          </w:tcPr>
          <w:p w14:paraId="1459C505" w14:textId="77777777" w:rsidR="00DB69F5" w:rsidRPr="007B5D81" w:rsidRDefault="00DB69F5" w:rsidP="007B5D81">
            <w:pPr>
              <w:spacing w:before="80" w:after="80" w:line="200" w:lineRule="exact"/>
              <w:ind w:right="113"/>
              <w:rPr>
                <w:i/>
                <w:sz w:val="16"/>
                <w:lang w:eastAsia="en-US"/>
              </w:rPr>
            </w:pPr>
            <w:r w:rsidRPr="007B5D81">
              <w:rPr>
                <w:i/>
                <w:sz w:val="16"/>
                <w:lang w:eastAsia="en-US"/>
              </w:rPr>
              <w:t>Notes</w:t>
            </w:r>
          </w:p>
        </w:tc>
      </w:tr>
      <w:tr w:rsidR="007B5D81" w:rsidRPr="007B5D81" w14:paraId="039BBC91" w14:textId="77777777" w:rsidTr="007B5D81">
        <w:trPr>
          <w:trHeight w:hRule="exact" w:val="113"/>
          <w:tblHeader/>
        </w:trPr>
        <w:tc>
          <w:tcPr>
            <w:tcW w:w="654" w:type="dxa"/>
            <w:tcBorders>
              <w:top w:val="single" w:sz="12" w:space="0" w:color="auto"/>
            </w:tcBorders>
            <w:shd w:val="clear" w:color="auto" w:fill="auto"/>
          </w:tcPr>
          <w:p w14:paraId="25EBE3CA" w14:textId="77777777" w:rsidR="007B5D81" w:rsidRPr="007B5D81" w:rsidRDefault="007B5D81" w:rsidP="007B5D81">
            <w:pPr>
              <w:spacing w:before="40" w:after="120"/>
              <w:ind w:right="113"/>
              <w:rPr>
                <w:lang w:eastAsia="en-US"/>
              </w:rPr>
            </w:pPr>
          </w:p>
        </w:tc>
        <w:tc>
          <w:tcPr>
            <w:tcW w:w="1047" w:type="dxa"/>
            <w:tcBorders>
              <w:top w:val="single" w:sz="12" w:space="0" w:color="auto"/>
            </w:tcBorders>
            <w:shd w:val="clear" w:color="auto" w:fill="auto"/>
          </w:tcPr>
          <w:p w14:paraId="658E8FDA" w14:textId="77777777" w:rsidR="007B5D81" w:rsidRPr="007B5D81" w:rsidRDefault="007B5D81" w:rsidP="007B5D81">
            <w:pPr>
              <w:spacing w:before="40" w:after="120"/>
              <w:ind w:right="113"/>
              <w:rPr>
                <w:lang w:eastAsia="en-US"/>
              </w:rPr>
            </w:pPr>
          </w:p>
        </w:tc>
        <w:tc>
          <w:tcPr>
            <w:tcW w:w="567" w:type="dxa"/>
            <w:tcBorders>
              <w:top w:val="single" w:sz="12" w:space="0" w:color="auto"/>
            </w:tcBorders>
            <w:shd w:val="clear" w:color="auto" w:fill="auto"/>
          </w:tcPr>
          <w:p w14:paraId="29318560" w14:textId="77777777" w:rsidR="007B5D81" w:rsidRPr="007B5D81" w:rsidRDefault="007B5D81" w:rsidP="007B5D81">
            <w:pPr>
              <w:spacing w:before="40" w:after="120"/>
              <w:ind w:right="113"/>
              <w:rPr>
                <w:lang w:eastAsia="en-US"/>
              </w:rPr>
            </w:pPr>
          </w:p>
        </w:tc>
        <w:tc>
          <w:tcPr>
            <w:tcW w:w="1090" w:type="dxa"/>
            <w:tcBorders>
              <w:top w:val="single" w:sz="12" w:space="0" w:color="auto"/>
            </w:tcBorders>
            <w:shd w:val="clear" w:color="auto" w:fill="auto"/>
          </w:tcPr>
          <w:p w14:paraId="6BD66BEB" w14:textId="77777777" w:rsidR="007B5D81" w:rsidRPr="007B5D81" w:rsidRDefault="007B5D81" w:rsidP="007B5D81">
            <w:pPr>
              <w:spacing w:before="40" w:after="120"/>
              <w:ind w:right="113"/>
              <w:rPr>
                <w:lang w:eastAsia="en-US"/>
              </w:rPr>
            </w:pPr>
          </w:p>
        </w:tc>
        <w:tc>
          <w:tcPr>
            <w:tcW w:w="795" w:type="dxa"/>
            <w:tcBorders>
              <w:top w:val="single" w:sz="12" w:space="0" w:color="auto"/>
            </w:tcBorders>
            <w:shd w:val="clear" w:color="auto" w:fill="auto"/>
          </w:tcPr>
          <w:p w14:paraId="1BF7117B" w14:textId="77777777" w:rsidR="007B5D81" w:rsidRPr="007B5D81" w:rsidRDefault="007B5D81" w:rsidP="007B5D81">
            <w:pPr>
              <w:spacing w:before="40" w:after="120"/>
              <w:ind w:right="113"/>
              <w:rPr>
                <w:lang w:eastAsia="en-US"/>
              </w:rPr>
            </w:pPr>
          </w:p>
        </w:tc>
        <w:tc>
          <w:tcPr>
            <w:tcW w:w="1673" w:type="dxa"/>
            <w:tcBorders>
              <w:top w:val="single" w:sz="12" w:space="0" w:color="auto"/>
            </w:tcBorders>
            <w:shd w:val="clear" w:color="auto" w:fill="auto"/>
          </w:tcPr>
          <w:p w14:paraId="70665FF1" w14:textId="77777777" w:rsidR="007B5D81" w:rsidRPr="007B5D81" w:rsidRDefault="007B5D81" w:rsidP="007B5D81">
            <w:pPr>
              <w:spacing w:before="40" w:after="120"/>
              <w:ind w:right="113"/>
              <w:rPr>
                <w:lang w:eastAsia="en-US"/>
              </w:rPr>
            </w:pPr>
          </w:p>
        </w:tc>
        <w:tc>
          <w:tcPr>
            <w:tcW w:w="837" w:type="dxa"/>
            <w:tcBorders>
              <w:top w:val="single" w:sz="12" w:space="0" w:color="auto"/>
            </w:tcBorders>
            <w:shd w:val="clear" w:color="auto" w:fill="auto"/>
          </w:tcPr>
          <w:p w14:paraId="227B8C99" w14:textId="77777777" w:rsidR="007B5D81" w:rsidRPr="007B5D81" w:rsidRDefault="007B5D81" w:rsidP="007B5D81">
            <w:pPr>
              <w:spacing w:before="40" w:after="120"/>
              <w:ind w:right="113"/>
              <w:rPr>
                <w:lang w:eastAsia="en-US"/>
              </w:rPr>
            </w:pPr>
          </w:p>
        </w:tc>
        <w:tc>
          <w:tcPr>
            <w:tcW w:w="1841" w:type="dxa"/>
            <w:tcBorders>
              <w:top w:val="single" w:sz="12" w:space="0" w:color="auto"/>
            </w:tcBorders>
            <w:shd w:val="clear" w:color="auto" w:fill="auto"/>
          </w:tcPr>
          <w:p w14:paraId="78CDA0B8" w14:textId="77777777" w:rsidR="007B5D81" w:rsidRPr="007B5D81" w:rsidRDefault="007B5D81" w:rsidP="007B5D81">
            <w:pPr>
              <w:spacing w:before="40" w:after="120"/>
              <w:ind w:right="113"/>
              <w:rPr>
                <w:lang w:eastAsia="en-US"/>
              </w:rPr>
            </w:pPr>
          </w:p>
        </w:tc>
      </w:tr>
      <w:tr w:rsidR="007B5D81" w:rsidRPr="007B5D81" w14:paraId="10DE5F49" w14:textId="77777777" w:rsidTr="007B5D81">
        <w:tc>
          <w:tcPr>
            <w:tcW w:w="654" w:type="dxa"/>
            <w:shd w:val="clear" w:color="auto" w:fill="auto"/>
          </w:tcPr>
          <w:p w14:paraId="28BD5125" w14:textId="77777777" w:rsidR="00DB69F5" w:rsidRPr="007B5D81" w:rsidRDefault="00DB69F5" w:rsidP="007B5D81">
            <w:pPr>
              <w:spacing w:before="40" w:after="120"/>
              <w:ind w:right="113"/>
              <w:rPr>
                <w:szCs w:val="18"/>
                <w:lang w:eastAsia="en-US"/>
              </w:rPr>
            </w:pPr>
            <w:r w:rsidRPr="007B5D81">
              <w:rPr>
                <w:szCs w:val="18"/>
                <w:lang w:eastAsia="en-US"/>
              </w:rPr>
              <w:t>9</w:t>
            </w:r>
          </w:p>
        </w:tc>
        <w:tc>
          <w:tcPr>
            <w:tcW w:w="1047" w:type="dxa"/>
            <w:shd w:val="clear" w:color="auto" w:fill="auto"/>
          </w:tcPr>
          <w:p w14:paraId="01DECACB" w14:textId="77777777" w:rsidR="00DB69F5" w:rsidRPr="007B5D81" w:rsidRDefault="00DB69F5" w:rsidP="007B5D81">
            <w:pPr>
              <w:spacing w:before="40" w:after="120"/>
              <w:ind w:right="113"/>
              <w:rPr>
                <w:szCs w:val="18"/>
                <w:lang w:eastAsia="en-US"/>
              </w:rPr>
            </w:pPr>
            <w:bookmarkStart w:id="13" w:name="OLE_LINK3"/>
            <w:r w:rsidRPr="007B5D81">
              <w:rPr>
                <w:szCs w:val="18"/>
                <w:lang w:eastAsia="en-US"/>
              </w:rPr>
              <w:t xml:space="preserve">Informal translations </w:t>
            </w:r>
            <w:r w:rsidRPr="007B5D81">
              <w:rPr>
                <w:szCs w:val="18"/>
                <w:lang w:eastAsia="en-US"/>
              </w:rPr>
              <w:br/>
              <w:t>of informal papers for meetings listed above</w:t>
            </w:r>
            <w:bookmarkEnd w:id="13"/>
          </w:p>
        </w:tc>
        <w:tc>
          <w:tcPr>
            <w:tcW w:w="567" w:type="dxa"/>
            <w:shd w:val="clear" w:color="auto" w:fill="auto"/>
          </w:tcPr>
          <w:p w14:paraId="5B1672C2" w14:textId="77777777" w:rsidR="00DB69F5" w:rsidRPr="007B5D81" w:rsidRDefault="00DB69F5" w:rsidP="007B5D81">
            <w:pPr>
              <w:spacing w:before="40" w:after="120"/>
              <w:ind w:right="113"/>
              <w:rPr>
                <w:szCs w:val="18"/>
                <w:lang w:eastAsia="en-US"/>
              </w:rPr>
            </w:pPr>
            <w:r w:rsidRPr="007B5D81">
              <w:rPr>
                <w:szCs w:val="18"/>
                <w:lang w:eastAsia="en-US"/>
              </w:rPr>
              <w:t>2</w:t>
            </w:r>
          </w:p>
        </w:tc>
        <w:tc>
          <w:tcPr>
            <w:tcW w:w="1090" w:type="dxa"/>
            <w:shd w:val="clear" w:color="auto" w:fill="auto"/>
          </w:tcPr>
          <w:p w14:paraId="073D7258" w14:textId="77777777" w:rsidR="00DB69F5" w:rsidRPr="007B5D81" w:rsidRDefault="00DB69F5" w:rsidP="007B5D81">
            <w:pPr>
              <w:spacing w:before="40" w:after="120"/>
              <w:ind w:right="113"/>
              <w:rPr>
                <w:szCs w:val="18"/>
                <w:lang w:eastAsia="en-US"/>
              </w:rPr>
            </w:pPr>
            <w:bookmarkStart w:id="14" w:name="OLE_LINK4"/>
            <w:r w:rsidRPr="007B5D81">
              <w:rPr>
                <w:szCs w:val="18"/>
                <w:lang w:eastAsia="en-US"/>
              </w:rPr>
              <w:t xml:space="preserve">Translation into Russian of informal papers for </w:t>
            </w:r>
            <w:bookmarkEnd w:id="14"/>
            <w:r w:rsidRPr="007B5D81">
              <w:rPr>
                <w:szCs w:val="18"/>
                <w:lang w:eastAsia="en-US"/>
              </w:rPr>
              <w:t>MOP-5</w:t>
            </w:r>
          </w:p>
        </w:tc>
        <w:tc>
          <w:tcPr>
            <w:tcW w:w="795" w:type="dxa"/>
            <w:shd w:val="clear" w:color="auto" w:fill="auto"/>
          </w:tcPr>
          <w:p w14:paraId="5B5859BB" w14:textId="77777777" w:rsidR="00DB69F5" w:rsidRPr="007B5D81" w:rsidRDefault="00DB69F5" w:rsidP="007B5D81">
            <w:pPr>
              <w:spacing w:before="40" w:after="120"/>
              <w:ind w:right="113"/>
              <w:rPr>
                <w:szCs w:val="18"/>
                <w:lang w:eastAsia="en-US"/>
              </w:rPr>
            </w:pPr>
            <w:r w:rsidRPr="007B5D81">
              <w:rPr>
                <w:szCs w:val="18"/>
                <w:lang w:eastAsia="en-US"/>
              </w:rPr>
              <w:t>Spring 2011</w:t>
            </w:r>
          </w:p>
        </w:tc>
        <w:tc>
          <w:tcPr>
            <w:tcW w:w="1673" w:type="dxa"/>
            <w:shd w:val="clear" w:color="auto" w:fill="auto"/>
          </w:tcPr>
          <w:p w14:paraId="67774AE0" w14:textId="77777777" w:rsidR="00DB69F5" w:rsidRPr="007B5D81" w:rsidRDefault="00DB69F5" w:rsidP="007B5D81">
            <w:pPr>
              <w:spacing w:before="40" w:after="120"/>
              <w:ind w:right="113"/>
              <w:rPr>
                <w:szCs w:val="18"/>
                <w:lang w:eastAsia="en-US"/>
              </w:rPr>
            </w:pPr>
            <w:r w:rsidRPr="007B5D81">
              <w:rPr>
                <w:szCs w:val="18"/>
                <w:lang w:eastAsia="en-US"/>
              </w:rPr>
              <w:t>Switzerland</w:t>
            </w:r>
          </w:p>
        </w:tc>
        <w:tc>
          <w:tcPr>
            <w:tcW w:w="837" w:type="dxa"/>
            <w:shd w:val="clear" w:color="auto" w:fill="auto"/>
          </w:tcPr>
          <w:p w14:paraId="66805B73" w14:textId="77777777" w:rsidR="00DB69F5" w:rsidRPr="007B5D81" w:rsidRDefault="00DB69F5" w:rsidP="007B5D81">
            <w:pPr>
              <w:spacing w:before="40" w:after="120"/>
              <w:ind w:right="113"/>
              <w:rPr>
                <w:szCs w:val="18"/>
                <w:lang w:eastAsia="en-US"/>
              </w:rPr>
            </w:pPr>
            <w:r w:rsidRPr="007B5D81">
              <w:rPr>
                <w:szCs w:val="18"/>
                <w:lang w:eastAsia="en-US"/>
              </w:rPr>
              <w:t>5 000</w:t>
            </w:r>
          </w:p>
        </w:tc>
        <w:tc>
          <w:tcPr>
            <w:tcW w:w="1841" w:type="dxa"/>
            <w:shd w:val="clear" w:color="auto" w:fill="auto"/>
          </w:tcPr>
          <w:p w14:paraId="65413014" w14:textId="77777777" w:rsidR="00DB69F5" w:rsidRPr="007B5D81" w:rsidRDefault="00DB69F5" w:rsidP="007B5D81">
            <w:pPr>
              <w:spacing w:before="40" w:after="120"/>
              <w:ind w:right="113"/>
              <w:rPr>
                <w:szCs w:val="18"/>
                <w:lang w:eastAsia="en-US"/>
              </w:rPr>
            </w:pPr>
          </w:p>
        </w:tc>
      </w:tr>
      <w:tr w:rsidR="007B5D81" w:rsidRPr="007B5D81" w14:paraId="45E3E579" w14:textId="77777777" w:rsidTr="007B5D81">
        <w:tc>
          <w:tcPr>
            <w:tcW w:w="654" w:type="dxa"/>
            <w:shd w:val="clear" w:color="auto" w:fill="auto"/>
          </w:tcPr>
          <w:p w14:paraId="3DFA3C33" w14:textId="77777777" w:rsidR="00DB69F5" w:rsidRPr="007B5D81" w:rsidRDefault="00DB69F5" w:rsidP="007B5D81">
            <w:pPr>
              <w:spacing w:before="40" w:after="120"/>
              <w:ind w:right="113"/>
              <w:rPr>
                <w:szCs w:val="18"/>
                <w:lang w:eastAsia="en-US"/>
              </w:rPr>
            </w:pPr>
            <w:r w:rsidRPr="007B5D81">
              <w:rPr>
                <w:szCs w:val="18"/>
                <w:lang w:eastAsia="en-US"/>
              </w:rPr>
              <w:t>12.3.3</w:t>
            </w:r>
          </w:p>
        </w:tc>
        <w:tc>
          <w:tcPr>
            <w:tcW w:w="1047" w:type="dxa"/>
            <w:shd w:val="clear" w:color="auto" w:fill="auto"/>
          </w:tcPr>
          <w:p w14:paraId="43E451B6" w14:textId="77777777" w:rsidR="00DB69F5" w:rsidRPr="007B5D81" w:rsidRDefault="00DB69F5" w:rsidP="007B5D81">
            <w:pPr>
              <w:spacing w:before="40" w:after="120"/>
              <w:ind w:right="113"/>
              <w:rPr>
                <w:szCs w:val="18"/>
                <w:lang w:eastAsia="en-US"/>
              </w:rPr>
            </w:pPr>
            <w:r w:rsidRPr="007B5D81">
              <w:rPr>
                <w:szCs w:val="18"/>
                <w:lang w:eastAsia="en-US"/>
              </w:rPr>
              <w:t>Compliance with and implementation of the Convention</w:t>
            </w:r>
          </w:p>
        </w:tc>
        <w:tc>
          <w:tcPr>
            <w:tcW w:w="567" w:type="dxa"/>
            <w:shd w:val="clear" w:color="auto" w:fill="auto"/>
          </w:tcPr>
          <w:p w14:paraId="291F7D26" w14:textId="77777777" w:rsidR="00DB69F5" w:rsidRPr="007B5D81" w:rsidRDefault="00DB69F5" w:rsidP="007B5D81">
            <w:pPr>
              <w:spacing w:before="40" w:after="120"/>
              <w:ind w:right="113"/>
              <w:rPr>
                <w:szCs w:val="18"/>
                <w:lang w:eastAsia="en-US"/>
              </w:rPr>
            </w:pPr>
            <w:r w:rsidRPr="007B5D81">
              <w:rPr>
                <w:szCs w:val="18"/>
                <w:lang w:eastAsia="en-US"/>
              </w:rPr>
              <w:t>1</w:t>
            </w:r>
          </w:p>
        </w:tc>
        <w:tc>
          <w:tcPr>
            <w:tcW w:w="1090" w:type="dxa"/>
            <w:shd w:val="clear" w:color="auto" w:fill="auto"/>
          </w:tcPr>
          <w:p w14:paraId="3810DFF7" w14:textId="77777777" w:rsidR="00DB69F5" w:rsidRPr="007B5D81" w:rsidRDefault="00DB69F5" w:rsidP="007B5D81">
            <w:pPr>
              <w:spacing w:before="40" w:after="120"/>
              <w:ind w:right="113"/>
              <w:rPr>
                <w:szCs w:val="18"/>
                <w:lang w:eastAsia="en-US"/>
              </w:rPr>
            </w:pPr>
            <w:r w:rsidRPr="007B5D81">
              <w:rPr>
                <w:szCs w:val="18"/>
                <w:lang w:eastAsia="en-US"/>
              </w:rPr>
              <w:t>Azerbaijan technical assistance for country-specific performance review</w:t>
            </w:r>
          </w:p>
        </w:tc>
        <w:tc>
          <w:tcPr>
            <w:tcW w:w="795" w:type="dxa"/>
            <w:shd w:val="clear" w:color="auto" w:fill="auto"/>
          </w:tcPr>
          <w:p w14:paraId="7A6CD34E" w14:textId="77777777" w:rsidR="00DB69F5" w:rsidRPr="007B5D81" w:rsidRDefault="00DB69F5" w:rsidP="007B5D81">
            <w:pPr>
              <w:spacing w:before="40" w:after="120"/>
              <w:ind w:right="113"/>
              <w:rPr>
                <w:szCs w:val="18"/>
                <w:lang w:eastAsia="en-US"/>
              </w:rPr>
            </w:pPr>
          </w:p>
        </w:tc>
        <w:tc>
          <w:tcPr>
            <w:tcW w:w="1673" w:type="dxa"/>
            <w:shd w:val="clear" w:color="auto" w:fill="auto"/>
          </w:tcPr>
          <w:p w14:paraId="3BF3499A" w14:textId="77777777" w:rsidR="00DB69F5" w:rsidRPr="007B5D81" w:rsidRDefault="00DB69F5" w:rsidP="007B5D81">
            <w:pPr>
              <w:spacing w:before="40" w:after="120"/>
              <w:ind w:right="113"/>
              <w:rPr>
                <w:szCs w:val="18"/>
                <w:lang w:eastAsia="en-US"/>
              </w:rPr>
            </w:pPr>
            <w:r w:rsidRPr="007B5D81">
              <w:rPr>
                <w:szCs w:val="18"/>
                <w:lang w:eastAsia="en-US"/>
              </w:rPr>
              <w:t>Environment and Security Initiative (ENVSEC), with funding from Finland</w:t>
            </w:r>
          </w:p>
        </w:tc>
        <w:tc>
          <w:tcPr>
            <w:tcW w:w="837" w:type="dxa"/>
            <w:shd w:val="clear" w:color="auto" w:fill="auto"/>
          </w:tcPr>
          <w:p w14:paraId="7F5B72EE" w14:textId="77777777" w:rsidR="00DB69F5" w:rsidRPr="007B5D81" w:rsidRDefault="00DB69F5" w:rsidP="007B5D81">
            <w:pPr>
              <w:spacing w:before="40" w:after="120"/>
              <w:ind w:right="113"/>
              <w:rPr>
                <w:szCs w:val="18"/>
                <w:lang w:eastAsia="en-US"/>
              </w:rPr>
            </w:pPr>
            <w:r w:rsidRPr="007B5D81">
              <w:rPr>
                <w:szCs w:val="18"/>
                <w:lang w:eastAsia="en-US"/>
              </w:rPr>
              <w:t>30 000</w:t>
            </w:r>
          </w:p>
        </w:tc>
        <w:tc>
          <w:tcPr>
            <w:tcW w:w="1841" w:type="dxa"/>
            <w:shd w:val="clear" w:color="auto" w:fill="auto"/>
          </w:tcPr>
          <w:p w14:paraId="72551A6E" w14:textId="77777777" w:rsidR="00DB69F5" w:rsidRPr="007B5D81" w:rsidRDefault="00DB69F5" w:rsidP="007B5D81">
            <w:pPr>
              <w:spacing w:before="40" w:after="120"/>
              <w:ind w:right="113"/>
              <w:rPr>
                <w:szCs w:val="18"/>
                <w:lang w:eastAsia="en-US"/>
              </w:rPr>
            </w:pPr>
            <w:r w:rsidRPr="007B5D81">
              <w:rPr>
                <w:szCs w:val="18"/>
                <w:lang w:eastAsia="en-US"/>
              </w:rPr>
              <w:t>Expected to begin in May 2011</w:t>
            </w:r>
          </w:p>
        </w:tc>
      </w:tr>
      <w:tr w:rsidR="007B5D81" w:rsidRPr="007B5D81" w14:paraId="31E4CDD6" w14:textId="77777777" w:rsidTr="007B5D81">
        <w:tc>
          <w:tcPr>
            <w:tcW w:w="654" w:type="dxa"/>
            <w:shd w:val="clear" w:color="auto" w:fill="auto"/>
          </w:tcPr>
          <w:p w14:paraId="52E72201" w14:textId="77777777" w:rsidR="00DB69F5" w:rsidRPr="007B5D81" w:rsidRDefault="00DB69F5" w:rsidP="007B5D81">
            <w:pPr>
              <w:spacing w:before="40" w:after="120"/>
              <w:ind w:right="113"/>
              <w:rPr>
                <w:szCs w:val="18"/>
                <w:lang w:eastAsia="en-US"/>
              </w:rPr>
            </w:pPr>
            <w:r w:rsidRPr="007B5D81">
              <w:rPr>
                <w:szCs w:val="18"/>
                <w:lang w:eastAsia="en-US"/>
              </w:rPr>
              <w:t>13.1.1</w:t>
            </w:r>
          </w:p>
        </w:tc>
        <w:tc>
          <w:tcPr>
            <w:tcW w:w="1047" w:type="dxa"/>
            <w:shd w:val="clear" w:color="auto" w:fill="auto"/>
          </w:tcPr>
          <w:p w14:paraId="08107268" w14:textId="77777777" w:rsidR="00DB69F5" w:rsidRPr="007B5D81" w:rsidRDefault="00DB69F5" w:rsidP="007B5D81">
            <w:pPr>
              <w:spacing w:before="40" w:after="120"/>
              <w:ind w:right="113"/>
              <w:rPr>
                <w:szCs w:val="18"/>
                <w:lang w:eastAsia="en-US"/>
              </w:rPr>
            </w:pPr>
            <w:r w:rsidRPr="007B5D81">
              <w:rPr>
                <w:szCs w:val="18"/>
                <w:lang w:eastAsia="en-US"/>
              </w:rPr>
              <w:t>Subregional cooperation and capacity-building</w:t>
            </w:r>
          </w:p>
        </w:tc>
        <w:tc>
          <w:tcPr>
            <w:tcW w:w="567" w:type="dxa"/>
            <w:shd w:val="clear" w:color="auto" w:fill="auto"/>
          </w:tcPr>
          <w:p w14:paraId="7A01C4C9" w14:textId="77777777" w:rsidR="00DB69F5" w:rsidRPr="007B5D81" w:rsidRDefault="00DB69F5" w:rsidP="007B5D81">
            <w:pPr>
              <w:spacing w:before="40" w:after="120"/>
              <w:ind w:right="113"/>
              <w:rPr>
                <w:szCs w:val="18"/>
                <w:lang w:eastAsia="en-US"/>
              </w:rPr>
            </w:pPr>
            <w:r w:rsidRPr="007B5D81">
              <w:rPr>
                <w:szCs w:val="18"/>
                <w:lang w:eastAsia="en-US"/>
              </w:rPr>
              <w:t>2</w:t>
            </w:r>
          </w:p>
        </w:tc>
        <w:tc>
          <w:tcPr>
            <w:tcW w:w="1090" w:type="dxa"/>
            <w:shd w:val="clear" w:color="auto" w:fill="auto"/>
          </w:tcPr>
          <w:p w14:paraId="30E75E63" w14:textId="77777777" w:rsidR="00DB69F5" w:rsidRPr="007B5D81" w:rsidRDefault="00DB69F5" w:rsidP="007B5D81">
            <w:pPr>
              <w:spacing w:before="40" w:after="120"/>
              <w:ind w:right="113"/>
              <w:rPr>
                <w:szCs w:val="18"/>
                <w:lang w:eastAsia="en-US"/>
              </w:rPr>
            </w:pPr>
            <w:r w:rsidRPr="007B5D81">
              <w:rPr>
                <w:szCs w:val="18"/>
                <w:lang w:eastAsia="en-US"/>
              </w:rPr>
              <w:t>Subregional meetings</w:t>
            </w:r>
          </w:p>
        </w:tc>
        <w:tc>
          <w:tcPr>
            <w:tcW w:w="795" w:type="dxa"/>
            <w:shd w:val="clear" w:color="auto" w:fill="auto"/>
          </w:tcPr>
          <w:p w14:paraId="371CD01C" w14:textId="77777777" w:rsidR="00DB69F5" w:rsidRPr="007B5D81" w:rsidRDefault="00DB69F5" w:rsidP="007B5D81">
            <w:pPr>
              <w:spacing w:before="40" w:after="120"/>
              <w:ind w:right="113"/>
              <w:rPr>
                <w:szCs w:val="18"/>
                <w:lang w:eastAsia="en-US"/>
              </w:rPr>
            </w:pPr>
            <w:r w:rsidRPr="007B5D81">
              <w:rPr>
                <w:szCs w:val="18"/>
                <w:lang w:eastAsia="en-US"/>
              </w:rPr>
              <w:t>3 Dec. 2010</w:t>
            </w:r>
          </w:p>
        </w:tc>
        <w:tc>
          <w:tcPr>
            <w:tcW w:w="1673" w:type="dxa"/>
            <w:shd w:val="clear" w:color="auto" w:fill="auto"/>
          </w:tcPr>
          <w:p w14:paraId="67689B56" w14:textId="77777777" w:rsidR="00DB69F5" w:rsidRPr="007B5D81" w:rsidRDefault="00DB69F5" w:rsidP="007B5D81">
            <w:pPr>
              <w:spacing w:before="40" w:after="120"/>
              <w:ind w:right="113"/>
              <w:rPr>
                <w:szCs w:val="18"/>
                <w:lang w:eastAsia="en-US"/>
              </w:rPr>
            </w:pPr>
            <w:r w:rsidRPr="007B5D81">
              <w:rPr>
                <w:szCs w:val="18"/>
                <w:lang w:eastAsia="en-US"/>
              </w:rPr>
              <w:t>Belarus, ENVSEC (Canada)</w:t>
            </w:r>
          </w:p>
        </w:tc>
        <w:tc>
          <w:tcPr>
            <w:tcW w:w="837" w:type="dxa"/>
            <w:shd w:val="clear" w:color="auto" w:fill="auto"/>
          </w:tcPr>
          <w:p w14:paraId="331C11ED" w14:textId="77777777" w:rsidR="00DB69F5" w:rsidRPr="007B5D81" w:rsidRDefault="00DB69F5" w:rsidP="007B5D81">
            <w:pPr>
              <w:spacing w:before="40" w:after="120"/>
              <w:ind w:right="113"/>
              <w:rPr>
                <w:szCs w:val="18"/>
                <w:lang w:eastAsia="en-US"/>
              </w:rPr>
            </w:pPr>
            <w:r w:rsidRPr="007B5D81">
              <w:rPr>
                <w:szCs w:val="18"/>
                <w:lang w:eastAsia="en-US"/>
              </w:rPr>
              <w:t>20 000</w:t>
            </w:r>
          </w:p>
        </w:tc>
        <w:tc>
          <w:tcPr>
            <w:tcW w:w="1841" w:type="dxa"/>
            <w:shd w:val="clear" w:color="auto" w:fill="auto"/>
          </w:tcPr>
          <w:p w14:paraId="56E88936" w14:textId="77777777" w:rsidR="00DB69F5" w:rsidRPr="007B5D81" w:rsidRDefault="00DB69F5" w:rsidP="007B5D81">
            <w:pPr>
              <w:spacing w:before="40" w:after="120"/>
              <w:ind w:right="113"/>
              <w:rPr>
                <w:szCs w:val="18"/>
                <w:lang w:eastAsia="en-US"/>
              </w:rPr>
            </w:pPr>
            <w:r w:rsidRPr="007B5D81">
              <w:rPr>
                <w:szCs w:val="18"/>
                <w:lang w:eastAsia="en-US"/>
              </w:rPr>
              <w:t>Final conference on pilot project in Belarus (see below)</w:t>
            </w:r>
          </w:p>
        </w:tc>
      </w:tr>
      <w:tr w:rsidR="007B5D81" w:rsidRPr="007B5D81" w14:paraId="3BA82294" w14:textId="77777777" w:rsidTr="007B5D81">
        <w:tc>
          <w:tcPr>
            <w:tcW w:w="654" w:type="dxa"/>
            <w:shd w:val="clear" w:color="auto" w:fill="auto"/>
          </w:tcPr>
          <w:p w14:paraId="31B94FD4" w14:textId="77777777" w:rsidR="00DB69F5" w:rsidRPr="007B5D81" w:rsidRDefault="00DB69F5" w:rsidP="007B5D81">
            <w:pPr>
              <w:spacing w:before="40" w:after="120"/>
              <w:ind w:right="113"/>
              <w:rPr>
                <w:szCs w:val="18"/>
                <w:lang w:eastAsia="en-US"/>
              </w:rPr>
            </w:pPr>
            <w:r w:rsidRPr="007B5D81">
              <w:rPr>
                <w:szCs w:val="18"/>
                <w:lang w:eastAsia="en-US"/>
              </w:rPr>
              <w:t>13.1.2</w:t>
            </w:r>
          </w:p>
        </w:tc>
        <w:tc>
          <w:tcPr>
            <w:tcW w:w="1047" w:type="dxa"/>
            <w:shd w:val="clear" w:color="auto" w:fill="auto"/>
          </w:tcPr>
          <w:p w14:paraId="2D383DA0" w14:textId="77777777" w:rsidR="00DB69F5" w:rsidRPr="007B5D81" w:rsidRDefault="00DB69F5" w:rsidP="007B5D81">
            <w:pPr>
              <w:spacing w:before="40" w:after="120"/>
              <w:ind w:right="113"/>
              <w:rPr>
                <w:szCs w:val="18"/>
                <w:lang w:eastAsia="en-US"/>
              </w:rPr>
            </w:pPr>
          </w:p>
        </w:tc>
        <w:tc>
          <w:tcPr>
            <w:tcW w:w="567" w:type="dxa"/>
            <w:shd w:val="clear" w:color="auto" w:fill="auto"/>
          </w:tcPr>
          <w:p w14:paraId="61A0F326" w14:textId="77777777" w:rsidR="00DB69F5" w:rsidRPr="007B5D81" w:rsidRDefault="00DB69F5" w:rsidP="007B5D81">
            <w:pPr>
              <w:spacing w:before="40" w:after="120"/>
              <w:ind w:right="113"/>
              <w:rPr>
                <w:szCs w:val="18"/>
                <w:lang w:eastAsia="en-US"/>
              </w:rPr>
            </w:pPr>
          </w:p>
        </w:tc>
        <w:tc>
          <w:tcPr>
            <w:tcW w:w="1090" w:type="dxa"/>
            <w:shd w:val="clear" w:color="auto" w:fill="auto"/>
          </w:tcPr>
          <w:p w14:paraId="769CD257" w14:textId="77777777" w:rsidR="00DB69F5" w:rsidRPr="007B5D81" w:rsidRDefault="00DB69F5" w:rsidP="007B5D81">
            <w:pPr>
              <w:spacing w:before="40" w:after="120"/>
              <w:ind w:right="113"/>
              <w:rPr>
                <w:szCs w:val="18"/>
                <w:lang w:eastAsia="en-US"/>
              </w:rPr>
            </w:pPr>
          </w:p>
        </w:tc>
        <w:tc>
          <w:tcPr>
            <w:tcW w:w="795" w:type="dxa"/>
            <w:shd w:val="clear" w:color="auto" w:fill="auto"/>
          </w:tcPr>
          <w:p w14:paraId="793E5621" w14:textId="77777777" w:rsidR="00DB69F5" w:rsidRPr="007B5D81" w:rsidRDefault="00DB69F5" w:rsidP="007B5D81">
            <w:pPr>
              <w:spacing w:before="40" w:after="120"/>
              <w:ind w:right="113"/>
              <w:rPr>
                <w:szCs w:val="18"/>
                <w:lang w:eastAsia="en-US"/>
              </w:rPr>
            </w:pPr>
            <w:r w:rsidRPr="007B5D81">
              <w:rPr>
                <w:szCs w:val="18"/>
                <w:lang w:eastAsia="en-US"/>
              </w:rPr>
              <w:t>25–27 Mar. 2009</w:t>
            </w:r>
          </w:p>
        </w:tc>
        <w:tc>
          <w:tcPr>
            <w:tcW w:w="1673" w:type="dxa"/>
            <w:shd w:val="clear" w:color="auto" w:fill="auto"/>
          </w:tcPr>
          <w:p w14:paraId="677B1A02" w14:textId="77777777" w:rsidR="00DB69F5" w:rsidRPr="007B5D81" w:rsidRDefault="00DB69F5" w:rsidP="007B5D81">
            <w:pPr>
              <w:spacing w:before="40" w:after="120"/>
              <w:ind w:right="113"/>
              <w:rPr>
                <w:szCs w:val="18"/>
                <w:lang w:eastAsia="en-US"/>
              </w:rPr>
            </w:pPr>
            <w:r w:rsidRPr="007B5D81">
              <w:rPr>
                <w:szCs w:val="18"/>
                <w:lang w:eastAsia="en-US"/>
              </w:rPr>
              <w:t>Switzerland</w:t>
            </w:r>
          </w:p>
        </w:tc>
        <w:tc>
          <w:tcPr>
            <w:tcW w:w="837" w:type="dxa"/>
            <w:shd w:val="clear" w:color="auto" w:fill="auto"/>
          </w:tcPr>
          <w:p w14:paraId="78A1BFD3" w14:textId="77777777" w:rsidR="00DB69F5" w:rsidRPr="007B5D81" w:rsidRDefault="00DB69F5" w:rsidP="007B5D81">
            <w:pPr>
              <w:spacing w:before="40" w:after="120"/>
              <w:ind w:right="113"/>
              <w:rPr>
                <w:szCs w:val="18"/>
                <w:lang w:eastAsia="en-US"/>
              </w:rPr>
            </w:pPr>
            <w:r w:rsidRPr="007B5D81">
              <w:rPr>
                <w:szCs w:val="18"/>
                <w:lang w:eastAsia="en-US"/>
              </w:rPr>
              <w:t>20 000</w:t>
            </w:r>
          </w:p>
        </w:tc>
        <w:tc>
          <w:tcPr>
            <w:tcW w:w="1841" w:type="dxa"/>
            <w:shd w:val="clear" w:color="auto" w:fill="auto"/>
          </w:tcPr>
          <w:p w14:paraId="70490094" w14:textId="77777777" w:rsidR="00DB69F5" w:rsidRPr="007B5D81" w:rsidRDefault="00DB69F5" w:rsidP="007B5D81">
            <w:pPr>
              <w:spacing w:before="40" w:after="120"/>
              <w:ind w:right="113"/>
              <w:rPr>
                <w:szCs w:val="18"/>
                <w:lang w:eastAsia="en-US"/>
              </w:rPr>
            </w:pPr>
            <w:r w:rsidRPr="007B5D81">
              <w:rPr>
                <w:szCs w:val="18"/>
                <w:lang w:eastAsia="en-US"/>
              </w:rPr>
              <w:t xml:space="preserve">Subregional workshop (Central Asia), presenting results of </w:t>
            </w:r>
            <w:r w:rsidRPr="007B5D81">
              <w:rPr>
                <w:szCs w:val="18"/>
                <w:lang w:eastAsia="en-US"/>
              </w:rPr>
              <w:lastRenderedPageBreak/>
              <w:t>Kazakhstan-Kyrgyzstan pilot project(s), Bishkek</w:t>
            </w:r>
          </w:p>
        </w:tc>
      </w:tr>
      <w:tr w:rsidR="007B5D81" w:rsidRPr="007B5D81" w14:paraId="1A2C3BC4" w14:textId="77777777" w:rsidTr="007B5D81">
        <w:tc>
          <w:tcPr>
            <w:tcW w:w="654" w:type="dxa"/>
            <w:shd w:val="clear" w:color="auto" w:fill="auto"/>
          </w:tcPr>
          <w:p w14:paraId="3C436880" w14:textId="77777777" w:rsidR="00DB69F5" w:rsidRPr="007B5D81" w:rsidRDefault="00DB69F5" w:rsidP="007B5D81">
            <w:pPr>
              <w:spacing w:before="40" w:after="120"/>
              <w:ind w:right="113"/>
              <w:rPr>
                <w:szCs w:val="18"/>
                <w:lang w:eastAsia="en-US"/>
              </w:rPr>
            </w:pPr>
            <w:r w:rsidRPr="007B5D81">
              <w:rPr>
                <w:szCs w:val="18"/>
                <w:lang w:eastAsia="en-US"/>
              </w:rPr>
              <w:lastRenderedPageBreak/>
              <w:t>13.1.3</w:t>
            </w:r>
          </w:p>
        </w:tc>
        <w:tc>
          <w:tcPr>
            <w:tcW w:w="1047" w:type="dxa"/>
            <w:shd w:val="clear" w:color="auto" w:fill="auto"/>
          </w:tcPr>
          <w:p w14:paraId="010CBD16" w14:textId="77777777" w:rsidR="00DB69F5" w:rsidRPr="007B5D81" w:rsidRDefault="00DB69F5" w:rsidP="007B5D81">
            <w:pPr>
              <w:spacing w:before="40" w:after="120"/>
              <w:ind w:right="113"/>
              <w:rPr>
                <w:szCs w:val="18"/>
                <w:lang w:eastAsia="en-US"/>
              </w:rPr>
            </w:pPr>
          </w:p>
        </w:tc>
        <w:tc>
          <w:tcPr>
            <w:tcW w:w="567" w:type="dxa"/>
            <w:shd w:val="clear" w:color="auto" w:fill="auto"/>
          </w:tcPr>
          <w:p w14:paraId="60BEAC83" w14:textId="77777777" w:rsidR="00DB69F5" w:rsidRPr="007B5D81" w:rsidRDefault="00DB69F5" w:rsidP="007B5D81">
            <w:pPr>
              <w:spacing w:before="40" w:after="120"/>
              <w:ind w:right="113"/>
              <w:rPr>
                <w:szCs w:val="18"/>
                <w:lang w:eastAsia="en-US"/>
              </w:rPr>
            </w:pPr>
          </w:p>
        </w:tc>
        <w:tc>
          <w:tcPr>
            <w:tcW w:w="1090" w:type="dxa"/>
            <w:shd w:val="clear" w:color="auto" w:fill="auto"/>
          </w:tcPr>
          <w:p w14:paraId="0DED0E49" w14:textId="77777777" w:rsidR="00DB69F5" w:rsidRPr="007B5D81" w:rsidRDefault="00DB69F5" w:rsidP="007B5D81">
            <w:pPr>
              <w:spacing w:before="40" w:after="120"/>
              <w:ind w:right="113"/>
              <w:rPr>
                <w:szCs w:val="18"/>
                <w:lang w:eastAsia="en-US"/>
              </w:rPr>
            </w:pPr>
          </w:p>
        </w:tc>
        <w:tc>
          <w:tcPr>
            <w:tcW w:w="795" w:type="dxa"/>
            <w:shd w:val="clear" w:color="auto" w:fill="auto"/>
          </w:tcPr>
          <w:p w14:paraId="5A49CCA7" w14:textId="77777777" w:rsidR="00DB69F5" w:rsidRPr="007B5D81" w:rsidRDefault="00DB69F5" w:rsidP="007B5D81">
            <w:pPr>
              <w:spacing w:before="40" w:after="120"/>
              <w:ind w:right="113"/>
              <w:rPr>
                <w:szCs w:val="18"/>
                <w:lang w:eastAsia="en-US"/>
              </w:rPr>
            </w:pPr>
            <w:r w:rsidRPr="007B5D81">
              <w:rPr>
                <w:szCs w:val="18"/>
                <w:lang w:eastAsia="en-US"/>
              </w:rPr>
              <w:t xml:space="preserve">22–23 </w:t>
            </w:r>
            <w:r w:rsidRPr="007B5D81">
              <w:rPr>
                <w:szCs w:val="18"/>
                <w:lang w:eastAsia="en-US"/>
              </w:rPr>
              <w:br/>
              <w:t>Jul. 2010</w:t>
            </w:r>
          </w:p>
        </w:tc>
        <w:tc>
          <w:tcPr>
            <w:tcW w:w="1673" w:type="dxa"/>
            <w:shd w:val="clear" w:color="auto" w:fill="auto"/>
          </w:tcPr>
          <w:p w14:paraId="5C3CFD1B" w14:textId="77777777" w:rsidR="00DB69F5" w:rsidRPr="007B5D81" w:rsidRDefault="00DB69F5" w:rsidP="007B5D81">
            <w:pPr>
              <w:spacing w:before="40" w:after="120"/>
              <w:ind w:right="113"/>
              <w:rPr>
                <w:szCs w:val="18"/>
                <w:lang w:eastAsia="en-US"/>
              </w:rPr>
            </w:pPr>
            <w:r w:rsidRPr="007B5D81">
              <w:rPr>
                <w:szCs w:val="18"/>
                <w:lang w:eastAsia="en-US"/>
              </w:rPr>
              <w:t>Tajikistan and the German International Cooperation Agency, GIZ</w:t>
            </w:r>
          </w:p>
        </w:tc>
        <w:tc>
          <w:tcPr>
            <w:tcW w:w="837" w:type="dxa"/>
            <w:shd w:val="clear" w:color="auto" w:fill="auto"/>
          </w:tcPr>
          <w:p w14:paraId="2AC6D7DE" w14:textId="77777777" w:rsidR="00DB69F5" w:rsidRPr="007B5D81" w:rsidRDefault="00DB69F5" w:rsidP="007B5D81">
            <w:pPr>
              <w:spacing w:before="40" w:after="120"/>
              <w:ind w:right="113"/>
              <w:rPr>
                <w:szCs w:val="18"/>
                <w:lang w:eastAsia="en-US"/>
              </w:rPr>
            </w:pPr>
            <w:r w:rsidRPr="007B5D81">
              <w:rPr>
                <w:szCs w:val="18"/>
                <w:lang w:eastAsia="en-US"/>
              </w:rPr>
              <w:t>20 000</w:t>
            </w:r>
          </w:p>
        </w:tc>
        <w:tc>
          <w:tcPr>
            <w:tcW w:w="1841" w:type="dxa"/>
            <w:shd w:val="clear" w:color="auto" w:fill="auto"/>
          </w:tcPr>
          <w:p w14:paraId="29541812" w14:textId="77777777" w:rsidR="00DB69F5" w:rsidRPr="007B5D81" w:rsidRDefault="00DB69F5" w:rsidP="007B5D81">
            <w:pPr>
              <w:spacing w:before="40" w:after="120"/>
              <w:ind w:right="113"/>
              <w:rPr>
                <w:szCs w:val="18"/>
                <w:lang w:eastAsia="en-US"/>
              </w:rPr>
            </w:pPr>
            <w:r w:rsidRPr="007B5D81">
              <w:rPr>
                <w:szCs w:val="18"/>
                <w:lang w:eastAsia="en-US"/>
              </w:rPr>
              <w:t>2-day national seminar on legal implementation of the Convention, Dushanbe</w:t>
            </w:r>
          </w:p>
        </w:tc>
      </w:tr>
      <w:tr w:rsidR="007B5D81" w:rsidRPr="007B5D81" w14:paraId="3CE9B846" w14:textId="77777777" w:rsidTr="007B5D81">
        <w:tc>
          <w:tcPr>
            <w:tcW w:w="654" w:type="dxa"/>
            <w:shd w:val="clear" w:color="auto" w:fill="auto"/>
          </w:tcPr>
          <w:p w14:paraId="2DFD7DC9" w14:textId="77777777" w:rsidR="00DB69F5" w:rsidRPr="007B5D81" w:rsidRDefault="00DB69F5" w:rsidP="007B5D81">
            <w:pPr>
              <w:spacing w:before="40" w:after="120"/>
              <w:ind w:right="113"/>
              <w:rPr>
                <w:szCs w:val="18"/>
                <w:lang w:eastAsia="en-US"/>
              </w:rPr>
            </w:pPr>
            <w:r w:rsidRPr="007B5D81">
              <w:rPr>
                <w:szCs w:val="18"/>
                <w:lang w:eastAsia="en-US"/>
              </w:rPr>
              <w:t>13.1.4</w:t>
            </w:r>
          </w:p>
        </w:tc>
        <w:tc>
          <w:tcPr>
            <w:tcW w:w="1047" w:type="dxa"/>
            <w:shd w:val="clear" w:color="auto" w:fill="auto"/>
          </w:tcPr>
          <w:p w14:paraId="70CF489B" w14:textId="77777777" w:rsidR="00DB69F5" w:rsidRPr="007B5D81" w:rsidRDefault="00DB69F5" w:rsidP="007B5D81">
            <w:pPr>
              <w:spacing w:before="40" w:after="120"/>
              <w:ind w:right="113"/>
              <w:rPr>
                <w:szCs w:val="18"/>
                <w:lang w:eastAsia="en-US"/>
              </w:rPr>
            </w:pPr>
          </w:p>
        </w:tc>
        <w:tc>
          <w:tcPr>
            <w:tcW w:w="567" w:type="dxa"/>
            <w:shd w:val="clear" w:color="auto" w:fill="auto"/>
          </w:tcPr>
          <w:p w14:paraId="5B21522D" w14:textId="77777777" w:rsidR="00DB69F5" w:rsidRPr="007B5D81" w:rsidRDefault="00DB69F5" w:rsidP="007B5D81">
            <w:pPr>
              <w:spacing w:before="40" w:after="120"/>
              <w:ind w:right="113"/>
              <w:rPr>
                <w:szCs w:val="18"/>
                <w:lang w:eastAsia="en-US"/>
              </w:rPr>
            </w:pPr>
          </w:p>
        </w:tc>
        <w:tc>
          <w:tcPr>
            <w:tcW w:w="1090" w:type="dxa"/>
            <w:shd w:val="clear" w:color="auto" w:fill="auto"/>
          </w:tcPr>
          <w:p w14:paraId="285A6988" w14:textId="77777777" w:rsidR="00DB69F5" w:rsidRPr="007B5D81" w:rsidRDefault="00DB69F5" w:rsidP="007B5D81">
            <w:pPr>
              <w:spacing w:before="40" w:after="120"/>
              <w:ind w:right="113"/>
              <w:rPr>
                <w:szCs w:val="18"/>
                <w:lang w:eastAsia="en-US"/>
              </w:rPr>
            </w:pPr>
          </w:p>
        </w:tc>
        <w:tc>
          <w:tcPr>
            <w:tcW w:w="795" w:type="dxa"/>
            <w:shd w:val="clear" w:color="auto" w:fill="auto"/>
          </w:tcPr>
          <w:p w14:paraId="2F8F5070" w14:textId="77777777" w:rsidR="00DB69F5" w:rsidRPr="007B5D81" w:rsidRDefault="00DB69F5" w:rsidP="007B5D81">
            <w:pPr>
              <w:spacing w:before="40" w:after="120"/>
              <w:ind w:right="113"/>
              <w:rPr>
                <w:szCs w:val="18"/>
                <w:lang w:eastAsia="en-US"/>
              </w:rPr>
            </w:pPr>
            <w:r w:rsidRPr="007B5D81">
              <w:rPr>
                <w:szCs w:val="18"/>
                <w:lang w:eastAsia="en-US"/>
              </w:rPr>
              <w:t>May 2011</w:t>
            </w:r>
          </w:p>
        </w:tc>
        <w:tc>
          <w:tcPr>
            <w:tcW w:w="1673" w:type="dxa"/>
            <w:shd w:val="clear" w:color="auto" w:fill="auto"/>
          </w:tcPr>
          <w:p w14:paraId="280D9DD9" w14:textId="77777777" w:rsidR="00DB69F5" w:rsidRPr="007B5D81" w:rsidRDefault="00DB69F5" w:rsidP="007B5D81">
            <w:pPr>
              <w:spacing w:before="40" w:after="120"/>
              <w:ind w:right="113"/>
              <w:rPr>
                <w:szCs w:val="18"/>
                <w:lang w:eastAsia="en-US"/>
              </w:rPr>
            </w:pPr>
            <w:r w:rsidRPr="007B5D81">
              <w:rPr>
                <w:szCs w:val="18"/>
                <w:lang w:eastAsia="en-US"/>
              </w:rPr>
              <w:t>ENVSEC, with funding from Finland</w:t>
            </w:r>
          </w:p>
        </w:tc>
        <w:tc>
          <w:tcPr>
            <w:tcW w:w="837" w:type="dxa"/>
            <w:shd w:val="clear" w:color="auto" w:fill="auto"/>
          </w:tcPr>
          <w:p w14:paraId="2D6D5A69" w14:textId="77777777" w:rsidR="00DB69F5" w:rsidRPr="007B5D81" w:rsidRDefault="00DB69F5" w:rsidP="007B5D81">
            <w:pPr>
              <w:spacing w:before="40" w:after="120"/>
              <w:ind w:right="113"/>
              <w:rPr>
                <w:szCs w:val="18"/>
                <w:lang w:eastAsia="en-US"/>
              </w:rPr>
            </w:pPr>
            <w:r w:rsidRPr="007B5D81">
              <w:rPr>
                <w:szCs w:val="18"/>
                <w:lang w:eastAsia="en-US"/>
              </w:rPr>
              <w:t>20 000</w:t>
            </w:r>
          </w:p>
        </w:tc>
        <w:tc>
          <w:tcPr>
            <w:tcW w:w="1841" w:type="dxa"/>
            <w:shd w:val="clear" w:color="auto" w:fill="auto"/>
          </w:tcPr>
          <w:p w14:paraId="57323A0C" w14:textId="77777777" w:rsidR="00DB69F5" w:rsidRPr="007B5D81" w:rsidRDefault="00DB69F5" w:rsidP="007B5D81">
            <w:pPr>
              <w:spacing w:before="40" w:after="120"/>
              <w:ind w:right="113"/>
              <w:rPr>
                <w:szCs w:val="18"/>
                <w:lang w:eastAsia="en-US"/>
              </w:rPr>
            </w:pPr>
            <w:r w:rsidRPr="007B5D81">
              <w:rPr>
                <w:szCs w:val="18"/>
                <w:lang w:eastAsia="en-US"/>
              </w:rPr>
              <w:t>Workshop for the Caucasus subregion expected to be held in Tbilisi in May 2011</w:t>
            </w:r>
          </w:p>
        </w:tc>
      </w:tr>
      <w:tr w:rsidR="007B5D81" w:rsidRPr="007B5D81" w14:paraId="3711DA5D" w14:textId="77777777" w:rsidTr="007B5D81">
        <w:tc>
          <w:tcPr>
            <w:tcW w:w="654" w:type="dxa"/>
            <w:shd w:val="clear" w:color="auto" w:fill="auto"/>
          </w:tcPr>
          <w:p w14:paraId="6D4F2E11" w14:textId="77777777" w:rsidR="00DB69F5" w:rsidRPr="007B5D81" w:rsidRDefault="00DB69F5" w:rsidP="007B5D81">
            <w:pPr>
              <w:spacing w:before="40" w:after="120"/>
              <w:ind w:right="113"/>
              <w:rPr>
                <w:szCs w:val="18"/>
                <w:lang w:eastAsia="en-US"/>
              </w:rPr>
            </w:pPr>
            <w:r w:rsidRPr="007B5D81">
              <w:rPr>
                <w:szCs w:val="18"/>
                <w:lang w:eastAsia="en-US"/>
              </w:rPr>
              <w:t>13.1.5</w:t>
            </w:r>
          </w:p>
        </w:tc>
        <w:tc>
          <w:tcPr>
            <w:tcW w:w="1047" w:type="dxa"/>
            <w:shd w:val="clear" w:color="auto" w:fill="auto"/>
          </w:tcPr>
          <w:p w14:paraId="11A73DD0" w14:textId="77777777" w:rsidR="00DB69F5" w:rsidRPr="007B5D81" w:rsidRDefault="00DB69F5" w:rsidP="007B5D81">
            <w:pPr>
              <w:spacing w:before="40" w:after="120"/>
              <w:ind w:right="113"/>
              <w:rPr>
                <w:szCs w:val="18"/>
                <w:lang w:eastAsia="en-US"/>
              </w:rPr>
            </w:pPr>
          </w:p>
        </w:tc>
        <w:tc>
          <w:tcPr>
            <w:tcW w:w="567" w:type="dxa"/>
            <w:shd w:val="clear" w:color="auto" w:fill="auto"/>
          </w:tcPr>
          <w:p w14:paraId="57FAFCF3" w14:textId="77777777" w:rsidR="00DB69F5" w:rsidRPr="007B5D81" w:rsidRDefault="00DB69F5" w:rsidP="007B5D81">
            <w:pPr>
              <w:spacing w:before="40" w:after="120"/>
              <w:ind w:right="113"/>
              <w:rPr>
                <w:szCs w:val="18"/>
                <w:lang w:eastAsia="en-US"/>
              </w:rPr>
            </w:pPr>
          </w:p>
        </w:tc>
        <w:tc>
          <w:tcPr>
            <w:tcW w:w="1090" w:type="dxa"/>
            <w:shd w:val="clear" w:color="auto" w:fill="auto"/>
          </w:tcPr>
          <w:p w14:paraId="52C6CC72" w14:textId="77777777" w:rsidR="00DB69F5" w:rsidRPr="007B5D81" w:rsidRDefault="00DB69F5" w:rsidP="007B5D81">
            <w:pPr>
              <w:spacing w:before="40" w:after="120"/>
              <w:ind w:right="113"/>
              <w:rPr>
                <w:szCs w:val="18"/>
                <w:lang w:eastAsia="en-US"/>
              </w:rPr>
            </w:pPr>
          </w:p>
        </w:tc>
        <w:tc>
          <w:tcPr>
            <w:tcW w:w="795" w:type="dxa"/>
            <w:shd w:val="clear" w:color="auto" w:fill="auto"/>
          </w:tcPr>
          <w:p w14:paraId="2F9E06E9" w14:textId="77777777" w:rsidR="00DB69F5" w:rsidRPr="007B5D81" w:rsidRDefault="00DB69F5" w:rsidP="007B5D81">
            <w:pPr>
              <w:spacing w:before="40" w:after="120"/>
              <w:ind w:right="113"/>
              <w:rPr>
                <w:szCs w:val="18"/>
                <w:lang w:eastAsia="en-US"/>
              </w:rPr>
            </w:pPr>
            <w:r w:rsidRPr="007B5D81">
              <w:rPr>
                <w:szCs w:val="18"/>
                <w:lang w:eastAsia="en-US"/>
              </w:rPr>
              <w:t>1 Nov. 2010</w:t>
            </w:r>
          </w:p>
        </w:tc>
        <w:tc>
          <w:tcPr>
            <w:tcW w:w="1673" w:type="dxa"/>
            <w:shd w:val="clear" w:color="auto" w:fill="auto"/>
          </w:tcPr>
          <w:p w14:paraId="5C7BD5C9" w14:textId="77777777" w:rsidR="00DB69F5" w:rsidRPr="007B5D81" w:rsidRDefault="00DB69F5" w:rsidP="007B5D81">
            <w:pPr>
              <w:spacing w:before="40" w:after="120"/>
              <w:ind w:right="113"/>
              <w:rPr>
                <w:szCs w:val="18"/>
                <w:lang w:eastAsia="en-US"/>
              </w:rPr>
            </w:pPr>
            <w:r w:rsidRPr="007B5D81">
              <w:rPr>
                <w:szCs w:val="18"/>
                <w:lang w:eastAsia="en-US"/>
              </w:rPr>
              <w:t>Regional Environmental Centre for Central and Eastern Europe, with support of Netherlands</w:t>
            </w:r>
          </w:p>
        </w:tc>
        <w:tc>
          <w:tcPr>
            <w:tcW w:w="837" w:type="dxa"/>
            <w:shd w:val="clear" w:color="auto" w:fill="auto"/>
          </w:tcPr>
          <w:p w14:paraId="15C56241" w14:textId="77777777" w:rsidR="00DB69F5" w:rsidRPr="007B5D81" w:rsidRDefault="00DB69F5" w:rsidP="007B5D81">
            <w:pPr>
              <w:spacing w:before="40" w:after="120"/>
              <w:ind w:right="113"/>
              <w:rPr>
                <w:szCs w:val="18"/>
                <w:lang w:eastAsia="en-US"/>
              </w:rPr>
            </w:pPr>
            <w:r w:rsidRPr="007B5D81">
              <w:rPr>
                <w:szCs w:val="18"/>
                <w:lang w:eastAsia="en-US"/>
              </w:rPr>
              <w:t>20 000</w:t>
            </w:r>
          </w:p>
        </w:tc>
        <w:tc>
          <w:tcPr>
            <w:tcW w:w="1841" w:type="dxa"/>
            <w:shd w:val="clear" w:color="auto" w:fill="auto"/>
          </w:tcPr>
          <w:p w14:paraId="5057101C" w14:textId="77777777" w:rsidR="00DB69F5" w:rsidRPr="007B5D81" w:rsidRDefault="00DB69F5" w:rsidP="007B5D81">
            <w:pPr>
              <w:spacing w:before="40" w:after="120"/>
              <w:ind w:right="113"/>
              <w:rPr>
                <w:szCs w:val="18"/>
                <w:lang w:eastAsia="en-US"/>
              </w:rPr>
            </w:pPr>
            <w:r w:rsidRPr="007B5D81">
              <w:rPr>
                <w:szCs w:val="18"/>
                <w:lang w:eastAsia="en-US"/>
              </w:rPr>
              <w:t>Seminar on EIA of a very large energy project in the Black Sea area</w:t>
            </w:r>
          </w:p>
        </w:tc>
      </w:tr>
      <w:tr w:rsidR="007B5D81" w:rsidRPr="007B5D81" w14:paraId="505B1DF9" w14:textId="77777777" w:rsidTr="007B5D81">
        <w:tc>
          <w:tcPr>
            <w:tcW w:w="654" w:type="dxa"/>
            <w:shd w:val="clear" w:color="auto" w:fill="auto"/>
          </w:tcPr>
          <w:p w14:paraId="42F2F39B" w14:textId="77777777" w:rsidR="00DB69F5" w:rsidRPr="007B5D81" w:rsidRDefault="00DB69F5" w:rsidP="007B5D81">
            <w:pPr>
              <w:spacing w:before="40" w:after="120"/>
              <w:ind w:right="113"/>
              <w:rPr>
                <w:szCs w:val="18"/>
                <w:lang w:eastAsia="en-US"/>
              </w:rPr>
            </w:pPr>
            <w:r w:rsidRPr="007B5D81">
              <w:rPr>
                <w:szCs w:val="18"/>
                <w:lang w:eastAsia="en-US"/>
              </w:rPr>
              <w:t>13.1.6</w:t>
            </w:r>
          </w:p>
        </w:tc>
        <w:tc>
          <w:tcPr>
            <w:tcW w:w="1047" w:type="dxa"/>
            <w:shd w:val="clear" w:color="auto" w:fill="auto"/>
          </w:tcPr>
          <w:p w14:paraId="7D7868A2" w14:textId="77777777" w:rsidR="00DB69F5" w:rsidRPr="007B5D81" w:rsidRDefault="00DB69F5" w:rsidP="007B5D81">
            <w:pPr>
              <w:spacing w:before="40" w:after="120"/>
              <w:ind w:right="113"/>
              <w:rPr>
                <w:szCs w:val="18"/>
                <w:lang w:eastAsia="en-US"/>
              </w:rPr>
            </w:pPr>
          </w:p>
        </w:tc>
        <w:tc>
          <w:tcPr>
            <w:tcW w:w="567" w:type="dxa"/>
            <w:shd w:val="clear" w:color="auto" w:fill="auto"/>
          </w:tcPr>
          <w:p w14:paraId="0F52FB34" w14:textId="77777777" w:rsidR="00DB69F5" w:rsidRPr="007B5D81" w:rsidRDefault="00DB69F5" w:rsidP="007B5D81">
            <w:pPr>
              <w:spacing w:before="40" w:after="120"/>
              <w:ind w:right="113"/>
              <w:rPr>
                <w:szCs w:val="18"/>
                <w:lang w:eastAsia="en-US"/>
              </w:rPr>
            </w:pPr>
          </w:p>
        </w:tc>
        <w:tc>
          <w:tcPr>
            <w:tcW w:w="1090" w:type="dxa"/>
            <w:shd w:val="clear" w:color="auto" w:fill="auto"/>
          </w:tcPr>
          <w:p w14:paraId="7D7BA02D" w14:textId="77777777" w:rsidR="00DB69F5" w:rsidRPr="007B5D81" w:rsidRDefault="00DB69F5" w:rsidP="007B5D81">
            <w:pPr>
              <w:spacing w:before="40" w:after="120"/>
              <w:ind w:right="113"/>
              <w:rPr>
                <w:szCs w:val="18"/>
                <w:lang w:eastAsia="en-US"/>
              </w:rPr>
            </w:pPr>
          </w:p>
        </w:tc>
        <w:tc>
          <w:tcPr>
            <w:tcW w:w="795" w:type="dxa"/>
            <w:shd w:val="clear" w:color="auto" w:fill="auto"/>
          </w:tcPr>
          <w:p w14:paraId="0ABCD796" w14:textId="77777777" w:rsidR="00DB69F5" w:rsidRPr="007B5D81" w:rsidRDefault="00DB69F5" w:rsidP="007B5D81">
            <w:pPr>
              <w:spacing w:before="40" w:after="120"/>
              <w:ind w:right="113"/>
              <w:rPr>
                <w:szCs w:val="18"/>
                <w:lang w:eastAsia="en-US"/>
              </w:rPr>
            </w:pPr>
            <w:r w:rsidRPr="007B5D81">
              <w:rPr>
                <w:szCs w:val="18"/>
                <w:lang w:eastAsia="en-US"/>
              </w:rPr>
              <w:t>17–19 Nov. 2008</w:t>
            </w:r>
          </w:p>
        </w:tc>
        <w:tc>
          <w:tcPr>
            <w:tcW w:w="1673" w:type="dxa"/>
            <w:shd w:val="clear" w:color="auto" w:fill="auto"/>
          </w:tcPr>
          <w:p w14:paraId="09A74513" w14:textId="77777777" w:rsidR="00DB69F5" w:rsidRPr="007B5D81" w:rsidRDefault="00DB69F5" w:rsidP="007B5D81">
            <w:pPr>
              <w:spacing w:before="40" w:after="120"/>
              <w:ind w:right="113"/>
              <w:rPr>
                <w:szCs w:val="18"/>
                <w:lang w:eastAsia="en-US"/>
              </w:rPr>
            </w:pPr>
            <w:r w:rsidRPr="007B5D81">
              <w:rPr>
                <w:szCs w:val="18"/>
                <w:lang w:eastAsia="en-US"/>
              </w:rPr>
              <w:t>Bulgaria, and workshop participants</w:t>
            </w:r>
          </w:p>
        </w:tc>
        <w:tc>
          <w:tcPr>
            <w:tcW w:w="837" w:type="dxa"/>
            <w:shd w:val="clear" w:color="auto" w:fill="auto"/>
          </w:tcPr>
          <w:p w14:paraId="7111AA7D" w14:textId="77777777" w:rsidR="00DB69F5" w:rsidRPr="007B5D81" w:rsidRDefault="00DB69F5" w:rsidP="007B5D81">
            <w:pPr>
              <w:spacing w:before="40" w:after="120"/>
              <w:ind w:right="113"/>
              <w:rPr>
                <w:szCs w:val="18"/>
                <w:lang w:eastAsia="en-US"/>
              </w:rPr>
            </w:pPr>
            <w:r w:rsidRPr="007B5D81">
              <w:rPr>
                <w:szCs w:val="18"/>
                <w:lang w:eastAsia="en-US"/>
              </w:rPr>
              <w:t>20 000</w:t>
            </w:r>
          </w:p>
        </w:tc>
        <w:tc>
          <w:tcPr>
            <w:tcW w:w="1841" w:type="dxa"/>
            <w:shd w:val="clear" w:color="auto" w:fill="auto"/>
          </w:tcPr>
          <w:p w14:paraId="4DC66D47" w14:textId="77777777" w:rsidR="00DB69F5" w:rsidRPr="007B5D81" w:rsidRDefault="00DB69F5" w:rsidP="007B5D81">
            <w:pPr>
              <w:spacing w:before="40" w:after="120"/>
              <w:ind w:right="113"/>
              <w:rPr>
                <w:szCs w:val="18"/>
                <w:lang w:eastAsia="en-US"/>
              </w:rPr>
            </w:pPr>
            <w:r w:rsidRPr="007B5D81">
              <w:rPr>
                <w:szCs w:val="18"/>
                <w:lang w:eastAsia="en-US"/>
              </w:rPr>
              <w:t>South-Eastern Europe subregion — Meeting, on the relationship between EIA and SEA, Koprivshtitsa (Bulgaria)</w:t>
            </w:r>
          </w:p>
        </w:tc>
      </w:tr>
      <w:tr w:rsidR="007B5D81" w:rsidRPr="007B5D81" w14:paraId="4F6F5E2E" w14:textId="77777777" w:rsidTr="007B5D81">
        <w:tc>
          <w:tcPr>
            <w:tcW w:w="654" w:type="dxa"/>
            <w:shd w:val="clear" w:color="auto" w:fill="auto"/>
          </w:tcPr>
          <w:p w14:paraId="5299C9D9" w14:textId="77777777" w:rsidR="00DB69F5" w:rsidRPr="007B5D81" w:rsidRDefault="00DB69F5" w:rsidP="007B5D81">
            <w:pPr>
              <w:spacing w:before="40" w:after="120"/>
              <w:ind w:right="113"/>
              <w:rPr>
                <w:szCs w:val="18"/>
                <w:lang w:eastAsia="en-US"/>
              </w:rPr>
            </w:pPr>
            <w:r w:rsidRPr="007B5D81">
              <w:rPr>
                <w:szCs w:val="18"/>
                <w:lang w:eastAsia="en-US"/>
              </w:rPr>
              <w:t>13.1.7</w:t>
            </w:r>
          </w:p>
        </w:tc>
        <w:tc>
          <w:tcPr>
            <w:tcW w:w="1047" w:type="dxa"/>
            <w:shd w:val="clear" w:color="auto" w:fill="auto"/>
          </w:tcPr>
          <w:p w14:paraId="70E1755A" w14:textId="77777777" w:rsidR="00DB69F5" w:rsidRPr="007B5D81" w:rsidRDefault="00DB69F5" w:rsidP="007B5D81">
            <w:pPr>
              <w:spacing w:before="40" w:after="120"/>
              <w:ind w:right="113"/>
              <w:rPr>
                <w:szCs w:val="18"/>
                <w:lang w:eastAsia="en-US"/>
              </w:rPr>
            </w:pPr>
          </w:p>
        </w:tc>
        <w:tc>
          <w:tcPr>
            <w:tcW w:w="567" w:type="dxa"/>
            <w:shd w:val="clear" w:color="auto" w:fill="auto"/>
          </w:tcPr>
          <w:p w14:paraId="145FF0A3" w14:textId="77777777" w:rsidR="00DB69F5" w:rsidRPr="007B5D81" w:rsidRDefault="00DB69F5" w:rsidP="007B5D81">
            <w:pPr>
              <w:spacing w:before="40" w:after="120"/>
              <w:ind w:right="113"/>
              <w:rPr>
                <w:szCs w:val="18"/>
                <w:lang w:eastAsia="en-US"/>
              </w:rPr>
            </w:pPr>
          </w:p>
        </w:tc>
        <w:tc>
          <w:tcPr>
            <w:tcW w:w="1090" w:type="dxa"/>
            <w:shd w:val="clear" w:color="auto" w:fill="auto"/>
          </w:tcPr>
          <w:p w14:paraId="3F9F6944" w14:textId="77777777" w:rsidR="00DB69F5" w:rsidRPr="007B5D81" w:rsidRDefault="00DB69F5" w:rsidP="007B5D81">
            <w:pPr>
              <w:spacing w:before="40" w:after="120"/>
              <w:ind w:right="113"/>
              <w:rPr>
                <w:szCs w:val="18"/>
                <w:lang w:eastAsia="en-US"/>
              </w:rPr>
            </w:pPr>
          </w:p>
        </w:tc>
        <w:tc>
          <w:tcPr>
            <w:tcW w:w="795" w:type="dxa"/>
            <w:shd w:val="clear" w:color="auto" w:fill="auto"/>
          </w:tcPr>
          <w:p w14:paraId="61963D8D" w14:textId="77777777" w:rsidR="00DB69F5" w:rsidRPr="007B5D81" w:rsidRDefault="00DB69F5" w:rsidP="007B5D81">
            <w:pPr>
              <w:spacing w:before="40" w:after="120"/>
              <w:ind w:right="113"/>
              <w:rPr>
                <w:szCs w:val="18"/>
                <w:lang w:eastAsia="en-US"/>
              </w:rPr>
            </w:pPr>
            <w:r w:rsidRPr="007B5D81">
              <w:rPr>
                <w:szCs w:val="18"/>
                <w:lang w:eastAsia="en-US"/>
              </w:rPr>
              <w:t>22–23 Oct. 2009</w:t>
            </w:r>
          </w:p>
        </w:tc>
        <w:tc>
          <w:tcPr>
            <w:tcW w:w="1673" w:type="dxa"/>
            <w:shd w:val="clear" w:color="auto" w:fill="auto"/>
          </w:tcPr>
          <w:p w14:paraId="5BC440FC" w14:textId="77777777" w:rsidR="00DB69F5" w:rsidRPr="007B5D81" w:rsidRDefault="00DB69F5" w:rsidP="007B5D81">
            <w:pPr>
              <w:spacing w:before="40" w:after="120"/>
              <w:ind w:right="113"/>
              <w:rPr>
                <w:szCs w:val="18"/>
                <w:lang w:eastAsia="en-US"/>
              </w:rPr>
            </w:pPr>
            <w:r w:rsidRPr="007B5D81">
              <w:rPr>
                <w:szCs w:val="18"/>
                <w:lang w:eastAsia="en-US"/>
              </w:rPr>
              <w:t>Sweden, and workshop participants</w:t>
            </w:r>
          </w:p>
        </w:tc>
        <w:tc>
          <w:tcPr>
            <w:tcW w:w="837" w:type="dxa"/>
            <w:shd w:val="clear" w:color="auto" w:fill="auto"/>
          </w:tcPr>
          <w:p w14:paraId="12FDD991" w14:textId="77777777" w:rsidR="00DB69F5" w:rsidRPr="007B5D81" w:rsidRDefault="00DB69F5" w:rsidP="007B5D81">
            <w:pPr>
              <w:spacing w:before="40" w:after="120"/>
              <w:ind w:right="113"/>
              <w:rPr>
                <w:szCs w:val="18"/>
                <w:lang w:eastAsia="en-US"/>
              </w:rPr>
            </w:pPr>
            <w:r w:rsidRPr="007B5D81">
              <w:rPr>
                <w:szCs w:val="18"/>
                <w:lang w:eastAsia="en-US"/>
              </w:rPr>
              <w:t>20 000</w:t>
            </w:r>
          </w:p>
        </w:tc>
        <w:tc>
          <w:tcPr>
            <w:tcW w:w="1841" w:type="dxa"/>
            <w:shd w:val="clear" w:color="auto" w:fill="auto"/>
          </w:tcPr>
          <w:p w14:paraId="2F90573C" w14:textId="77777777" w:rsidR="00DB69F5" w:rsidRPr="007B5D81" w:rsidRDefault="00DB69F5" w:rsidP="007B5D81">
            <w:pPr>
              <w:spacing w:before="40" w:after="120"/>
              <w:ind w:right="113"/>
              <w:rPr>
                <w:szCs w:val="18"/>
                <w:lang w:eastAsia="en-US"/>
              </w:rPr>
            </w:pPr>
            <w:r w:rsidRPr="007B5D81">
              <w:rPr>
                <w:szCs w:val="18"/>
                <w:lang w:eastAsia="en-US"/>
              </w:rPr>
              <w:t>Baltic Sea subregion — workshop, Vilnius</w:t>
            </w:r>
          </w:p>
        </w:tc>
      </w:tr>
      <w:tr w:rsidR="007B5D81" w:rsidRPr="007B5D81" w14:paraId="1876087B" w14:textId="77777777" w:rsidTr="007B5D81">
        <w:tc>
          <w:tcPr>
            <w:tcW w:w="654" w:type="dxa"/>
            <w:shd w:val="clear" w:color="auto" w:fill="auto"/>
          </w:tcPr>
          <w:p w14:paraId="7E7CEC30" w14:textId="77777777" w:rsidR="00DB69F5" w:rsidRPr="007B5D81" w:rsidRDefault="00DB69F5" w:rsidP="007B5D81">
            <w:pPr>
              <w:spacing w:before="40" w:after="120"/>
              <w:ind w:right="113"/>
              <w:rPr>
                <w:szCs w:val="18"/>
                <w:lang w:eastAsia="en-US"/>
              </w:rPr>
            </w:pPr>
            <w:r w:rsidRPr="007B5D81">
              <w:rPr>
                <w:szCs w:val="18"/>
                <w:lang w:eastAsia="en-US"/>
              </w:rPr>
              <w:t>13.1.8</w:t>
            </w:r>
          </w:p>
        </w:tc>
        <w:tc>
          <w:tcPr>
            <w:tcW w:w="1047" w:type="dxa"/>
            <w:shd w:val="clear" w:color="auto" w:fill="auto"/>
          </w:tcPr>
          <w:p w14:paraId="197DF9B5" w14:textId="77777777" w:rsidR="00DB69F5" w:rsidRPr="007B5D81" w:rsidRDefault="00DB69F5" w:rsidP="007B5D81">
            <w:pPr>
              <w:spacing w:before="40" w:after="120"/>
              <w:ind w:right="113"/>
              <w:rPr>
                <w:szCs w:val="18"/>
                <w:lang w:eastAsia="en-US"/>
              </w:rPr>
            </w:pPr>
          </w:p>
        </w:tc>
        <w:tc>
          <w:tcPr>
            <w:tcW w:w="567" w:type="dxa"/>
            <w:shd w:val="clear" w:color="auto" w:fill="auto"/>
          </w:tcPr>
          <w:p w14:paraId="10E1496F" w14:textId="77777777" w:rsidR="00DB69F5" w:rsidRPr="007B5D81" w:rsidRDefault="00DB69F5" w:rsidP="007B5D81">
            <w:pPr>
              <w:spacing w:before="40" w:after="120"/>
              <w:ind w:right="113"/>
              <w:rPr>
                <w:szCs w:val="18"/>
                <w:lang w:eastAsia="en-US"/>
              </w:rPr>
            </w:pPr>
          </w:p>
        </w:tc>
        <w:tc>
          <w:tcPr>
            <w:tcW w:w="1090" w:type="dxa"/>
            <w:shd w:val="clear" w:color="auto" w:fill="auto"/>
          </w:tcPr>
          <w:p w14:paraId="2DCACF0A" w14:textId="77777777" w:rsidR="00DB69F5" w:rsidRPr="007B5D81" w:rsidRDefault="00DB69F5" w:rsidP="007B5D81">
            <w:pPr>
              <w:spacing w:before="40" w:after="120"/>
              <w:ind w:right="113"/>
              <w:rPr>
                <w:szCs w:val="18"/>
                <w:lang w:eastAsia="en-US"/>
              </w:rPr>
            </w:pPr>
          </w:p>
        </w:tc>
        <w:tc>
          <w:tcPr>
            <w:tcW w:w="795" w:type="dxa"/>
            <w:shd w:val="clear" w:color="auto" w:fill="auto"/>
          </w:tcPr>
          <w:p w14:paraId="58757073" w14:textId="77777777" w:rsidR="00DB69F5" w:rsidRPr="007B5D81" w:rsidRDefault="00DB69F5" w:rsidP="007B5D81">
            <w:pPr>
              <w:spacing w:before="40" w:after="120"/>
              <w:ind w:right="113"/>
              <w:rPr>
                <w:szCs w:val="18"/>
                <w:lang w:eastAsia="en-US"/>
              </w:rPr>
            </w:pPr>
            <w:r w:rsidRPr="007B5D81">
              <w:rPr>
                <w:szCs w:val="18"/>
                <w:lang w:eastAsia="en-US"/>
              </w:rPr>
              <w:t>31 Mar.–1 Apr. 2011</w:t>
            </w:r>
          </w:p>
        </w:tc>
        <w:tc>
          <w:tcPr>
            <w:tcW w:w="1673" w:type="dxa"/>
            <w:shd w:val="clear" w:color="auto" w:fill="auto"/>
          </w:tcPr>
          <w:p w14:paraId="2C67C000" w14:textId="77777777" w:rsidR="00DB69F5" w:rsidRPr="007B5D81" w:rsidRDefault="00DB69F5" w:rsidP="007B5D81">
            <w:pPr>
              <w:spacing w:before="40" w:after="120"/>
              <w:ind w:right="113"/>
              <w:rPr>
                <w:szCs w:val="18"/>
                <w:lang w:eastAsia="en-US"/>
              </w:rPr>
            </w:pPr>
            <w:r w:rsidRPr="007B5D81">
              <w:rPr>
                <w:szCs w:val="18"/>
                <w:lang w:eastAsia="en-US"/>
              </w:rPr>
              <w:t>Lead countries, workshop participants</w:t>
            </w:r>
          </w:p>
        </w:tc>
        <w:tc>
          <w:tcPr>
            <w:tcW w:w="837" w:type="dxa"/>
            <w:shd w:val="clear" w:color="auto" w:fill="auto"/>
          </w:tcPr>
          <w:p w14:paraId="233D79C6" w14:textId="77777777" w:rsidR="00DB69F5" w:rsidRPr="007B5D81" w:rsidRDefault="00DB69F5" w:rsidP="007B5D81">
            <w:pPr>
              <w:spacing w:before="40" w:after="120"/>
              <w:ind w:right="113"/>
              <w:rPr>
                <w:szCs w:val="18"/>
                <w:lang w:eastAsia="en-US"/>
              </w:rPr>
            </w:pPr>
            <w:r w:rsidRPr="007B5D81">
              <w:rPr>
                <w:szCs w:val="18"/>
                <w:lang w:eastAsia="en-US"/>
              </w:rPr>
              <w:t>20 000</w:t>
            </w:r>
          </w:p>
        </w:tc>
        <w:tc>
          <w:tcPr>
            <w:tcW w:w="1841" w:type="dxa"/>
            <w:shd w:val="clear" w:color="auto" w:fill="auto"/>
          </w:tcPr>
          <w:p w14:paraId="08755622" w14:textId="77777777" w:rsidR="00DB69F5" w:rsidRPr="007B5D81" w:rsidRDefault="00DB69F5" w:rsidP="007B5D81">
            <w:pPr>
              <w:spacing w:before="40" w:after="120"/>
              <w:ind w:right="113"/>
              <w:rPr>
                <w:szCs w:val="18"/>
                <w:lang w:eastAsia="en-US"/>
              </w:rPr>
            </w:pPr>
            <w:r w:rsidRPr="007B5D81">
              <w:rPr>
                <w:szCs w:val="18"/>
                <w:lang w:eastAsia="en-US"/>
              </w:rPr>
              <w:t>Baltic Sea subregion — workshop, Espoo (Finland)</w:t>
            </w:r>
          </w:p>
        </w:tc>
      </w:tr>
      <w:tr w:rsidR="007B5D81" w:rsidRPr="007B5D81" w14:paraId="01E0DCEA" w14:textId="77777777" w:rsidTr="007B5D81">
        <w:tc>
          <w:tcPr>
            <w:tcW w:w="654" w:type="dxa"/>
            <w:shd w:val="clear" w:color="auto" w:fill="auto"/>
          </w:tcPr>
          <w:p w14:paraId="03301E05" w14:textId="77777777" w:rsidR="00DB69F5" w:rsidRPr="007B5D81" w:rsidRDefault="00DB69F5" w:rsidP="007B5D81">
            <w:pPr>
              <w:spacing w:before="40" w:after="120"/>
              <w:ind w:right="113"/>
              <w:rPr>
                <w:szCs w:val="18"/>
                <w:lang w:eastAsia="en-US"/>
              </w:rPr>
            </w:pPr>
            <w:r w:rsidRPr="007B5D81">
              <w:rPr>
                <w:szCs w:val="18"/>
                <w:lang w:eastAsia="en-US"/>
              </w:rPr>
              <w:t>13.2.1</w:t>
            </w:r>
          </w:p>
        </w:tc>
        <w:tc>
          <w:tcPr>
            <w:tcW w:w="1047" w:type="dxa"/>
            <w:shd w:val="clear" w:color="auto" w:fill="auto"/>
          </w:tcPr>
          <w:p w14:paraId="67FC564B" w14:textId="77777777" w:rsidR="00DB69F5" w:rsidRPr="007B5D81" w:rsidRDefault="00DB69F5" w:rsidP="007B5D81">
            <w:pPr>
              <w:spacing w:before="40" w:after="120"/>
              <w:ind w:right="113"/>
              <w:rPr>
                <w:szCs w:val="18"/>
                <w:lang w:eastAsia="en-US"/>
              </w:rPr>
            </w:pPr>
          </w:p>
        </w:tc>
        <w:tc>
          <w:tcPr>
            <w:tcW w:w="567" w:type="dxa"/>
            <w:shd w:val="clear" w:color="auto" w:fill="auto"/>
          </w:tcPr>
          <w:p w14:paraId="56876918" w14:textId="77777777" w:rsidR="00DB69F5" w:rsidRPr="007B5D81" w:rsidRDefault="00DB69F5" w:rsidP="007B5D81">
            <w:pPr>
              <w:spacing w:before="40" w:after="120"/>
              <w:ind w:right="113"/>
              <w:rPr>
                <w:szCs w:val="18"/>
                <w:lang w:eastAsia="en-US"/>
              </w:rPr>
            </w:pPr>
          </w:p>
        </w:tc>
        <w:tc>
          <w:tcPr>
            <w:tcW w:w="1090" w:type="dxa"/>
            <w:shd w:val="clear" w:color="auto" w:fill="auto"/>
          </w:tcPr>
          <w:p w14:paraId="23D79324" w14:textId="77777777" w:rsidR="00DB69F5" w:rsidRPr="007B5D81" w:rsidRDefault="00DB69F5" w:rsidP="007B5D81">
            <w:pPr>
              <w:spacing w:before="40" w:after="120"/>
              <w:ind w:right="113"/>
              <w:rPr>
                <w:szCs w:val="18"/>
                <w:lang w:eastAsia="en-US"/>
              </w:rPr>
            </w:pPr>
            <w:r w:rsidRPr="007B5D81">
              <w:rPr>
                <w:szCs w:val="18"/>
                <w:lang w:eastAsia="en-US"/>
              </w:rPr>
              <w:t>Pilot projects</w:t>
            </w:r>
          </w:p>
        </w:tc>
        <w:tc>
          <w:tcPr>
            <w:tcW w:w="795" w:type="dxa"/>
            <w:shd w:val="clear" w:color="auto" w:fill="auto"/>
          </w:tcPr>
          <w:p w14:paraId="20348241" w14:textId="77777777" w:rsidR="00DB69F5" w:rsidRPr="007B5D81" w:rsidRDefault="00DB69F5" w:rsidP="007B5D81">
            <w:pPr>
              <w:spacing w:before="40" w:after="120"/>
              <w:ind w:right="113"/>
              <w:rPr>
                <w:szCs w:val="18"/>
                <w:lang w:eastAsia="en-US"/>
              </w:rPr>
            </w:pPr>
            <w:r w:rsidRPr="007B5D81">
              <w:rPr>
                <w:szCs w:val="18"/>
                <w:lang w:eastAsia="en-US"/>
              </w:rPr>
              <w:t>2009–2010</w:t>
            </w:r>
          </w:p>
        </w:tc>
        <w:tc>
          <w:tcPr>
            <w:tcW w:w="1673" w:type="dxa"/>
            <w:shd w:val="clear" w:color="auto" w:fill="auto"/>
          </w:tcPr>
          <w:p w14:paraId="1975B79B" w14:textId="77777777" w:rsidR="00DB69F5" w:rsidRPr="007B5D81" w:rsidRDefault="00DB69F5" w:rsidP="007B5D81">
            <w:pPr>
              <w:spacing w:before="40" w:after="120"/>
              <w:ind w:right="113"/>
              <w:rPr>
                <w:szCs w:val="18"/>
                <w:lang w:eastAsia="en-US"/>
              </w:rPr>
            </w:pPr>
            <w:r w:rsidRPr="007B5D81">
              <w:rPr>
                <w:szCs w:val="18"/>
                <w:lang w:eastAsia="en-US"/>
              </w:rPr>
              <w:t>Belarus, ENVSEC, with funding from Canada</w:t>
            </w:r>
          </w:p>
        </w:tc>
        <w:tc>
          <w:tcPr>
            <w:tcW w:w="837" w:type="dxa"/>
            <w:shd w:val="clear" w:color="auto" w:fill="auto"/>
          </w:tcPr>
          <w:p w14:paraId="54116D6E" w14:textId="77777777" w:rsidR="00DB69F5" w:rsidRPr="007B5D81" w:rsidRDefault="00DB69F5" w:rsidP="007B5D81">
            <w:pPr>
              <w:spacing w:before="40" w:after="120"/>
              <w:ind w:right="113"/>
              <w:rPr>
                <w:szCs w:val="18"/>
                <w:lang w:eastAsia="en-US"/>
              </w:rPr>
            </w:pPr>
            <w:r w:rsidRPr="007B5D81">
              <w:rPr>
                <w:szCs w:val="18"/>
                <w:lang w:eastAsia="en-US"/>
              </w:rPr>
              <w:t>50 000</w:t>
            </w:r>
          </w:p>
        </w:tc>
        <w:tc>
          <w:tcPr>
            <w:tcW w:w="1841" w:type="dxa"/>
            <w:shd w:val="clear" w:color="auto" w:fill="auto"/>
          </w:tcPr>
          <w:p w14:paraId="3B9FF0AC" w14:textId="77777777" w:rsidR="00DB69F5" w:rsidRPr="007B5D81" w:rsidRDefault="00DB69F5" w:rsidP="007B5D81">
            <w:pPr>
              <w:spacing w:before="40" w:after="120"/>
              <w:ind w:right="113"/>
              <w:rPr>
                <w:szCs w:val="18"/>
                <w:lang w:eastAsia="en-US"/>
              </w:rPr>
            </w:pPr>
            <w:r w:rsidRPr="007B5D81">
              <w:rPr>
                <w:szCs w:val="18"/>
                <w:lang w:eastAsia="en-US"/>
              </w:rPr>
              <w:t>Pilot project on Neman River hydropower plant. Start-up workshop in June 2009, mid-term workshop in November 2010, and final conference in December 2010 (actual cost substantially higher)</w:t>
            </w:r>
          </w:p>
        </w:tc>
      </w:tr>
      <w:tr w:rsidR="007B5D81" w:rsidRPr="007B5D81" w14:paraId="66D344B1" w14:textId="77777777" w:rsidTr="007B5D81">
        <w:tc>
          <w:tcPr>
            <w:tcW w:w="654" w:type="dxa"/>
            <w:shd w:val="clear" w:color="auto" w:fill="auto"/>
          </w:tcPr>
          <w:p w14:paraId="2A87BC19" w14:textId="77777777" w:rsidR="00DB69F5" w:rsidRPr="007B5D81" w:rsidRDefault="00DB69F5" w:rsidP="007B5D81">
            <w:pPr>
              <w:spacing w:before="40" w:after="120"/>
              <w:ind w:right="113"/>
              <w:rPr>
                <w:szCs w:val="18"/>
                <w:lang w:eastAsia="en-US"/>
              </w:rPr>
            </w:pPr>
            <w:r w:rsidRPr="007B5D81">
              <w:rPr>
                <w:szCs w:val="18"/>
                <w:lang w:eastAsia="en-US"/>
              </w:rPr>
              <w:t>13.2.2</w:t>
            </w:r>
          </w:p>
        </w:tc>
        <w:tc>
          <w:tcPr>
            <w:tcW w:w="1047" w:type="dxa"/>
            <w:shd w:val="clear" w:color="auto" w:fill="auto"/>
          </w:tcPr>
          <w:p w14:paraId="3447E2AD" w14:textId="77777777" w:rsidR="00DB69F5" w:rsidRPr="007B5D81" w:rsidRDefault="00DB69F5" w:rsidP="007B5D81">
            <w:pPr>
              <w:spacing w:before="40" w:after="120"/>
              <w:ind w:right="113"/>
              <w:rPr>
                <w:szCs w:val="18"/>
                <w:lang w:eastAsia="en-US"/>
              </w:rPr>
            </w:pPr>
          </w:p>
        </w:tc>
        <w:tc>
          <w:tcPr>
            <w:tcW w:w="567" w:type="dxa"/>
            <w:shd w:val="clear" w:color="auto" w:fill="auto"/>
          </w:tcPr>
          <w:p w14:paraId="44CFDE4A" w14:textId="77777777" w:rsidR="00DB69F5" w:rsidRPr="007B5D81" w:rsidRDefault="00DB69F5" w:rsidP="007B5D81">
            <w:pPr>
              <w:spacing w:before="40" w:after="120"/>
              <w:ind w:right="113"/>
              <w:rPr>
                <w:szCs w:val="18"/>
                <w:lang w:eastAsia="en-US"/>
              </w:rPr>
            </w:pPr>
          </w:p>
        </w:tc>
        <w:tc>
          <w:tcPr>
            <w:tcW w:w="1090" w:type="dxa"/>
            <w:shd w:val="clear" w:color="auto" w:fill="auto"/>
          </w:tcPr>
          <w:p w14:paraId="758F95BF" w14:textId="77777777" w:rsidR="00DB69F5" w:rsidRPr="007B5D81" w:rsidRDefault="00DB69F5" w:rsidP="007B5D81">
            <w:pPr>
              <w:spacing w:before="40" w:after="120"/>
              <w:ind w:right="113"/>
              <w:rPr>
                <w:szCs w:val="18"/>
                <w:lang w:eastAsia="en-US"/>
              </w:rPr>
            </w:pPr>
          </w:p>
        </w:tc>
        <w:tc>
          <w:tcPr>
            <w:tcW w:w="795" w:type="dxa"/>
            <w:shd w:val="clear" w:color="auto" w:fill="auto"/>
          </w:tcPr>
          <w:p w14:paraId="2070AA90" w14:textId="77777777" w:rsidR="00DB69F5" w:rsidRPr="007B5D81" w:rsidRDefault="00DB69F5" w:rsidP="007B5D81">
            <w:pPr>
              <w:spacing w:before="40" w:after="120"/>
              <w:ind w:right="113"/>
              <w:rPr>
                <w:szCs w:val="18"/>
                <w:lang w:eastAsia="en-US"/>
              </w:rPr>
            </w:pPr>
            <w:r w:rsidRPr="007B5D81">
              <w:rPr>
                <w:szCs w:val="18"/>
                <w:lang w:eastAsia="en-US"/>
              </w:rPr>
              <w:t>2006–2009</w:t>
            </w:r>
          </w:p>
        </w:tc>
        <w:tc>
          <w:tcPr>
            <w:tcW w:w="1673" w:type="dxa"/>
            <w:shd w:val="clear" w:color="auto" w:fill="auto"/>
          </w:tcPr>
          <w:p w14:paraId="1D4C18A0" w14:textId="77777777" w:rsidR="00DB69F5" w:rsidRPr="007B5D81" w:rsidRDefault="00DB69F5" w:rsidP="007B5D81">
            <w:pPr>
              <w:spacing w:before="40" w:after="120"/>
              <w:ind w:right="113"/>
              <w:rPr>
                <w:szCs w:val="18"/>
                <w:lang w:eastAsia="en-US"/>
              </w:rPr>
            </w:pPr>
            <w:r w:rsidRPr="007B5D81">
              <w:rPr>
                <w:szCs w:val="18"/>
                <w:lang w:eastAsia="en-US"/>
              </w:rPr>
              <w:t>Kyrgyzstan, Kazakhstan, and OSCE, under ENVSEC, with funding from Norway</w:t>
            </w:r>
          </w:p>
        </w:tc>
        <w:tc>
          <w:tcPr>
            <w:tcW w:w="837" w:type="dxa"/>
            <w:shd w:val="clear" w:color="auto" w:fill="auto"/>
          </w:tcPr>
          <w:p w14:paraId="0B598274" w14:textId="77777777" w:rsidR="00DB69F5" w:rsidRPr="007B5D81" w:rsidRDefault="00DB69F5" w:rsidP="007B5D81">
            <w:pPr>
              <w:spacing w:before="40" w:after="120"/>
              <w:ind w:right="113"/>
              <w:rPr>
                <w:szCs w:val="18"/>
                <w:lang w:eastAsia="en-US"/>
              </w:rPr>
            </w:pPr>
            <w:r w:rsidRPr="007B5D81">
              <w:rPr>
                <w:szCs w:val="18"/>
                <w:lang w:eastAsia="en-US"/>
              </w:rPr>
              <w:t>50 000</w:t>
            </w:r>
          </w:p>
        </w:tc>
        <w:tc>
          <w:tcPr>
            <w:tcW w:w="1841" w:type="dxa"/>
            <w:shd w:val="clear" w:color="auto" w:fill="auto"/>
          </w:tcPr>
          <w:p w14:paraId="03EE44D5" w14:textId="77777777" w:rsidR="00DB69F5" w:rsidRPr="007B5D81" w:rsidRDefault="00DB69F5" w:rsidP="007B5D81">
            <w:pPr>
              <w:spacing w:before="40" w:after="120"/>
              <w:ind w:right="113"/>
              <w:rPr>
                <w:szCs w:val="18"/>
                <w:lang w:eastAsia="en-US"/>
              </w:rPr>
            </w:pPr>
            <w:r w:rsidRPr="007B5D81">
              <w:rPr>
                <w:szCs w:val="18"/>
                <w:lang w:eastAsia="en-US"/>
              </w:rPr>
              <w:t>Pilot project for Andash gold-copper mine in Kyrgyzstan.</w:t>
            </w:r>
          </w:p>
        </w:tc>
      </w:tr>
      <w:tr w:rsidR="007B5D81" w:rsidRPr="007B5D81" w14:paraId="59E2DBC1" w14:textId="77777777" w:rsidTr="007B5D81">
        <w:tc>
          <w:tcPr>
            <w:tcW w:w="654" w:type="dxa"/>
            <w:shd w:val="clear" w:color="auto" w:fill="auto"/>
          </w:tcPr>
          <w:p w14:paraId="51FF25AC" w14:textId="77777777" w:rsidR="00DB69F5" w:rsidRPr="007B5D81" w:rsidRDefault="00DB69F5" w:rsidP="007B5D81">
            <w:pPr>
              <w:spacing w:before="40" w:after="120"/>
              <w:ind w:right="113"/>
              <w:rPr>
                <w:szCs w:val="18"/>
                <w:lang w:eastAsia="en-US"/>
              </w:rPr>
            </w:pPr>
            <w:r w:rsidRPr="007B5D81">
              <w:rPr>
                <w:szCs w:val="18"/>
                <w:lang w:eastAsia="en-US"/>
              </w:rPr>
              <w:lastRenderedPageBreak/>
              <w:t>14.2.1</w:t>
            </w:r>
          </w:p>
        </w:tc>
        <w:tc>
          <w:tcPr>
            <w:tcW w:w="1047" w:type="dxa"/>
            <w:shd w:val="clear" w:color="auto" w:fill="auto"/>
          </w:tcPr>
          <w:p w14:paraId="44551C7D" w14:textId="77777777" w:rsidR="00DB69F5" w:rsidRPr="007B5D81" w:rsidRDefault="00DB69F5" w:rsidP="007B5D81">
            <w:pPr>
              <w:spacing w:before="40" w:after="120"/>
              <w:ind w:right="113"/>
              <w:rPr>
                <w:szCs w:val="18"/>
                <w:lang w:eastAsia="en-US"/>
              </w:rPr>
            </w:pPr>
            <w:r w:rsidRPr="007B5D81">
              <w:rPr>
                <w:szCs w:val="18"/>
                <w:lang w:eastAsia="en-US"/>
              </w:rPr>
              <w:t>Exchange of good practices</w:t>
            </w:r>
          </w:p>
        </w:tc>
        <w:tc>
          <w:tcPr>
            <w:tcW w:w="567" w:type="dxa"/>
            <w:shd w:val="clear" w:color="auto" w:fill="auto"/>
          </w:tcPr>
          <w:p w14:paraId="1032BB8F" w14:textId="77777777" w:rsidR="00DB69F5" w:rsidRPr="007B5D81" w:rsidRDefault="00DB69F5" w:rsidP="007B5D81">
            <w:pPr>
              <w:spacing w:before="40" w:after="120"/>
              <w:ind w:right="113"/>
              <w:rPr>
                <w:szCs w:val="18"/>
                <w:lang w:eastAsia="en-US"/>
              </w:rPr>
            </w:pPr>
            <w:r w:rsidRPr="007B5D81">
              <w:rPr>
                <w:szCs w:val="18"/>
                <w:lang w:eastAsia="en-US"/>
              </w:rPr>
              <w:t>2</w:t>
            </w:r>
          </w:p>
        </w:tc>
        <w:tc>
          <w:tcPr>
            <w:tcW w:w="1090" w:type="dxa"/>
            <w:shd w:val="clear" w:color="auto" w:fill="auto"/>
          </w:tcPr>
          <w:p w14:paraId="05520FC1" w14:textId="77777777" w:rsidR="00DB69F5" w:rsidRPr="007B5D81" w:rsidRDefault="00DB69F5" w:rsidP="007B5D81">
            <w:pPr>
              <w:spacing w:before="40" w:after="120"/>
              <w:ind w:right="113"/>
              <w:rPr>
                <w:szCs w:val="18"/>
                <w:lang w:eastAsia="en-US"/>
              </w:rPr>
            </w:pPr>
            <w:r w:rsidRPr="007B5D81">
              <w:rPr>
                <w:szCs w:val="18"/>
                <w:lang w:eastAsia="en-US"/>
              </w:rPr>
              <w:t>One-day seminars</w:t>
            </w:r>
          </w:p>
        </w:tc>
        <w:tc>
          <w:tcPr>
            <w:tcW w:w="795" w:type="dxa"/>
            <w:shd w:val="clear" w:color="auto" w:fill="auto"/>
          </w:tcPr>
          <w:p w14:paraId="3833186F" w14:textId="77777777" w:rsidR="00DB69F5" w:rsidRPr="007B5D81" w:rsidRDefault="00DB69F5" w:rsidP="007B5D81">
            <w:pPr>
              <w:spacing w:before="40" w:after="120"/>
              <w:ind w:right="113"/>
              <w:rPr>
                <w:szCs w:val="18"/>
                <w:lang w:eastAsia="en-US"/>
              </w:rPr>
            </w:pPr>
            <w:r w:rsidRPr="007B5D81">
              <w:rPr>
                <w:szCs w:val="18"/>
                <w:lang w:eastAsia="en-US"/>
              </w:rPr>
              <w:t>17 May 2010</w:t>
            </w:r>
          </w:p>
        </w:tc>
        <w:tc>
          <w:tcPr>
            <w:tcW w:w="1673" w:type="dxa"/>
            <w:shd w:val="clear" w:color="auto" w:fill="auto"/>
          </w:tcPr>
          <w:p w14:paraId="1B3D3271" w14:textId="77777777" w:rsidR="00DB69F5" w:rsidRPr="007B5D81" w:rsidRDefault="00DB69F5" w:rsidP="007B5D81">
            <w:pPr>
              <w:spacing w:before="40" w:after="120"/>
              <w:ind w:right="113"/>
              <w:rPr>
                <w:szCs w:val="18"/>
                <w:lang w:eastAsia="en-US"/>
              </w:rPr>
            </w:pPr>
            <w:r w:rsidRPr="007B5D81">
              <w:rPr>
                <w:szCs w:val="18"/>
                <w:lang w:eastAsia="en-US"/>
              </w:rPr>
              <w:t>Armenia</w:t>
            </w:r>
          </w:p>
        </w:tc>
        <w:tc>
          <w:tcPr>
            <w:tcW w:w="837" w:type="dxa"/>
            <w:shd w:val="clear" w:color="auto" w:fill="auto"/>
          </w:tcPr>
          <w:p w14:paraId="15C4E3E8" w14:textId="77777777" w:rsidR="00DB69F5" w:rsidRPr="007B5D81" w:rsidRDefault="00DB69F5" w:rsidP="007B5D81">
            <w:pPr>
              <w:spacing w:before="40" w:after="120"/>
              <w:ind w:right="113"/>
              <w:rPr>
                <w:szCs w:val="18"/>
                <w:lang w:eastAsia="en-US"/>
              </w:rPr>
            </w:pPr>
            <w:r w:rsidRPr="007B5D81">
              <w:rPr>
                <w:szCs w:val="18"/>
                <w:lang w:eastAsia="en-US"/>
              </w:rPr>
              <w:t>0</w:t>
            </w:r>
          </w:p>
        </w:tc>
        <w:tc>
          <w:tcPr>
            <w:tcW w:w="1841" w:type="dxa"/>
            <w:shd w:val="clear" w:color="auto" w:fill="auto"/>
          </w:tcPr>
          <w:p w14:paraId="3D68005E" w14:textId="77777777" w:rsidR="00DB69F5" w:rsidRPr="007B5D81" w:rsidRDefault="00DB69F5" w:rsidP="007B5D81">
            <w:pPr>
              <w:spacing w:before="40" w:after="120"/>
              <w:ind w:right="113"/>
              <w:rPr>
                <w:szCs w:val="18"/>
                <w:lang w:eastAsia="en-US"/>
              </w:rPr>
            </w:pPr>
            <w:r w:rsidRPr="007B5D81">
              <w:rPr>
                <w:szCs w:val="18"/>
                <w:lang w:eastAsia="en-US"/>
              </w:rPr>
              <w:t>Legislation and procedures. Organized by secretariat within a half-day.</w:t>
            </w:r>
          </w:p>
        </w:tc>
      </w:tr>
      <w:tr w:rsidR="007B5D81" w:rsidRPr="007B5D81" w14:paraId="1C4DD302" w14:textId="77777777" w:rsidTr="007B5D81">
        <w:tc>
          <w:tcPr>
            <w:tcW w:w="654" w:type="dxa"/>
            <w:shd w:val="clear" w:color="auto" w:fill="auto"/>
          </w:tcPr>
          <w:p w14:paraId="6F15717F" w14:textId="77777777" w:rsidR="00DB69F5" w:rsidRPr="007B5D81" w:rsidRDefault="00DB69F5" w:rsidP="007B5D81">
            <w:pPr>
              <w:spacing w:before="40" w:after="120"/>
              <w:ind w:right="113"/>
              <w:rPr>
                <w:szCs w:val="18"/>
                <w:lang w:eastAsia="en-US"/>
              </w:rPr>
            </w:pPr>
            <w:r w:rsidRPr="007B5D81">
              <w:rPr>
                <w:szCs w:val="18"/>
                <w:lang w:eastAsia="en-US"/>
              </w:rPr>
              <w:t>14.3.1</w:t>
            </w:r>
          </w:p>
        </w:tc>
        <w:tc>
          <w:tcPr>
            <w:tcW w:w="1047" w:type="dxa"/>
            <w:shd w:val="clear" w:color="auto" w:fill="auto"/>
          </w:tcPr>
          <w:p w14:paraId="24B0150B" w14:textId="77777777" w:rsidR="00DB69F5" w:rsidRPr="007B5D81" w:rsidRDefault="00DB69F5" w:rsidP="007B5D81">
            <w:pPr>
              <w:spacing w:before="40" w:after="120"/>
              <w:ind w:right="113"/>
              <w:rPr>
                <w:szCs w:val="18"/>
                <w:lang w:eastAsia="en-US"/>
              </w:rPr>
            </w:pPr>
          </w:p>
        </w:tc>
        <w:tc>
          <w:tcPr>
            <w:tcW w:w="567" w:type="dxa"/>
            <w:shd w:val="clear" w:color="auto" w:fill="auto"/>
          </w:tcPr>
          <w:p w14:paraId="1223FCDF" w14:textId="77777777" w:rsidR="00DB69F5" w:rsidRPr="007B5D81" w:rsidRDefault="00DB69F5" w:rsidP="007B5D81">
            <w:pPr>
              <w:spacing w:before="40" w:after="120"/>
              <w:ind w:right="113"/>
              <w:rPr>
                <w:szCs w:val="18"/>
                <w:lang w:eastAsia="en-US"/>
              </w:rPr>
            </w:pPr>
          </w:p>
        </w:tc>
        <w:tc>
          <w:tcPr>
            <w:tcW w:w="1090" w:type="dxa"/>
            <w:shd w:val="clear" w:color="auto" w:fill="auto"/>
          </w:tcPr>
          <w:p w14:paraId="09A8C17E" w14:textId="77777777" w:rsidR="00DB69F5" w:rsidRPr="007B5D81" w:rsidRDefault="00DB69F5" w:rsidP="007B5D81">
            <w:pPr>
              <w:spacing w:before="40" w:after="120"/>
              <w:ind w:right="113"/>
              <w:rPr>
                <w:szCs w:val="18"/>
                <w:lang w:eastAsia="en-US"/>
              </w:rPr>
            </w:pPr>
            <w:r w:rsidRPr="007B5D81">
              <w:rPr>
                <w:szCs w:val="18"/>
                <w:lang w:eastAsia="en-US"/>
              </w:rPr>
              <w:t>Half-day seminars</w:t>
            </w:r>
          </w:p>
        </w:tc>
        <w:tc>
          <w:tcPr>
            <w:tcW w:w="795" w:type="dxa"/>
            <w:shd w:val="clear" w:color="auto" w:fill="auto"/>
          </w:tcPr>
          <w:p w14:paraId="2A13C761" w14:textId="77777777" w:rsidR="00DB69F5" w:rsidRPr="007B5D81" w:rsidRDefault="00DB69F5" w:rsidP="007B5D81">
            <w:pPr>
              <w:spacing w:before="40" w:after="120"/>
              <w:ind w:right="113"/>
              <w:rPr>
                <w:szCs w:val="18"/>
                <w:lang w:eastAsia="en-US"/>
              </w:rPr>
            </w:pPr>
            <w:r w:rsidRPr="007B5D81">
              <w:rPr>
                <w:szCs w:val="18"/>
                <w:lang w:eastAsia="en-US"/>
              </w:rPr>
              <w:t>12 May 2009</w:t>
            </w:r>
          </w:p>
        </w:tc>
        <w:tc>
          <w:tcPr>
            <w:tcW w:w="1673" w:type="dxa"/>
            <w:shd w:val="clear" w:color="auto" w:fill="auto"/>
          </w:tcPr>
          <w:p w14:paraId="53D4AE73" w14:textId="77777777" w:rsidR="00DB69F5" w:rsidRPr="007B5D81" w:rsidRDefault="00DB69F5" w:rsidP="007B5D81">
            <w:pPr>
              <w:spacing w:before="40" w:after="120"/>
              <w:ind w:right="113"/>
              <w:rPr>
                <w:szCs w:val="18"/>
                <w:lang w:eastAsia="en-US"/>
              </w:rPr>
            </w:pPr>
            <w:r w:rsidRPr="007B5D81">
              <w:rPr>
                <w:szCs w:val="18"/>
                <w:lang w:eastAsia="en-US"/>
              </w:rPr>
              <w:t>European Commission</w:t>
            </w:r>
          </w:p>
        </w:tc>
        <w:tc>
          <w:tcPr>
            <w:tcW w:w="837" w:type="dxa"/>
            <w:shd w:val="clear" w:color="auto" w:fill="auto"/>
          </w:tcPr>
          <w:p w14:paraId="2135664B" w14:textId="77777777" w:rsidR="00DB69F5" w:rsidRPr="007B5D81" w:rsidRDefault="00DB69F5" w:rsidP="007B5D81">
            <w:pPr>
              <w:spacing w:before="40" w:after="120"/>
              <w:ind w:right="113"/>
              <w:rPr>
                <w:szCs w:val="18"/>
                <w:lang w:eastAsia="en-US"/>
              </w:rPr>
            </w:pPr>
            <w:r w:rsidRPr="007B5D81">
              <w:rPr>
                <w:szCs w:val="18"/>
                <w:lang w:eastAsia="en-US"/>
              </w:rPr>
              <w:t>5 000</w:t>
            </w:r>
          </w:p>
        </w:tc>
        <w:tc>
          <w:tcPr>
            <w:tcW w:w="1841" w:type="dxa"/>
            <w:shd w:val="clear" w:color="auto" w:fill="auto"/>
          </w:tcPr>
          <w:p w14:paraId="18A21008" w14:textId="77777777" w:rsidR="00DB69F5" w:rsidRPr="007B5D81" w:rsidRDefault="00DB69F5" w:rsidP="007B5D81">
            <w:pPr>
              <w:spacing w:before="40" w:after="120"/>
              <w:ind w:right="113"/>
              <w:rPr>
                <w:szCs w:val="18"/>
                <w:lang w:eastAsia="en-US"/>
              </w:rPr>
            </w:pPr>
            <w:r w:rsidRPr="007B5D81">
              <w:rPr>
                <w:szCs w:val="18"/>
                <w:lang w:eastAsia="en-US"/>
              </w:rPr>
              <w:t>Large-scale projects</w:t>
            </w:r>
          </w:p>
        </w:tc>
      </w:tr>
      <w:tr w:rsidR="007B5D81" w:rsidRPr="007B5D81" w14:paraId="3EB45E59" w14:textId="77777777" w:rsidTr="007B5D81">
        <w:tc>
          <w:tcPr>
            <w:tcW w:w="654" w:type="dxa"/>
            <w:shd w:val="clear" w:color="auto" w:fill="auto"/>
          </w:tcPr>
          <w:p w14:paraId="70A4ADDE" w14:textId="77777777" w:rsidR="00DB69F5" w:rsidRPr="007B5D81" w:rsidRDefault="00DB69F5" w:rsidP="007B5D81">
            <w:pPr>
              <w:spacing w:before="40" w:after="120"/>
              <w:ind w:right="113"/>
              <w:rPr>
                <w:szCs w:val="18"/>
                <w:lang w:eastAsia="en-US"/>
              </w:rPr>
            </w:pPr>
            <w:r w:rsidRPr="007B5D81">
              <w:rPr>
                <w:szCs w:val="18"/>
                <w:lang w:eastAsia="en-US"/>
              </w:rPr>
              <w:t>14.3.2</w:t>
            </w:r>
          </w:p>
        </w:tc>
        <w:tc>
          <w:tcPr>
            <w:tcW w:w="1047" w:type="dxa"/>
            <w:shd w:val="clear" w:color="auto" w:fill="auto"/>
          </w:tcPr>
          <w:p w14:paraId="78AF1C0D" w14:textId="77777777" w:rsidR="00DB69F5" w:rsidRPr="007B5D81" w:rsidRDefault="00DB69F5" w:rsidP="007B5D81">
            <w:pPr>
              <w:spacing w:before="40" w:after="120"/>
              <w:ind w:right="113"/>
              <w:rPr>
                <w:szCs w:val="18"/>
                <w:lang w:eastAsia="en-US"/>
              </w:rPr>
            </w:pPr>
          </w:p>
        </w:tc>
        <w:tc>
          <w:tcPr>
            <w:tcW w:w="567" w:type="dxa"/>
            <w:shd w:val="clear" w:color="auto" w:fill="auto"/>
          </w:tcPr>
          <w:p w14:paraId="70D4090B" w14:textId="77777777" w:rsidR="00DB69F5" w:rsidRPr="007B5D81" w:rsidRDefault="00DB69F5" w:rsidP="007B5D81">
            <w:pPr>
              <w:spacing w:before="40" w:after="120"/>
              <w:ind w:right="113"/>
              <w:rPr>
                <w:szCs w:val="18"/>
                <w:lang w:eastAsia="en-US"/>
              </w:rPr>
            </w:pPr>
          </w:p>
        </w:tc>
        <w:tc>
          <w:tcPr>
            <w:tcW w:w="1090" w:type="dxa"/>
            <w:shd w:val="clear" w:color="auto" w:fill="auto"/>
          </w:tcPr>
          <w:p w14:paraId="116BE19C" w14:textId="77777777" w:rsidR="00DB69F5" w:rsidRPr="007B5D81" w:rsidRDefault="00DB69F5" w:rsidP="007B5D81">
            <w:pPr>
              <w:spacing w:before="40" w:after="120"/>
              <w:ind w:right="113"/>
              <w:rPr>
                <w:szCs w:val="18"/>
                <w:lang w:eastAsia="en-US"/>
              </w:rPr>
            </w:pPr>
          </w:p>
        </w:tc>
        <w:tc>
          <w:tcPr>
            <w:tcW w:w="795" w:type="dxa"/>
            <w:shd w:val="clear" w:color="auto" w:fill="auto"/>
          </w:tcPr>
          <w:p w14:paraId="72BAE5D3" w14:textId="77777777" w:rsidR="00DB69F5" w:rsidRPr="007B5D81" w:rsidRDefault="00DB69F5" w:rsidP="007B5D81">
            <w:pPr>
              <w:spacing w:before="40" w:after="120"/>
              <w:ind w:right="113"/>
              <w:rPr>
                <w:szCs w:val="18"/>
                <w:lang w:eastAsia="en-US"/>
              </w:rPr>
            </w:pPr>
            <w:r w:rsidRPr="007B5D81">
              <w:rPr>
                <w:szCs w:val="18"/>
                <w:lang w:eastAsia="en-US"/>
              </w:rPr>
              <w:t>24 Nov. 2010</w:t>
            </w:r>
          </w:p>
        </w:tc>
        <w:tc>
          <w:tcPr>
            <w:tcW w:w="1673" w:type="dxa"/>
            <w:shd w:val="clear" w:color="auto" w:fill="auto"/>
          </w:tcPr>
          <w:p w14:paraId="070FCCC9" w14:textId="77777777" w:rsidR="00DB69F5" w:rsidRPr="007B5D81" w:rsidRDefault="00DB69F5" w:rsidP="007B5D81">
            <w:pPr>
              <w:spacing w:before="40" w:after="120"/>
              <w:ind w:right="113"/>
              <w:rPr>
                <w:szCs w:val="18"/>
                <w:lang w:eastAsia="en-US"/>
              </w:rPr>
            </w:pPr>
            <w:r w:rsidRPr="007B5D81">
              <w:rPr>
                <w:szCs w:val="18"/>
                <w:lang w:eastAsia="en-US"/>
              </w:rPr>
              <w:t>Austria</w:t>
            </w:r>
          </w:p>
        </w:tc>
        <w:tc>
          <w:tcPr>
            <w:tcW w:w="837" w:type="dxa"/>
            <w:shd w:val="clear" w:color="auto" w:fill="auto"/>
          </w:tcPr>
          <w:p w14:paraId="042FFBB0" w14:textId="77777777" w:rsidR="00DB69F5" w:rsidRPr="007B5D81" w:rsidRDefault="00DB69F5" w:rsidP="007B5D81">
            <w:pPr>
              <w:spacing w:before="40" w:after="120"/>
              <w:ind w:right="113"/>
              <w:rPr>
                <w:szCs w:val="18"/>
                <w:lang w:eastAsia="en-US"/>
              </w:rPr>
            </w:pPr>
            <w:r w:rsidRPr="007B5D81">
              <w:rPr>
                <w:szCs w:val="18"/>
                <w:lang w:eastAsia="en-US"/>
              </w:rPr>
              <w:t>2 845</w:t>
            </w:r>
          </w:p>
        </w:tc>
        <w:tc>
          <w:tcPr>
            <w:tcW w:w="1841" w:type="dxa"/>
            <w:shd w:val="clear" w:color="auto" w:fill="auto"/>
          </w:tcPr>
          <w:p w14:paraId="3FD7390C" w14:textId="77777777" w:rsidR="00DB69F5" w:rsidRPr="007B5D81" w:rsidRDefault="00DB69F5" w:rsidP="007B5D81">
            <w:pPr>
              <w:spacing w:before="40" w:after="120"/>
              <w:ind w:right="113"/>
              <w:rPr>
                <w:szCs w:val="18"/>
                <w:lang w:eastAsia="en-US"/>
              </w:rPr>
            </w:pPr>
            <w:r w:rsidRPr="007B5D81">
              <w:rPr>
                <w:szCs w:val="18"/>
                <w:lang w:eastAsia="en-US"/>
              </w:rPr>
              <w:t>Climate change, EIA and SEA, with two speakers supported by trust fund</w:t>
            </w:r>
          </w:p>
        </w:tc>
      </w:tr>
      <w:tr w:rsidR="007B5D81" w:rsidRPr="007B5D81" w14:paraId="70D5B08B" w14:textId="77777777" w:rsidTr="007B5D81">
        <w:tc>
          <w:tcPr>
            <w:tcW w:w="654" w:type="dxa"/>
            <w:shd w:val="clear" w:color="auto" w:fill="auto"/>
          </w:tcPr>
          <w:p w14:paraId="28943FC5" w14:textId="77777777" w:rsidR="00DB69F5" w:rsidRPr="007B5D81" w:rsidRDefault="00DB69F5" w:rsidP="007B5D81">
            <w:pPr>
              <w:spacing w:before="40" w:after="120"/>
              <w:ind w:right="113"/>
              <w:rPr>
                <w:szCs w:val="18"/>
                <w:lang w:eastAsia="en-US"/>
              </w:rPr>
            </w:pPr>
            <w:r w:rsidRPr="007B5D81">
              <w:rPr>
                <w:szCs w:val="18"/>
                <w:lang w:eastAsia="en-US"/>
              </w:rPr>
              <w:t>15.1.1</w:t>
            </w:r>
          </w:p>
        </w:tc>
        <w:tc>
          <w:tcPr>
            <w:tcW w:w="1047" w:type="dxa"/>
            <w:shd w:val="clear" w:color="auto" w:fill="auto"/>
          </w:tcPr>
          <w:p w14:paraId="5A5F2E53" w14:textId="77777777" w:rsidR="00DB69F5" w:rsidRPr="007B5D81" w:rsidRDefault="00DB69F5" w:rsidP="007B5D81">
            <w:pPr>
              <w:spacing w:before="40" w:after="120"/>
              <w:ind w:right="113"/>
              <w:rPr>
                <w:szCs w:val="18"/>
                <w:lang w:eastAsia="en-US"/>
              </w:rPr>
            </w:pPr>
            <w:r w:rsidRPr="007B5D81">
              <w:rPr>
                <w:szCs w:val="18"/>
                <w:lang w:eastAsia="en-US"/>
              </w:rPr>
              <w:t>Promoting ratification and application of the Protocol</w:t>
            </w:r>
          </w:p>
        </w:tc>
        <w:tc>
          <w:tcPr>
            <w:tcW w:w="567" w:type="dxa"/>
            <w:shd w:val="clear" w:color="auto" w:fill="auto"/>
          </w:tcPr>
          <w:p w14:paraId="1081041E" w14:textId="77777777" w:rsidR="00DB69F5" w:rsidRPr="007B5D81" w:rsidRDefault="00DB69F5" w:rsidP="007B5D81">
            <w:pPr>
              <w:spacing w:before="40" w:after="120"/>
              <w:ind w:right="113"/>
              <w:rPr>
                <w:szCs w:val="18"/>
                <w:lang w:eastAsia="en-US"/>
              </w:rPr>
            </w:pPr>
            <w:r w:rsidRPr="007B5D81">
              <w:rPr>
                <w:szCs w:val="18"/>
                <w:lang w:eastAsia="en-US"/>
              </w:rPr>
              <w:t>2</w:t>
            </w:r>
          </w:p>
        </w:tc>
        <w:tc>
          <w:tcPr>
            <w:tcW w:w="1090" w:type="dxa"/>
            <w:shd w:val="clear" w:color="auto" w:fill="auto"/>
          </w:tcPr>
          <w:p w14:paraId="40879DD5" w14:textId="77777777" w:rsidR="00DB69F5" w:rsidRPr="007B5D81" w:rsidRDefault="00DB69F5" w:rsidP="007B5D81">
            <w:pPr>
              <w:spacing w:before="40" w:after="120"/>
              <w:ind w:right="113"/>
              <w:rPr>
                <w:szCs w:val="18"/>
                <w:lang w:eastAsia="en-US"/>
              </w:rPr>
            </w:pPr>
            <w:r w:rsidRPr="007B5D81">
              <w:rPr>
                <w:szCs w:val="18"/>
                <w:lang w:eastAsia="en-US"/>
              </w:rPr>
              <w:t>National awareness-raising workshops</w:t>
            </w:r>
          </w:p>
        </w:tc>
        <w:tc>
          <w:tcPr>
            <w:tcW w:w="795" w:type="dxa"/>
            <w:shd w:val="clear" w:color="auto" w:fill="auto"/>
          </w:tcPr>
          <w:p w14:paraId="2DBED14B" w14:textId="77777777" w:rsidR="00DB69F5" w:rsidRPr="007B5D81" w:rsidRDefault="00DB69F5" w:rsidP="007B5D81">
            <w:pPr>
              <w:spacing w:before="40" w:after="120"/>
              <w:ind w:right="113"/>
              <w:rPr>
                <w:szCs w:val="18"/>
                <w:lang w:eastAsia="en-US"/>
              </w:rPr>
            </w:pPr>
            <w:r w:rsidRPr="007B5D81">
              <w:rPr>
                <w:szCs w:val="18"/>
                <w:lang w:eastAsia="en-US"/>
              </w:rPr>
              <w:t>9 Jun. 2010</w:t>
            </w:r>
          </w:p>
        </w:tc>
        <w:tc>
          <w:tcPr>
            <w:tcW w:w="1673" w:type="dxa"/>
            <w:shd w:val="clear" w:color="auto" w:fill="auto"/>
          </w:tcPr>
          <w:p w14:paraId="0C6FE6B7" w14:textId="77777777" w:rsidR="00DB69F5" w:rsidRPr="007B5D81" w:rsidRDefault="00DB69F5" w:rsidP="007B5D81">
            <w:pPr>
              <w:spacing w:before="40" w:after="120"/>
              <w:ind w:right="113"/>
              <w:rPr>
                <w:szCs w:val="18"/>
                <w:lang w:eastAsia="en-US"/>
              </w:rPr>
            </w:pPr>
            <w:r w:rsidRPr="007B5D81">
              <w:rPr>
                <w:szCs w:val="18"/>
                <w:lang w:eastAsia="en-US"/>
              </w:rPr>
              <w:t>Slovenia</w:t>
            </w:r>
          </w:p>
        </w:tc>
        <w:tc>
          <w:tcPr>
            <w:tcW w:w="837" w:type="dxa"/>
            <w:shd w:val="clear" w:color="auto" w:fill="auto"/>
          </w:tcPr>
          <w:p w14:paraId="3BF2C45C" w14:textId="77777777" w:rsidR="00DB69F5" w:rsidRPr="007B5D81" w:rsidRDefault="00DB69F5" w:rsidP="007B5D81">
            <w:pPr>
              <w:spacing w:before="40" w:after="120"/>
              <w:ind w:right="113"/>
              <w:rPr>
                <w:szCs w:val="18"/>
                <w:lang w:eastAsia="en-US"/>
              </w:rPr>
            </w:pPr>
            <w:r w:rsidRPr="007B5D81">
              <w:rPr>
                <w:szCs w:val="18"/>
                <w:lang w:eastAsia="en-US"/>
              </w:rPr>
              <w:t>3 000</w:t>
            </w:r>
          </w:p>
        </w:tc>
        <w:tc>
          <w:tcPr>
            <w:tcW w:w="1841" w:type="dxa"/>
            <w:shd w:val="clear" w:color="auto" w:fill="auto"/>
          </w:tcPr>
          <w:p w14:paraId="6B63DB01" w14:textId="77777777" w:rsidR="00DB69F5" w:rsidRPr="007B5D81" w:rsidRDefault="00DB69F5" w:rsidP="007B5D81">
            <w:pPr>
              <w:spacing w:before="40" w:after="120"/>
              <w:ind w:right="113"/>
              <w:rPr>
                <w:szCs w:val="18"/>
                <w:lang w:eastAsia="en-US"/>
              </w:rPr>
            </w:pPr>
            <w:r w:rsidRPr="007B5D81">
              <w:rPr>
                <w:szCs w:val="18"/>
                <w:lang w:eastAsia="en-US"/>
              </w:rPr>
              <w:t>Neighbouring States invited but did not participate</w:t>
            </w:r>
          </w:p>
        </w:tc>
      </w:tr>
      <w:tr w:rsidR="007B5D81" w:rsidRPr="007B5D81" w14:paraId="55CA3D8C" w14:textId="77777777" w:rsidTr="007B5D81">
        <w:tc>
          <w:tcPr>
            <w:tcW w:w="654" w:type="dxa"/>
            <w:shd w:val="clear" w:color="auto" w:fill="auto"/>
          </w:tcPr>
          <w:p w14:paraId="50E2B603" w14:textId="77777777" w:rsidR="00DB69F5" w:rsidRPr="007B5D81" w:rsidRDefault="00DB69F5" w:rsidP="007B5D81">
            <w:pPr>
              <w:spacing w:before="40" w:after="120"/>
              <w:ind w:right="113"/>
              <w:rPr>
                <w:szCs w:val="18"/>
                <w:lang w:eastAsia="en-US"/>
              </w:rPr>
            </w:pPr>
          </w:p>
        </w:tc>
        <w:tc>
          <w:tcPr>
            <w:tcW w:w="1047" w:type="dxa"/>
            <w:shd w:val="clear" w:color="auto" w:fill="auto"/>
          </w:tcPr>
          <w:p w14:paraId="246D7220" w14:textId="77777777" w:rsidR="00DB69F5" w:rsidRPr="007B5D81" w:rsidRDefault="00DB69F5" w:rsidP="007B5D81">
            <w:pPr>
              <w:spacing w:before="40" w:after="120"/>
              <w:ind w:right="113"/>
              <w:rPr>
                <w:szCs w:val="18"/>
                <w:lang w:eastAsia="en-US"/>
              </w:rPr>
            </w:pPr>
          </w:p>
        </w:tc>
        <w:tc>
          <w:tcPr>
            <w:tcW w:w="567" w:type="dxa"/>
            <w:shd w:val="clear" w:color="auto" w:fill="auto"/>
          </w:tcPr>
          <w:p w14:paraId="15BFF1B8" w14:textId="77777777" w:rsidR="00DB69F5" w:rsidRPr="007B5D81" w:rsidRDefault="00DB69F5" w:rsidP="007B5D81">
            <w:pPr>
              <w:spacing w:before="40" w:after="120"/>
              <w:ind w:right="113"/>
              <w:rPr>
                <w:szCs w:val="18"/>
                <w:lang w:eastAsia="en-US"/>
              </w:rPr>
            </w:pPr>
          </w:p>
        </w:tc>
        <w:tc>
          <w:tcPr>
            <w:tcW w:w="1090" w:type="dxa"/>
            <w:shd w:val="clear" w:color="auto" w:fill="auto"/>
          </w:tcPr>
          <w:p w14:paraId="7FA8ED3E" w14:textId="77777777" w:rsidR="00DB69F5" w:rsidRPr="007B5D81" w:rsidRDefault="00DB69F5" w:rsidP="007B5D81">
            <w:pPr>
              <w:spacing w:before="40" w:after="120"/>
              <w:ind w:right="113"/>
              <w:rPr>
                <w:szCs w:val="18"/>
                <w:lang w:eastAsia="en-US"/>
              </w:rPr>
            </w:pPr>
          </w:p>
        </w:tc>
        <w:tc>
          <w:tcPr>
            <w:tcW w:w="795" w:type="dxa"/>
            <w:shd w:val="clear" w:color="auto" w:fill="auto"/>
          </w:tcPr>
          <w:p w14:paraId="0EA255B8" w14:textId="77777777" w:rsidR="00DB69F5" w:rsidRPr="007B5D81" w:rsidRDefault="00DB69F5" w:rsidP="007B5D81">
            <w:pPr>
              <w:spacing w:before="40" w:after="120"/>
              <w:ind w:right="113"/>
              <w:rPr>
                <w:szCs w:val="18"/>
                <w:lang w:eastAsia="en-US"/>
              </w:rPr>
            </w:pPr>
            <w:r w:rsidRPr="007B5D81">
              <w:rPr>
                <w:szCs w:val="18"/>
                <w:lang w:eastAsia="en-US"/>
              </w:rPr>
              <w:t>28 Mar.–1 Apr. 2011</w:t>
            </w:r>
          </w:p>
        </w:tc>
        <w:tc>
          <w:tcPr>
            <w:tcW w:w="1673" w:type="dxa"/>
            <w:shd w:val="clear" w:color="auto" w:fill="auto"/>
          </w:tcPr>
          <w:p w14:paraId="04BF206E" w14:textId="77777777" w:rsidR="00DB69F5" w:rsidRPr="007B5D81" w:rsidRDefault="00DB69F5" w:rsidP="007B5D81">
            <w:pPr>
              <w:spacing w:before="40" w:after="120"/>
              <w:ind w:right="113"/>
              <w:rPr>
                <w:szCs w:val="18"/>
                <w:lang w:eastAsia="en-US"/>
              </w:rPr>
            </w:pPr>
            <w:r w:rsidRPr="007B5D81">
              <w:rPr>
                <w:szCs w:val="18"/>
                <w:lang w:eastAsia="en-US"/>
              </w:rPr>
              <w:t>GIZ (Germany)</w:t>
            </w:r>
          </w:p>
        </w:tc>
        <w:tc>
          <w:tcPr>
            <w:tcW w:w="837" w:type="dxa"/>
            <w:shd w:val="clear" w:color="auto" w:fill="auto"/>
          </w:tcPr>
          <w:p w14:paraId="334BD25C" w14:textId="77777777" w:rsidR="00DB69F5" w:rsidRPr="007B5D81" w:rsidRDefault="00DB69F5" w:rsidP="007B5D81">
            <w:pPr>
              <w:spacing w:before="40" w:after="120"/>
              <w:ind w:right="113"/>
              <w:rPr>
                <w:szCs w:val="18"/>
                <w:lang w:eastAsia="en-US"/>
              </w:rPr>
            </w:pPr>
            <w:r w:rsidRPr="007B5D81">
              <w:rPr>
                <w:szCs w:val="18"/>
                <w:lang w:eastAsia="en-US"/>
              </w:rPr>
              <w:t>3 000</w:t>
            </w:r>
          </w:p>
        </w:tc>
        <w:tc>
          <w:tcPr>
            <w:tcW w:w="1841" w:type="dxa"/>
            <w:shd w:val="clear" w:color="auto" w:fill="auto"/>
          </w:tcPr>
          <w:p w14:paraId="7ED1E850" w14:textId="77777777" w:rsidR="00DB69F5" w:rsidRPr="007B5D81" w:rsidRDefault="00DB69F5" w:rsidP="007B5D81">
            <w:pPr>
              <w:spacing w:before="40" w:after="120"/>
              <w:ind w:right="113"/>
              <w:rPr>
                <w:szCs w:val="18"/>
                <w:lang w:eastAsia="en-US"/>
              </w:rPr>
            </w:pPr>
            <w:r w:rsidRPr="007B5D81">
              <w:rPr>
                <w:szCs w:val="18"/>
                <w:lang w:eastAsia="en-US"/>
              </w:rPr>
              <w:t>Held in Almaty (Kazakhstan), organized by the Regional Environmental Centre for Central Asia, for all five Central Asian States. Nominal value according to budget is shown, but actual cost exceeded $50,000.</w:t>
            </w:r>
          </w:p>
        </w:tc>
      </w:tr>
      <w:tr w:rsidR="007B5D81" w:rsidRPr="007B5D81" w14:paraId="4E7F41E9" w14:textId="77777777" w:rsidTr="007B5D81">
        <w:tc>
          <w:tcPr>
            <w:tcW w:w="654" w:type="dxa"/>
            <w:shd w:val="clear" w:color="auto" w:fill="auto"/>
          </w:tcPr>
          <w:p w14:paraId="4AA800B2" w14:textId="77777777" w:rsidR="00DB69F5" w:rsidRPr="007B5D81" w:rsidRDefault="00DB69F5" w:rsidP="007B5D81">
            <w:pPr>
              <w:spacing w:before="40" w:after="120"/>
              <w:ind w:right="113"/>
              <w:rPr>
                <w:szCs w:val="18"/>
                <w:lang w:eastAsia="en-US"/>
              </w:rPr>
            </w:pPr>
            <w:r w:rsidRPr="007B5D81">
              <w:rPr>
                <w:szCs w:val="18"/>
                <w:lang w:eastAsia="en-US"/>
              </w:rPr>
              <w:t>15.2</w:t>
            </w:r>
          </w:p>
        </w:tc>
        <w:tc>
          <w:tcPr>
            <w:tcW w:w="1047" w:type="dxa"/>
            <w:shd w:val="clear" w:color="auto" w:fill="auto"/>
          </w:tcPr>
          <w:p w14:paraId="2A2F8887" w14:textId="77777777" w:rsidR="00DB69F5" w:rsidRPr="007B5D81" w:rsidRDefault="00DB69F5" w:rsidP="007B5D81">
            <w:pPr>
              <w:spacing w:before="40" w:after="120"/>
              <w:ind w:right="113"/>
              <w:rPr>
                <w:szCs w:val="18"/>
                <w:lang w:eastAsia="en-US"/>
              </w:rPr>
            </w:pPr>
          </w:p>
        </w:tc>
        <w:tc>
          <w:tcPr>
            <w:tcW w:w="567" w:type="dxa"/>
            <w:shd w:val="clear" w:color="auto" w:fill="auto"/>
          </w:tcPr>
          <w:p w14:paraId="7C95710A" w14:textId="77777777" w:rsidR="00DB69F5" w:rsidRPr="007B5D81" w:rsidRDefault="00DB69F5" w:rsidP="007B5D81">
            <w:pPr>
              <w:spacing w:before="40" w:after="120"/>
              <w:ind w:right="113"/>
              <w:rPr>
                <w:szCs w:val="18"/>
                <w:lang w:eastAsia="en-US"/>
              </w:rPr>
            </w:pPr>
          </w:p>
        </w:tc>
        <w:tc>
          <w:tcPr>
            <w:tcW w:w="1090" w:type="dxa"/>
            <w:shd w:val="clear" w:color="auto" w:fill="auto"/>
          </w:tcPr>
          <w:p w14:paraId="0C1E9036" w14:textId="77777777" w:rsidR="00DB69F5" w:rsidRPr="007B5D81" w:rsidRDefault="00DB69F5" w:rsidP="007B5D81">
            <w:pPr>
              <w:spacing w:before="40" w:after="120"/>
              <w:ind w:right="113"/>
              <w:rPr>
                <w:szCs w:val="18"/>
                <w:lang w:eastAsia="en-US"/>
              </w:rPr>
            </w:pPr>
            <w:r w:rsidRPr="007B5D81">
              <w:rPr>
                <w:szCs w:val="18"/>
                <w:lang w:eastAsia="en-US"/>
              </w:rPr>
              <w:t>Subregional training workshop for countries of South-Eastern Europe</w:t>
            </w:r>
          </w:p>
        </w:tc>
        <w:tc>
          <w:tcPr>
            <w:tcW w:w="795" w:type="dxa"/>
            <w:shd w:val="clear" w:color="auto" w:fill="auto"/>
          </w:tcPr>
          <w:p w14:paraId="0B8F1999" w14:textId="77777777" w:rsidR="00DB69F5" w:rsidRPr="007B5D81" w:rsidRDefault="00DB69F5" w:rsidP="007B5D81">
            <w:pPr>
              <w:spacing w:before="40" w:after="120"/>
              <w:ind w:right="113"/>
              <w:rPr>
                <w:szCs w:val="18"/>
                <w:lang w:eastAsia="en-US"/>
              </w:rPr>
            </w:pPr>
            <w:r w:rsidRPr="007B5D81">
              <w:rPr>
                <w:szCs w:val="18"/>
                <w:lang w:eastAsia="en-US"/>
              </w:rPr>
              <w:t>22–26 Sept. 2008</w:t>
            </w:r>
          </w:p>
        </w:tc>
        <w:tc>
          <w:tcPr>
            <w:tcW w:w="1673" w:type="dxa"/>
            <w:shd w:val="clear" w:color="auto" w:fill="auto"/>
          </w:tcPr>
          <w:p w14:paraId="0BD5BBFB" w14:textId="77777777" w:rsidR="00DB69F5" w:rsidRPr="007B5D81" w:rsidRDefault="00DB69F5" w:rsidP="007B5D81">
            <w:pPr>
              <w:spacing w:before="40" w:after="120"/>
              <w:ind w:right="113"/>
              <w:rPr>
                <w:szCs w:val="18"/>
                <w:lang w:eastAsia="en-US"/>
              </w:rPr>
            </w:pPr>
            <w:r w:rsidRPr="007B5D81">
              <w:rPr>
                <w:szCs w:val="18"/>
                <w:lang w:eastAsia="en-US"/>
              </w:rPr>
              <w:t>United Nations Development Programme</w:t>
            </w:r>
          </w:p>
        </w:tc>
        <w:tc>
          <w:tcPr>
            <w:tcW w:w="837" w:type="dxa"/>
            <w:shd w:val="clear" w:color="auto" w:fill="auto"/>
          </w:tcPr>
          <w:p w14:paraId="219944E8" w14:textId="77777777" w:rsidR="00DB69F5" w:rsidRPr="007B5D81" w:rsidRDefault="00DB69F5" w:rsidP="007B5D81">
            <w:pPr>
              <w:spacing w:before="40" w:after="120"/>
              <w:ind w:right="113"/>
              <w:rPr>
                <w:szCs w:val="18"/>
                <w:lang w:eastAsia="en-US"/>
              </w:rPr>
            </w:pPr>
            <w:r w:rsidRPr="007B5D81">
              <w:rPr>
                <w:szCs w:val="18"/>
                <w:lang w:eastAsia="en-US"/>
              </w:rPr>
              <w:t>30 000</w:t>
            </w:r>
          </w:p>
        </w:tc>
        <w:tc>
          <w:tcPr>
            <w:tcW w:w="1841" w:type="dxa"/>
            <w:shd w:val="clear" w:color="auto" w:fill="auto"/>
          </w:tcPr>
          <w:p w14:paraId="0FF53F04" w14:textId="77777777" w:rsidR="00DB69F5" w:rsidRPr="007B5D81" w:rsidRDefault="00DB69F5" w:rsidP="007B5D81">
            <w:pPr>
              <w:spacing w:before="40" w:after="120"/>
              <w:ind w:right="113"/>
              <w:rPr>
                <w:szCs w:val="18"/>
                <w:lang w:eastAsia="en-US"/>
              </w:rPr>
            </w:pPr>
            <w:r w:rsidRPr="007B5D81">
              <w:rPr>
                <w:szCs w:val="18"/>
                <w:lang w:eastAsia="en-US"/>
              </w:rPr>
              <w:t>Held in Prague by United Nations Development Programme, with support from the Czech Trust Fund</w:t>
            </w:r>
          </w:p>
        </w:tc>
      </w:tr>
      <w:tr w:rsidR="007B5D81" w:rsidRPr="007B5D81" w14:paraId="045BA901" w14:textId="77777777" w:rsidTr="007B5D81">
        <w:tc>
          <w:tcPr>
            <w:tcW w:w="654" w:type="dxa"/>
            <w:shd w:val="clear" w:color="auto" w:fill="auto"/>
          </w:tcPr>
          <w:p w14:paraId="03107019" w14:textId="77777777" w:rsidR="00DB69F5" w:rsidRPr="007B5D81" w:rsidRDefault="00DB69F5" w:rsidP="007B5D81">
            <w:pPr>
              <w:spacing w:before="40" w:after="120"/>
              <w:ind w:right="113"/>
              <w:rPr>
                <w:szCs w:val="18"/>
                <w:lang w:eastAsia="en-US"/>
              </w:rPr>
            </w:pPr>
            <w:r w:rsidRPr="007B5D81">
              <w:rPr>
                <w:szCs w:val="18"/>
                <w:lang w:eastAsia="en-US"/>
              </w:rPr>
              <w:t>16</w:t>
            </w:r>
          </w:p>
        </w:tc>
        <w:tc>
          <w:tcPr>
            <w:tcW w:w="1047" w:type="dxa"/>
            <w:shd w:val="clear" w:color="auto" w:fill="auto"/>
          </w:tcPr>
          <w:p w14:paraId="28A92A80" w14:textId="77777777" w:rsidR="00DB69F5" w:rsidRPr="007B5D81" w:rsidRDefault="00DB69F5" w:rsidP="007B5D81">
            <w:pPr>
              <w:spacing w:before="40" w:after="120"/>
              <w:ind w:right="113"/>
              <w:rPr>
                <w:szCs w:val="18"/>
                <w:lang w:eastAsia="en-US"/>
              </w:rPr>
            </w:pPr>
            <w:r w:rsidRPr="007B5D81">
              <w:rPr>
                <w:szCs w:val="18"/>
                <w:lang w:eastAsia="en-US"/>
              </w:rPr>
              <w:t>Subregional cooperation</w:t>
            </w:r>
          </w:p>
        </w:tc>
        <w:tc>
          <w:tcPr>
            <w:tcW w:w="567" w:type="dxa"/>
            <w:shd w:val="clear" w:color="auto" w:fill="auto"/>
          </w:tcPr>
          <w:p w14:paraId="7CD04BE9" w14:textId="77777777" w:rsidR="00DB69F5" w:rsidRPr="007B5D81" w:rsidRDefault="00DB69F5" w:rsidP="007B5D81">
            <w:pPr>
              <w:spacing w:before="40" w:after="120"/>
              <w:ind w:right="113"/>
              <w:rPr>
                <w:szCs w:val="18"/>
                <w:lang w:eastAsia="en-US"/>
              </w:rPr>
            </w:pPr>
            <w:r w:rsidRPr="007B5D81">
              <w:rPr>
                <w:szCs w:val="18"/>
                <w:lang w:eastAsia="en-US"/>
              </w:rPr>
              <w:t>2</w:t>
            </w:r>
          </w:p>
        </w:tc>
        <w:tc>
          <w:tcPr>
            <w:tcW w:w="1090" w:type="dxa"/>
            <w:shd w:val="clear" w:color="auto" w:fill="auto"/>
          </w:tcPr>
          <w:p w14:paraId="5DFD3190" w14:textId="77777777" w:rsidR="00DB69F5" w:rsidRPr="007B5D81" w:rsidRDefault="00DB69F5" w:rsidP="007B5D81">
            <w:pPr>
              <w:spacing w:before="40" w:after="120"/>
              <w:ind w:right="113"/>
              <w:rPr>
                <w:szCs w:val="18"/>
                <w:lang w:eastAsia="en-US"/>
              </w:rPr>
            </w:pPr>
            <w:r w:rsidRPr="007B5D81">
              <w:rPr>
                <w:szCs w:val="18"/>
                <w:lang w:eastAsia="en-US"/>
              </w:rPr>
              <w:t>Workshop in Tunis</w:t>
            </w:r>
          </w:p>
        </w:tc>
        <w:tc>
          <w:tcPr>
            <w:tcW w:w="795" w:type="dxa"/>
            <w:shd w:val="clear" w:color="auto" w:fill="auto"/>
          </w:tcPr>
          <w:p w14:paraId="55634E55" w14:textId="77777777" w:rsidR="00DB69F5" w:rsidRPr="007B5D81" w:rsidRDefault="00DB69F5" w:rsidP="007B5D81">
            <w:pPr>
              <w:spacing w:before="40" w:after="120"/>
              <w:ind w:right="113"/>
              <w:rPr>
                <w:szCs w:val="18"/>
                <w:lang w:eastAsia="en-US"/>
              </w:rPr>
            </w:pPr>
            <w:r w:rsidRPr="007B5D81">
              <w:rPr>
                <w:szCs w:val="18"/>
                <w:lang w:eastAsia="en-US"/>
              </w:rPr>
              <w:t>20–21 Apr. 2010</w:t>
            </w:r>
          </w:p>
        </w:tc>
        <w:tc>
          <w:tcPr>
            <w:tcW w:w="1673" w:type="dxa"/>
            <w:shd w:val="clear" w:color="auto" w:fill="auto"/>
          </w:tcPr>
          <w:p w14:paraId="5DC0F7BB" w14:textId="77777777" w:rsidR="00DB69F5" w:rsidRPr="007B5D81" w:rsidRDefault="00DB69F5" w:rsidP="007B5D81">
            <w:pPr>
              <w:spacing w:before="40" w:after="120"/>
              <w:ind w:right="113"/>
              <w:rPr>
                <w:szCs w:val="18"/>
                <w:lang w:eastAsia="en-US"/>
              </w:rPr>
            </w:pPr>
            <w:r w:rsidRPr="007B5D81">
              <w:rPr>
                <w:szCs w:val="18"/>
                <w:lang w:eastAsia="en-US"/>
              </w:rPr>
              <w:t>Tunisia</w:t>
            </w:r>
          </w:p>
        </w:tc>
        <w:tc>
          <w:tcPr>
            <w:tcW w:w="837" w:type="dxa"/>
            <w:shd w:val="clear" w:color="auto" w:fill="auto"/>
          </w:tcPr>
          <w:p w14:paraId="4EECAD81" w14:textId="77777777" w:rsidR="00DB69F5" w:rsidRPr="007B5D81" w:rsidRDefault="00DB69F5" w:rsidP="007B5D81">
            <w:pPr>
              <w:spacing w:before="40" w:after="120"/>
              <w:ind w:right="113"/>
              <w:rPr>
                <w:szCs w:val="18"/>
                <w:lang w:eastAsia="en-US"/>
              </w:rPr>
            </w:pPr>
            <w:r w:rsidRPr="007B5D81">
              <w:rPr>
                <w:szCs w:val="18"/>
                <w:lang w:eastAsia="en-US"/>
              </w:rPr>
              <w:t>12 410</w:t>
            </w:r>
          </w:p>
        </w:tc>
        <w:tc>
          <w:tcPr>
            <w:tcW w:w="1841" w:type="dxa"/>
            <w:shd w:val="clear" w:color="auto" w:fill="auto"/>
          </w:tcPr>
          <w:p w14:paraId="68C90F45" w14:textId="77777777" w:rsidR="00DB69F5" w:rsidRPr="007B5D81" w:rsidRDefault="00DB69F5" w:rsidP="007B5D81">
            <w:pPr>
              <w:spacing w:before="40" w:after="120"/>
              <w:ind w:right="113"/>
              <w:rPr>
                <w:szCs w:val="18"/>
                <w:lang w:eastAsia="en-US"/>
              </w:rPr>
            </w:pPr>
            <w:r w:rsidRPr="007B5D81">
              <w:rPr>
                <w:szCs w:val="18"/>
                <w:lang w:eastAsia="en-US"/>
              </w:rPr>
              <w:t>Subregional workshop, Tunis, financing of eligible participants via trust fund (Italy), with other arrangements by host Government</w:t>
            </w:r>
          </w:p>
        </w:tc>
      </w:tr>
      <w:tr w:rsidR="007B5D81" w:rsidRPr="007B5D81" w14:paraId="1DFA69B9" w14:textId="77777777" w:rsidTr="007B5D81">
        <w:tc>
          <w:tcPr>
            <w:tcW w:w="654" w:type="dxa"/>
            <w:tcBorders>
              <w:bottom w:val="single" w:sz="12" w:space="0" w:color="auto"/>
            </w:tcBorders>
            <w:shd w:val="clear" w:color="auto" w:fill="auto"/>
          </w:tcPr>
          <w:p w14:paraId="4B6F4429" w14:textId="77777777" w:rsidR="00DB69F5" w:rsidRPr="007B5D81" w:rsidRDefault="00DB69F5" w:rsidP="007B5D81">
            <w:pPr>
              <w:spacing w:before="40" w:after="120"/>
              <w:ind w:right="113"/>
              <w:rPr>
                <w:b/>
                <w:bCs/>
                <w:szCs w:val="18"/>
                <w:lang w:eastAsia="en-US"/>
              </w:rPr>
            </w:pPr>
          </w:p>
        </w:tc>
        <w:tc>
          <w:tcPr>
            <w:tcW w:w="1047" w:type="dxa"/>
            <w:tcBorders>
              <w:bottom w:val="single" w:sz="12" w:space="0" w:color="auto"/>
            </w:tcBorders>
            <w:shd w:val="clear" w:color="auto" w:fill="auto"/>
          </w:tcPr>
          <w:p w14:paraId="0696A699" w14:textId="77777777" w:rsidR="00DB69F5" w:rsidRPr="007B5D81" w:rsidRDefault="00DB69F5" w:rsidP="007B5D81">
            <w:pPr>
              <w:spacing w:before="40" w:after="120"/>
              <w:ind w:right="113"/>
              <w:rPr>
                <w:b/>
                <w:bCs/>
                <w:szCs w:val="18"/>
                <w:lang w:eastAsia="en-US"/>
              </w:rPr>
            </w:pPr>
            <w:r w:rsidRPr="007B5D81">
              <w:rPr>
                <w:b/>
                <w:bCs/>
                <w:szCs w:val="18"/>
                <w:lang w:eastAsia="en-US"/>
              </w:rPr>
              <w:t>Total</w:t>
            </w:r>
          </w:p>
        </w:tc>
        <w:tc>
          <w:tcPr>
            <w:tcW w:w="567" w:type="dxa"/>
            <w:tcBorders>
              <w:bottom w:val="single" w:sz="12" w:space="0" w:color="auto"/>
            </w:tcBorders>
            <w:shd w:val="clear" w:color="auto" w:fill="auto"/>
          </w:tcPr>
          <w:p w14:paraId="5C81FCEB" w14:textId="77777777" w:rsidR="00DB69F5" w:rsidRPr="007B5D81" w:rsidRDefault="00DB69F5" w:rsidP="007B5D81">
            <w:pPr>
              <w:spacing w:before="40" w:after="120"/>
              <w:ind w:right="113"/>
              <w:rPr>
                <w:b/>
                <w:bCs/>
                <w:szCs w:val="18"/>
                <w:lang w:eastAsia="en-US"/>
              </w:rPr>
            </w:pPr>
          </w:p>
        </w:tc>
        <w:tc>
          <w:tcPr>
            <w:tcW w:w="1090" w:type="dxa"/>
            <w:tcBorders>
              <w:bottom w:val="single" w:sz="12" w:space="0" w:color="auto"/>
            </w:tcBorders>
            <w:shd w:val="clear" w:color="auto" w:fill="auto"/>
          </w:tcPr>
          <w:p w14:paraId="01D0AC33" w14:textId="77777777" w:rsidR="00DB69F5" w:rsidRPr="007B5D81" w:rsidRDefault="00DB69F5" w:rsidP="007B5D81">
            <w:pPr>
              <w:spacing w:before="40" w:after="120"/>
              <w:ind w:right="113"/>
              <w:rPr>
                <w:b/>
                <w:bCs/>
                <w:szCs w:val="18"/>
                <w:lang w:eastAsia="en-US"/>
              </w:rPr>
            </w:pPr>
          </w:p>
        </w:tc>
        <w:tc>
          <w:tcPr>
            <w:tcW w:w="795" w:type="dxa"/>
            <w:tcBorders>
              <w:bottom w:val="single" w:sz="12" w:space="0" w:color="auto"/>
            </w:tcBorders>
            <w:shd w:val="clear" w:color="auto" w:fill="auto"/>
          </w:tcPr>
          <w:p w14:paraId="3D6AD86D" w14:textId="77777777" w:rsidR="00DB69F5" w:rsidRPr="007B5D81" w:rsidRDefault="00DB69F5" w:rsidP="007B5D81">
            <w:pPr>
              <w:spacing w:before="40" w:after="120"/>
              <w:ind w:right="113"/>
              <w:rPr>
                <w:b/>
                <w:bCs/>
                <w:szCs w:val="18"/>
                <w:lang w:eastAsia="en-US"/>
              </w:rPr>
            </w:pPr>
          </w:p>
        </w:tc>
        <w:tc>
          <w:tcPr>
            <w:tcW w:w="1673" w:type="dxa"/>
            <w:tcBorders>
              <w:bottom w:val="single" w:sz="12" w:space="0" w:color="auto"/>
            </w:tcBorders>
            <w:shd w:val="clear" w:color="auto" w:fill="auto"/>
          </w:tcPr>
          <w:p w14:paraId="46FD9468" w14:textId="77777777" w:rsidR="00DB69F5" w:rsidRPr="007B5D81" w:rsidRDefault="00DB69F5" w:rsidP="007B5D81">
            <w:pPr>
              <w:spacing w:before="40" w:after="120"/>
              <w:ind w:right="113"/>
              <w:rPr>
                <w:b/>
                <w:bCs/>
                <w:szCs w:val="18"/>
                <w:lang w:eastAsia="en-US"/>
              </w:rPr>
            </w:pPr>
          </w:p>
        </w:tc>
        <w:tc>
          <w:tcPr>
            <w:tcW w:w="837" w:type="dxa"/>
            <w:tcBorders>
              <w:bottom w:val="single" w:sz="12" w:space="0" w:color="auto"/>
            </w:tcBorders>
            <w:shd w:val="clear" w:color="auto" w:fill="auto"/>
          </w:tcPr>
          <w:p w14:paraId="09333D37" w14:textId="77777777" w:rsidR="00DB69F5" w:rsidRPr="007B5D81" w:rsidRDefault="00DB69F5" w:rsidP="007B5D81">
            <w:pPr>
              <w:spacing w:before="40" w:after="120"/>
              <w:ind w:right="113"/>
              <w:rPr>
                <w:b/>
                <w:bCs/>
                <w:szCs w:val="18"/>
                <w:lang w:eastAsia="en-US"/>
              </w:rPr>
            </w:pPr>
            <w:r w:rsidRPr="007B5D81">
              <w:rPr>
                <w:b/>
                <w:bCs/>
                <w:szCs w:val="18"/>
                <w:lang w:eastAsia="en-US"/>
              </w:rPr>
              <w:t>351 255</w:t>
            </w:r>
          </w:p>
        </w:tc>
        <w:tc>
          <w:tcPr>
            <w:tcW w:w="1841" w:type="dxa"/>
            <w:tcBorders>
              <w:bottom w:val="single" w:sz="12" w:space="0" w:color="auto"/>
            </w:tcBorders>
            <w:shd w:val="clear" w:color="auto" w:fill="auto"/>
          </w:tcPr>
          <w:p w14:paraId="0DC01BE2" w14:textId="77777777" w:rsidR="00DB69F5" w:rsidRPr="007B5D81" w:rsidRDefault="00DB69F5" w:rsidP="007B5D81">
            <w:pPr>
              <w:spacing w:before="40" w:after="120"/>
              <w:ind w:right="113"/>
              <w:rPr>
                <w:b/>
                <w:bCs/>
                <w:szCs w:val="18"/>
                <w:lang w:eastAsia="en-US"/>
              </w:rPr>
            </w:pPr>
          </w:p>
        </w:tc>
      </w:tr>
    </w:tbl>
    <w:p w14:paraId="2AB68FA9" w14:textId="77777777" w:rsidR="00DB69F5" w:rsidRPr="00DB69F5" w:rsidRDefault="00DB69F5" w:rsidP="007B5D81">
      <w:pPr>
        <w:tabs>
          <w:tab w:val="right" w:pos="1021"/>
        </w:tabs>
        <w:spacing w:before="120" w:line="220" w:lineRule="exact"/>
        <w:ind w:left="1134" w:right="1134" w:firstLine="284"/>
        <w:rPr>
          <w:sz w:val="18"/>
          <w:lang w:eastAsia="en-US"/>
        </w:rPr>
      </w:pPr>
      <w:r w:rsidRPr="00DB69F5">
        <w:rPr>
          <w:i/>
          <w:sz w:val="18"/>
          <w:vertAlign w:val="superscript"/>
          <w:lang w:eastAsia="en-US"/>
        </w:rPr>
        <w:t>a</w:t>
      </w:r>
      <w:r w:rsidRPr="00DB69F5">
        <w:rPr>
          <w:sz w:val="18"/>
          <w:lang w:eastAsia="en-US"/>
        </w:rPr>
        <w:t xml:space="preserve">  Value is that indicated in the current budget (decision IV/8).</w:t>
      </w:r>
    </w:p>
    <w:p w14:paraId="556686A0" w14:textId="52D8002E" w:rsidR="007B5D81" w:rsidRPr="007B5D81" w:rsidRDefault="007B5D81" w:rsidP="007B5D81">
      <w:pPr>
        <w:pStyle w:val="H1G"/>
        <w:rPr>
          <w:lang w:val="es-ES" w:eastAsia="en-US"/>
        </w:rPr>
      </w:pPr>
      <w:bookmarkStart w:id="15" w:name="_Hlk74299575"/>
      <w:r>
        <w:rPr>
          <w:lang w:val="es-ES" w:eastAsia="en-US"/>
        </w:rPr>
        <w:lastRenderedPageBreak/>
        <w:tab/>
      </w:r>
      <w:r>
        <w:rPr>
          <w:lang w:val="es-ES" w:eastAsia="en-US"/>
        </w:rPr>
        <w:tab/>
      </w:r>
      <w:r w:rsidRPr="007B5D81">
        <w:rPr>
          <w:lang w:val="es-ES" w:eastAsia="en-US"/>
        </w:rPr>
        <w:t>Source: ECE/MP.EIA/2014/1–ECE/MP.EIA/SEA/2014/1</w:t>
      </w:r>
    </w:p>
    <w:bookmarkEnd w:id="15"/>
    <w:p w14:paraId="59479538" w14:textId="76CD9ACE" w:rsidR="007B5D81" w:rsidRPr="007B5D81" w:rsidRDefault="007B5D81" w:rsidP="007B5D81">
      <w:pPr>
        <w:pStyle w:val="H23G"/>
        <w:rPr>
          <w:lang w:eastAsia="en-US"/>
        </w:rPr>
      </w:pPr>
      <w:r>
        <w:rPr>
          <w:lang w:eastAsia="en-US"/>
        </w:rPr>
        <w:tab/>
      </w:r>
      <w:r>
        <w:rPr>
          <w:lang w:eastAsia="en-US"/>
        </w:rPr>
        <w:tab/>
      </w:r>
      <w:r w:rsidRPr="007B5D81">
        <w:rPr>
          <w:b w:val="0"/>
          <w:bCs/>
          <w:lang w:eastAsia="en-US"/>
        </w:rPr>
        <w:t>Table A.7</w:t>
      </w:r>
      <w:r>
        <w:rPr>
          <w:lang w:eastAsia="en-US"/>
        </w:rPr>
        <w:br/>
      </w:r>
      <w:r w:rsidRPr="007B5D81">
        <w:rPr>
          <w:bCs/>
          <w:lang w:eastAsia="en-US"/>
        </w:rPr>
        <w:t>In-kind contributions made</w:t>
      </w:r>
      <w:r w:rsidRPr="007B5D81">
        <w:rPr>
          <w:lang w:eastAsia="en-US"/>
        </w:rPr>
        <w:br/>
        <w:t>(in United States dollars)</w:t>
      </w:r>
    </w:p>
    <w:tbl>
      <w:tblPr>
        <w:tblW w:w="8504" w:type="dxa"/>
        <w:tblInd w:w="1134" w:type="dxa"/>
        <w:tblLayout w:type="fixed"/>
        <w:tblCellMar>
          <w:left w:w="0" w:type="dxa"/>
          <w:right w:w="0" w:type="dxa"/>
        </w:tblCellMar>
        <w:tblLook w:val="01E0" w:firstRow="1" w:lastRow="1" w:firstColumn="1" w:lastColumn="1" w:noHBand="0" w:noVBand="0"/>
      </w:tblPr>
      <w:tblGrid>
        <w:gridCol w:w="1394"/>
        <w:gridCol w:w="683"/>
        <w:gridCol w:w="1566"/>
        <w:gridCol w:w="1215"/>
        <w:gridCol w:w="1217"/>
        <w:gridCol w:w="871"/>
        <w:gridCol w:w="1545"/>
        <w:gridCol w:w="13"/>
      </w:tblGrid>
      <w:tr w:rsidR="007B5D81" w:rsidRPr="007B5D81" w14:paraId="310E379C" w14:textId="77777777" w:rsidTr="007B5D81">
        <w:trPr>
          <w:tblHeader/>
        </w:trPr>
        <w:tc>
          <w:tcPr>
            <w:tcW w:w="1394" w:type="dxa"/>
            <w:tcBorders>
              <w:top w:val="single" w:sz="4" w:space="0" w:color="auto"/>
              <w:bottom w:val="single" w:sz="12" w:space="0" w:color="auto"/>
            </w:tcBorders>
            <w:shd w:val="clear" w:color="auto" w:fill="auto"/>
            <w:vAlign w:val="bottom"/>
          </w:tcPr>
          <w:p w14:paraId="1D5FFF1A" w14:textId="77777777" w:rsidR="007B5D81" w:rsidRPr="007B5D81" w:rsidRDefault="007B5D81" w:rsidP="007B5D81">
            <w:pPr>
              <w:spacing w:before="80" w:after="80" w:line="200" w:lineRule="exact"/>
              <w:ind w:right="113"/>
              <w:rPr>
                <w:rFonts w:eastAsia="DengXian"/>
                <w:i/>
                <w:sz w:val="16"/>
                <w:lang w:eastAsia="zh-CN"/>
              </w:rPr>
            </w:pPr>
            <w:r w:rsidRPr="007B5D81">
              <w:rPr>
                <w:rFonts w:eastAsia="DengXian"/>
                <w:i/>
                <w:sz w:val="16"/>
                <w:lang w:eastAsia="zh-CN"/>
              </w:rPr>
              <w:t>Activity</w:t>
            </w:r>
          </w:p>
        </w:tc>
        <w:tc>
          <w:tcPr>
            <w:tcW w:w="683" w:type="dxa"/>
            <w:tcBorders>
              <w:top w:val="single" w:sz="4" w:space="0" w:color="auto"/>
              <w:bottom w:val="single" w:sz="12" w:space="0" w:color="auto"/>
            </w:tcBorders>
            <w:shd w:val="clear" w:color="auto" w:fill="auto"/>
            <w:vAlign w:val="bottom"/>
          </w:tcPr>
          <w:p w14:paraId="06CA4644" w14:textId="77777777" w:rsidR="007B5D81" w:rsidRPr="007B5D81" w:rsidRDefault="007B5D81" w:rsidP="007B5D81">
            <w:pPr>
              <w:spacing w:before="80" w:after="80" w:line="200" w:lineRule="exact"/>
              <w:ind w:right="113"/>
              <w:rPr>
                <w:rFonts w:eastAsia="DengXian"/>
                <w:i/>
                <w:sz w:val="16"/>
                <w:lang w:eastAsia="zh-CN"/>
              </w:rPr>
            </w:pPr>
            <w:r w:rsidRPr="007B5D81">
              <w:rPr>
                <w:rFonts w:eastAsia="DengXian"/>
                <w:i/>
                <w:sz w:val="16"/>
                <w:lang w:eastAsia="zh-CN"/>
              </w:rPr>
              <w:t>Priority</w:t>
            </w:r>
          </w:p>
        </w:tc>
        <w:tc>
          <w:tcPr>
            <w:tcW w:w="1566" w:type="dxa"/>
            <w:tcBorders>
              <w:top w:val="single" w:sz="4" w:space="0" w:color="auto"/>
              <w:bottom w:val="single" w:sz="12" w:space="0" w:color="auto"/>
            </w:tcBorders>
            <w:shd w:val="clear" w:color="auto" w:fill="auto"/>
            <w:vAlign w:val="bottom"/>
          </w:tcPr>
          <w:p w14:paraId="18F64C90" w14:textId="77777777" w:rsidR="007B5D81" w:rsidRPr="007B5D81" w:rsidRDefault="007B5D81" w:rsidP="007B5D81">
            <w:pPr>
              <w:spacing w:before="80" w:after="80" w:line="200" w:lineRule="exact"/>
              <w:ind w:right="113"/>
              <w:rPr>
                <w:rFonts w:eastAsia="DengXian"/>
                <w:i/>
                <w:sz w:val="16"/>
                <w:lang w:eastAsia="zh-CN"/>
              </w:rPr>
            </w:pPr>
            <w:r w:rsidRPr="007B5D81">
              <w:rPr>
                <w:rFonts w:eastAsia="DengXian"/>
                <w:i/>
                <w:sz w:val="16"/>
                <w:lang w:eastAsia="zh-CN"/>
              </w:rPr>
              <w:t>Sub-activity</w:t>
            </w:r>
          </w:p>
        </w:tc>
        <w:tc>
          <w:tcPr>
            <w:tcW w:w="1215" w:type="dxa"/>
            <w:tcBorders>
              <w:top w:val="single" w:sz="4" w:space="0" w:color="auto"/>
              <w:bottom w:val="single" w:sz="12" w:space="0" w:color="auto"/>
            </w:tcBorders>
            <w:shd w:val="clear" w:color="auto" w:fill="auto"/>
            <w:vAlign w:val="bottom"/>
          </w:tcPr>
          <w:p w14:paraId="3BE3EA15" w14:textId="77777777" w:rsidR="007B5D81" w:rsidRPr="007B5D81" w:rsidRDefault="007B5D81" w:rsidP="007B5D81">
            <w:pPr>
              <w:spacing w:before="80" w:after="80" w:line="200" w:lineRule="exact"/>
              <w:ind w:right="113"/>
              <w:rPr>
                <w:rFonts w:eastAsia="DengXian"/>
                <w:i/>
                <w:sz w:val="16"/>
                <w:lang w:eastAsia="zh-CN"/>
              </w:rPr>
            </w:pPr>
            <w:r w:rsidRPr="007B5D81">
              <w:rPr>
                <w:rFonts w:eastAsia="DengXian"/>
                <w:i/>
                <w:sz w:val="16"/>
                <w:lang w:eastAsia="zh-CN"/>
              </w:rPr>
              <w:t>Date</w:t>
            </w:r>
          </w:p>
        </w:tc>
        <w:tc>
          <w:tcPr>
            <w:tcW w:w="1217" w:type="dxa"/>
            <w:tcBorders>
              <w:top w:val="single" w:sz="4" w:space="0" w:color="auto"/>
              <w:bottom w:val="single" w:sz="12" w:space="0" w:color="auto"/>
            </w:tcBorders>
            <w:shd w:val="clear" w:color="auto" w:fill="auto"/>
            <w:vAlign w:val="bottom"/>
          </w:tcPr>
          <w:p w14:paraId="31980331" w14:textId="77777777" w:rsidR="007B5D81" w:rsidRPr="007B5D81" w:rsidRDefault="007B5D81" w:rsidP="007B5D81">
            <w:pPr>
              <w:spacing w:before="80" w:after="80" w:line="200" w:lineRule="exact"/>
              <w:ind w:right="113"/>
              <w:rPr>
                <w:rFonts w:eastAsia="DengXian"/>
                <w:i/>
                <w:sz w:val="16"/>
                <w:lang w:eastAsia="zh-CN"/>
              </w:rPr>
            </w:pPr>
            <w:r w:rsidRPr="007B5D81">
              <w:rPr>
                <w:rFonts w:eastAsia="DengXian"/>
                <w:i/>
                <w:sz w:val="16"/>
                <w:lang w:eastAsia="zh-CN"/>
              </w:rPr>
              <w:t>Source</w:t>
            </w:r>
          </w:p>
        </w:tc>
        <w:tc>
          <w:tcPr>
            <w:tcW w:w="871" w:type="dxa"/>
            <w:tcBorders>
              <w:top w:val="single" w:sz="4" w:space="0" w:color="auto"/>
              <w:bottom w:val="single" w:sz="12" w:space="0" w:color="auto"/>
            </w:tcBorders>
            <w:shd w:val="clear" w:color="auto" w:fill="auto"/>
            <w:vAlign w:val="bottom"/>
          </w:tcPr>
          <w:p w14:paraId="2FBF474B" w14:textId="77777777" w:rsidR="007B5D81" w:rsidRPr="007B5D81" w:rsidRDefault="007B5D81" w:rsidP="007B5D81">
            <w:pPr>
              <w:spacing w:before="80" w:after="80" w:line="200" w:lineRule="exact"/>
              <w:ind w:right="113"/>
              <w:rPr>
                <w:rFonts w:eastAsia="DengXian"/>
                <w:i/>
                <w:sz w:val="16"/>
                <w:lang w:eastAsia="zh-CN"/>
              </w:rPr>
            </w:pPr>
            <w:r w:rsidRPr="007B5D81">
              <w:rPr>
                <w:rFonts w:eastAsia="DengXian"/>
                <w:i/>
                <w:sz w:val="16"/>
                <w:lang w:eastAsia="zh-CN"/>
              </w:rPr>
              <w:t>Value</w:t>
            </w:r>
            <w:r w:rsidRPr="007B5D81">
              <w:rPr>
                <w:rFonts w:eastAsia="DengXian"/>
                <w:i/>
                <w:sz w:val="16"/>
                <w:vertAlign w:val="superscript"/>
                <w:lang w:eastAsia="zh-CN"/>
              </w:rPr>
              <w:t>a</w:t>
            </w:r>
          </w:p>
        </w:tc>
        <w:tc>
          <w:tcPr>
            <w:tcW w:w="1558" w:type="dxa"/>
            <w:gridSpan w:val="2"/>
            <w:tcBorders>
              <w:top w:val="single" w:sz="4" w:space="0" w:color="auto"/>
              <w:bottom w:val="single" w:sz="12" w:space="0" w:color="auto"/>
            </w:tcBorders>
            <w:shd w:val="clear" w:color="auto" w:fill="auto"/>
            <w:vAlign w:val="bottom"/>
          </w:tcPr>
          <w:p w14:paraId="581ECF94" w14:textId="77777777" w:rsidR="007B5D81" w:rsidRPr="007B5D81" w:rsidRDefault="007B5D81" w:rsidP="007B5D81">
            <w:pPr>
              <w:spacing w:before="80" w:after="80" w:line="200" w:lineRule="exact"/>
              <w:ind w:right="113"/>
              <w:rPr>
                <w:rFonts w:eastAsia="DengXian"/>
                <w:i/>
                <w:sz w:val="16"/>
                <w:lang w:eastAsia="zh-CN"/>
              </w:rPr>
            </w:pPr>
            <w:r w:rsidRPr="007B5D81">
              <w:rPr>
                <w:rFonts w:eastAsia="DengXian"/>
                <w:i/>
                <w:sz w:val="16"/>
                <w:lang w:eastAsia="zh-CN"/>
              </w:rPr>
              <w:t>Notes</w:t>
            </w:r>
          </w:p>
        </w:tc>
      </w:tr>
      <w:tr w:rsidR="007B5D81" w:rsidRPr="007B5D81" w14:paraId="1CDFC63A" w14:textId="77777777" w:rsidTr="007B5D81">
        <w:trPr>
          <w:trHeight w:hRule="exact" w:val="113"/>
          <w:tblHeader/>
        </w:trPr>
        <w:tc>
          <w:tcPr>
            <w:tcW w:w="1394" w:type="dxa"/>
            <w:tcBorders>
              <w:top w:val="single" w:sz="12" w:space="0" w:color="auto"/>
            </w:tcBorders>
            <w:shd w:val="clear" w:color="auto" w:fill="auto"/>
          </w:tcPr>
          <w:p w14:paraId="577971FF" w14:textId="77777777" w:rsidR="007B5D81" w:rsidRPr="007B5D81" w:rsidRDefault="007B5D81" w:rsidP="007B5D81">
            <w:pPr>
              <w:spacing w:before="40" w:after="120"/>
              <w:ind w:right="113"/>
              <w:rPr>
                <w:rFonts w:eastAsia="DengXian"/>
                <w:lang w:eastAsia="zh-CN"/>
              </w:rPr>
            </w:pPr>
          </w:p>
        </w:tc>
        <w:tc>
          <w:tcPr>
            <w:tcW w:w="683" w:type="dxa"/>
            <w:tcBorders>
              <w:top w:val="single" w:sz="12" w:space="0" w:color="auto"/>
            </w:tcBorders>
            <w:shd w:val="clear" w:color="auto" w:fill="auto"/>
          </w:tcPr>
          <w:p w14:paraId="69171C0D" w14:textId="77777777" w:rsidR="007B5D81" w:rsidRPr="007B5D81" w:rsidRDefault="007B5D81" w:rsidP="007B5D81">
            <w:pPr>
              <w:spacing w:before="40" w:after="120"/>
              <w:ind w:right="113"/>
              <w:rPr>
                <w:rFonts w:eastAsia="DengXian"/>
                <w:lang w:eastAsia="zh-CN"/>
              </w:rPr>
            </w:pPr>
          </w:p>
        </w:tc>
        <w:tc>
          <w:tcPr>
            <w:tcW w:w="1566" w:type="dxa"/>
            <w:tcBorders>
              <w:top w:val="single" w:sz="12" w:space="0" w:color="auto"/>
            </w:tcBorders>
            <w:shd w:val="clear" w:color="auto" w:fill="auto"/>
          </w:tcPr>
          <w:p w14:paraId="369C0573" w14:textId="77777777" w:rsidR="007B5D81" w:rsidRPr="007B5D81" w:rsidRDefault="007B5D81" w:rsidP="007B5D81">
            <w:pPr>
              <w:spacing w:before="40" w:after="120"/>
              <w:ind w:right="113"/>
              <w:rPr>
                <w:rFonts w:eastAsia="DengXian"/>
                <w:lang w:eastAsia="zh-CN"/>
              </w:rPr>
            </w:pPr>
          </w:p>
        </w:tc>
        <w:tc>
          <w:tcPr>
            <w:tcW w:w="1215" w:type="dxa"/>
            <w:tcBorders>
              <w:top w:val="single" w:sz="12" w:space="0" w:color="auto"/>
            </w:tcBorders>
            <w:shd w:val="clear" w:color="auto" w:fill="auto"/>
          </w:tcPr>
          <w:p w14:paraId="1A89E7BE" w14:textId="77777777" w:rsidR="007B5D81" w:rsidRPr="007B5D81" w:rsidRDefault="007B5D81" w:rsidP="007B5D81">
            <w:pPr>
              <w:spacing w:before="40" w:after="120"/>
              <w:ind w:right="113"/>
              <w:rPr>
                <w:rFonts w:eastAsia="DengXian"/>
                <w:lang w:eastAsia="zh-CN"/>
              </w:rPr>
            </w:pPr>
          </w:p>
        </w:tc>
        <w:tc>
          <w:tcPr>
            <w:tcW w:w="1217" w:type="dxa"/>
            <w:tcBorders>
              <w:top w:val="single" w:sz="12" w:space="0" w:color="auto"/>
            </w:tcBorders>
            <w:shd w:val="clear" w:color="auto" w:fill="auto"/>
          </w:tcPr>
          <w:p w14:paraId="378C2B22" w14:textId="77777777" w:rsidR="007B5D81" w:rsidRPr="007B5D81" w:rsidRDefault="007B5D81" w:rsidP="007B5D81">
            <w:pPr>
              <w:spacing w:before="40" w:after="120"/>
              <w:ind w:right="113"/>
              <w:rPr>
                <w:rFonts w:eastAsia="DengXian"/>
                <w:lang w:eastAsia="zh-CN"/>
              </w:rPr>
            </w:pPr>
          </w:p>
        </w:tc>
        <w:tc>
          <w:tcPr>
            <w:tcW w:w="871" w:type="dxa"/>
            <w:tcBorders>
              <w:top w:val="single" w:sz="12" w:space="0" w:color="auto"/>
            </w:tcBorders>
            <w:shd w:val="clear" w:color="auto" w:fill="auto"/>
          </w:tcPr>
          <w:p w14:paraId="175F794B" w14:textId="77777777" w:rsidR="007B5D81" w:rsidRPr="007B5D81" w:rsidRDefault="007B5D81" w:rsidP="007B5D81">
            <w:pPr>
              <w:spacing w:before="40" w:after="120"/>
              <w:ind w:right="113"/>
              <w:rPr>
                <w:rFonts w:eastAsia="DengXian"/>
                <w:lang w:eastAsia="zh-CN"/>
              </w:rPr>
            </w:pPr>
          </w:p>
        </w:tc>
        <w:tc>
          <w:tcPr>
            <w:tcW w:w="1558" w:type="dxa"/>
            <w:gridSpan w:val="2"/>
            <w:tcBorders>
              <w:top w:val="single" w:sz="12" w:space="0" w:color="auto"/>
            </w:tcBorders>
            <w:shd w:val="clear" w:color="auto" w:fill="auto"/>
          </w:tcPr>
          <w:p w14:paraId="44BCDFBA" w14:textId="77777777" w:rsidR="007B5D81" w:rsidRPr="007B5D81" w:rsidRDefault="007B5D81" w:rsidP="007B5D81">
            <w:pPr>
              <w:spacing w:before="40" w:after="120"/>
              <w:ind w:right="113"/>
              <w:rPr>
                <w:rFonts w:eastAsia="DengXian"/>
                <w:lang w:eastAsia="zh-CN"/>
              </w:rPr>
            </w:pPr>
          </w:p>
        </w:tc>
      </w:tr>
      <w:tr w:rsidR="007B5D81" w:rsidRPr="007B5D81" w14:paraId="231BD032" w14:textId="77777777" w:rsidTr="007B5D81">
        <w:tc>
          <w:tcPr>
            <w:tcW w:w="1394" w:type="dxa"/>
            <w:shd w:val="clear" w:color="auto" w:fill="auto"/>
          </w:tcPr>
          <w:p w14:paraId="09782328" w14:textId="77777777" w:rsidR="007B5D81" w:rsidRPr="007B5D81" w:rsidRDefault="007B5D81" w:rsidP="007B5D81">
            <w:pPr>
              <w:spacing w:before="40" w:after="120"/>
              <w:ind w:right="113"/>
              <w:rPr>
                <w:rFonts w:eastAsia="DengXian"/>
                <w:lang w:eastAsia="zh-CN"/>
              </w:rPr>
            </w:pPr>
            <w:r w:rsidRPr="007B5D81">
              <w:rPr>
                <w:rFonts w:eastAsia="DengXian"/>
                <w:lang w:eastAsia="zh-CN"/>
              </w:rPr>
              <w:t>Promotional</w:t>
            </w:r>
          </w:p>
        </w:tc>
        <w:tc>
          <w:tcPr>
            <w:tcW w:w="683" w:type="dxa"/>
            <w:shd w:val="clear" w:color="auto" w:fill="auto"/>
          </w:tcPr>
          <w:p w14:paraId="60E973F2" w14:textId="77777777" w:rsidR="007B5D81" w:rsidRPr="007B5D81" w:rsidRDefault="007B5D81" w:rsidP="007B5D81">
            <w:pPr>
              <w:spacing w:before="40" w:after="120"/>
              <w:ind w:right="113"/>
              <w:rPr>
                <w:rFonts w:eastAsia="DengXian"/>
                <w:lang w:eastAsia="zh-CN"/>
              </w:rPr>
            </w:pPr>
            <w:r w:rsidRPr="007B5D81">
              <w:rPr>
                <w:rFonts w:eastAsia="DengXian"/>
                <w:lang w:eastAsia="zh-CN"/>
              </w:rPr>
              <w:t>3</w:t>
            </w:r>
          </w:p>
        </w:tc>
        <w:tc>
          <w:tcPr>
            <w:tcW w:w="1566" w:type="dxa"/>
            <w:shd w:val="clear" w:color="auto" w:fill="auto"/>
          </w:tcPr>
          <w:p w14:paraId="7711F084" w14:textId="77777777" w:rsidR="007B5D81" w:rsidRPr="007B5D81" w:rsidRDefault="007B5D81" w:rsidP="007B5D81">
            <w:pPr>
              <w:spacing w:before="40" w:after="120"/>
              <w:ind w:right="113"/>
              <w:rPr>
                <w:rFonts w:eastAsia="DengXian"/>
                <w:lang w:eastAsia="zh-CN"/>
              </w:rPr>
            </w:pPr>
            <w:r w:rsidRPr="007B5D81">
              <w:rPr>
                <w:rFonts w:eastAsia="DengXian"/>
                <w:lang w:eastAsia="zh-CN"/>
              </w:rPr>
              <w:t>Side event during the Astana EfE Ministerial Conference</w:t>
            </w:r>
          </w:p>
        </w:tc>
        <w:tc>
          <w:tcPr>
            <w:tcW w:w="1215" w:type="dxa"/>
            <w:shd w:val="clear" w:color="auto" w:fill="auto"/>
          </w:tcPr>
          <w:p w14:paraId="0644DD7C" w14:textId="77777777" w:rsidR="007B5D81" w:rsidRPr="007B5D81" w:rsidRDefault="007B5D81" w:rsidP="007B5D81">
            <w:pPr>
              <w:spacing w:before="40" w:after="120"/>
              <w:ind w:right="113"/>
              <w:rPr>
                <w:rFonts w:eastAsia="DengXian"/>
                <w:lang w:eastAsia="zh-CN"/>
              </w:rPr>
            </w:pPr>
            <w:r w:rsidRPr="007B5D81">
              <w:rPr>
                <w:rFonts w:eastAsia="DengXian"/>
                <w:lang w:eastAsia="zh-CN"/>
              </w:rPr>
              <w:t>21–23 September 2011</w:t>
            </w:r>
          </w:p>
        </w:tc>
        <w:tc>
          <w:tcPr>
            <w:tcW w:w="1217" w:type="dxa"/>
            <w:shd w:val="clear" w:color="auto" w:fill="auto"/>
          </w:tcPr>
          <w:p w14:paraId="1AF19652" w14:textId="77777777" w:rsidR="007B5D81" w:rsidRPr="007B5D81" w:rsidRDefault="007B5D81" w:rsidP="007B5D81">
            <w:pPr>
              <w:spacing w:before="40" w:after="120"/>
              <w:ind w:right="113"/>
              <w:rPr>
                <w:rFonts w:eastAsia="DengXian"/>
                <w:lang w:eastAsia="zh-CN"/>
              </w:rPr>
            </w:pPr>
            <w:r w:rsidRPr="007B5D81">
              <w:rPr>
                <w:rFonts w:eastAsia="DengXian"/>
                <w:lang w:eastAsia="zh-CN"/>
              </w:rPr>
              <w:t>Switzerland</w:t>
            </w:r>
          </w:p>
        </w:tc>
        <w:tc>
          <w:tcPr>
            <w:tcW w:w="871" w:type="dxa"/>
            <w:shd w:val="clear" w:color="auto" w:fill="auto"/>
          </w:tcPr>
          <w:p w14:paraId="41208B13" w14:textId="77777777" w:rsidR="007B5D81" w:rsidRPr="007B5D81" w:rsidRDefault="007B5D81" w:rsidP="007B5D81">
            <w:pPr>
              <w:spacing w:before="40" w:after="120"/>
              <w:ind w:right="113"/>
              <w:rPr>
                <w:rFonts w:eastAsia="DengXian"/>
                <w:lang w:eastAsia="zh-CN"/>
              </w:rPr>
            </w:pPr>
            <w:r w:rsidRPr="007B5D81">
              <w:rPr>
                <w:rFonts w:eastAsia="DengXian"/>
                <w:lang w:eastAsia="zh-CN"/>
              </w:rPr>
              <w:t>2 000</w:t>
            </w:r>
          </w:p>
        </w:tc>
        <w:tc>
          <w:tcPr>
            <w:tcW w:w="1558" w:type="dxa"/>
            <w:gridSpan w:val="2"/>
            <w:shd w:val="clear" w:color="auto" w:fill="auto"/>
          </w:tcPr>
          <w:p w14:paraId="18843617" w14:textId="77777777" w:rsidR="007B5D81" w:rsidRPr="007B5D81" w:rsidRDefault="007B5D81" w:rsidP="007B5D81">
            <w:pPr>
              <w:spacing w:before="40" w:after="120"/>
              <w:ind w:right="113"/>
              <w:rPr>
                <w:rFonts w:eastAsia="DengXian"/>
                <w:lang w:eastAsia="zh-CN"/>
              </w:rPr>
            </w:pPr>
            <w:r w:rsidRPr="007B5D81">
              <w:rPr>
                <w:rFonts w:eastAsia="DengXian"/>
                <w:lang w:eastAsia="zh-CN"/>
              </w:rPr>
              <w:t>Financial support for speaker</w:t>
            </w:r>
          </w:p>
        </w:tc>
      </w:tr>
      <w:tr w:rsidR="007B5D81" w:rsidRPr="007B5D81" w14:paraId="147647EA" w14:textId="77777777" w:rsidTr="007B5D81">
        <w:tc>
          <w:tcPr>
            <w:tcW w:w="1394" w:type="dxa"/>
            <w:shd w:val="clear" w:color="auto" w:fill="auto"/>
          </w:tcPr>
          <w:p w14:paraId="7D0EDEB5" w14:textId="77777777" w:rsidR="007B5D81" w:rsidRPr="007B5D81" w:rsidRDefault="007B5D81" w:rsidP="007B5D81">
            <w:pPr>
              <w:spacing w:before="40" w:after="120"/>
              <w:ind w:right="113"/>
              <w:rPr>
                <w:rFonts w:eastAsia="DengXian"/>
                <w:lang w:eastAsia="zh-CN"/>
              </w:rPr>
            </w:pPr>
            <w:r w:rsidRPr="007B5D81">
              <w:rPr>
                <w:rFonts w:eastAsia="DengXian"/>
                <w:lang w:eastAsia="zh-CN"/>
              </w:rPr>
              <w:t>Subregional cooperation and capacity-building</w:t>
            </w:r>
          </w:p>
        </w:tc>
        <w:tc>
          <w:tcPr>
            <w:tcW w:w="683" w:type="dxa"/>
            <w:shd w:val="clear" w:color="auto" w:fill="auto"/>
          </w:tcPr>
          <w:p w14:paraId="3E82D012" w14:textId="77777777" w:rsidR="007B5D81" w:rsidRPr="007B5D81" w:rsidRDefault="007B5D81" w:rsidP="007B5D81">
            <w:pPr>
              <w:spacing w:before="40" w:after="120"/>
              <w:ind w:right="113"/>
              <w:rPr>
                <w:rFonts w:eastAsia="DengXian"/>
                <w:lang w:eastAsia="zh-CN"/>
              </w:rPr>
            </w:pPr>
            <w:r w:rsidRPr="007B5D81">
              <w:rPr>
                <w:rFonts w:eastAsia="DengXian"/>
                <w:lang w:eastAsia="zh-CN"/>
              </w:rPr>
              <w:t>3</w:t>
            </w:r>
          </w:p>
        </w:tc>
        <w:tc>
          <w:tcPr>
            <w:tcW w:w="1566" w:type="dxa"/>
            <w:shd w:val="clear" w:color="auto" w:fill="auto"/>
          </w:tcPr>
          <w:p w14:paraId="3B75285E" w14:textId="77777777" w:rsidR="007B5D81" w:rsidRPr="007B5D81" w:rsidRDefault="007B5D81" w:rsidP="007B5D81">
            <w:pPr>
              <w:spacing w:before="40" w:after="120"/>
              <w:ind w:right="113"/>
              <w:rPr>
                <w:rFonts w:eastAsia="DengXian"/>
                <w:lang w:eastAsia="zh-CN"/>
              </w:rPr>
            </w:pPr>
            <w:r w:rsidRPr="007B5D81">
              <w:rPr>
                <w:rFonts w:eastAsia="DengXian"/>
                <w:lang w:eastAsia="zh-CN"/>
              </w:rPr>
              <w:t>Fifth seminar on cooperation on the Espoo Convention in the Baltic Sea subregion, Sopot, Poland</w:t>
            </w:r>
          </w:p>
        </w:tc>
        <w:tc>
          <w:tcPr>
            <w:tcW w:w="1215" w:type="dxa"/>
            <w:shd w:val="clear" w:color="auto" w:fill="auto"/>
          </w:tcPr>
          <w:p w14:paraId="189A7239" w14:textId="77777777" w:rsidR="007B5D81" w:rsidRPr="007B5D81" w:rsidRDefault="007B5D81" w:rsidP="007B5D81">
            <w:pPr>
              <w:spacing w:before="40" w:after="120"/>
              <w:ind w:right="113"/>
              <w:rPr>
                <w:rFonts w:eastAsia="DengXian"/>
                <w:lang w:eastAsia="zh-CN"/>
              </w:rPr>
            </w:pPr>
            <w:r w:rsidRPr="007B5D81">
              <w:rPr>
                <w:rFonts w:eastAsia="DengXian"/>
                <w:lang w:eastAsia="zh-CN"/>
              </w:rPr>
              <w:t xml:space="preserve">27–28 </w:t>
            </w:r>
            <w:r w:rsidRPr="007B5D81">
              <w:rPr>
                <w:rFonts w:eastAsia="DengXian"/>
                <w:lang w:eastAsia="zh-CN"/>
              </w:rPr>
              <w:br/>
              <w:t>October 2011</w:t>
            </w:r>
          </w:p>
        </w:tc>
        <w:tc>
          <w:tcPr>
            <w:tcW w:w="1217" w:type="dxa"/>
            <w:shd w:val="clear" w:color="auto" w:fill="auto"/>
          </w:tcPr>
          <w:p w14:paraId="781CA089" w14:textId="77777777" w:rsidR="007B5D81" w:rsidRPr="007B5D81" w:rsidRDefault="007B5D81" w:rsidP="007B5D81">
            <w:pPr>
              <w:spacing w:before="40" w:after="120"/>
              <w:ind w:right="113"/>
              <w:rPr>
                <w:rFonts w:eastAsia="DengXian"/>
                <w:lang w:eastAsia="zh-CN"/>
              </w:rPr>
            </w:pPr>
            <w:r w:rsidRPr="007B5D81">
              <w:rPr>
                <w:rFonts w:eastAsia="DengXian"/>
                <w:lang w:eastAsia="zh-CN"/>
              </w:rPr>
              <w:t>Poland</w:t>
            </w:r>
          </w:p>
        </w:tc>
        <w:tc>
          <w:tcPr>
            <w:tcW w:w="871" w:type="dxa"/>
            <w:shd w:val="clear" w:color="auto" w:fill="auto"/>
          </w:tcPr>
          <w:p w14:paraId="7D47B1EF" w14:textId="77777777" w:rsidR="007B5D81" w:rsidRPr="007B5D81" w:rsidRDefault="007B5D81" w:rsidP="007B5D81">
            <w:pPr>
              <w:spacing w:before="40" w:after="120"/>
              <w:ind w:right="113"/>
              <w:rPr>
                <w:rFonts w:eastAsia="DengXian"/>
                <w:lang w:eastAsia="zh-CN"/>
              </w:rPr>
            </w:pPr>
            <w:r w:rsidRPr="007B5D81">
              <w:rPr>
                <w:rFonts w:eastAsia="DengXian"/>
                <w:lang w:eastAsia="zh-CN"/>
              </w:rPr>
              <w:t>20 000</w:t>
            </w:r>
          </w:p>
        </w:tc>
        <w:tc>
          <w:tcPr>
            <w:tcW w:w="1558" w:type="dxa"/>
            <w:gridSpan w:val="2"/>
            <w:shd w:val="clear" w:color="auto" w:fill="auto"/>
          </w:tcPr>
          <w:p w14:paraId="42821BEE" w14:textId="77777777" w:rsidR="007B5D81" w:rsidRPr="007B5D81" w:rsidRDefault="007B5D81" w:rsidP="007B5D81">
            <w:pPr>
              <w:spacing w:before="40" w:after="120"/>
              <w:ind w:right="113"/>
              <w:rPr>
                <w:rFonts w:eastAsia="DengXian"/>
                <w:lang w:eastAsia="zh-CN"/>
              </w:rPr>
            </w:pPr>
          </w:p>
        </w:tc>
      </w:tr>
      <w:tr w:rsidR="007B5D81" w:rsidRPr="007B5D81" w14:paraId="77A6FEC8" w14:textId="77777777" w:rsidTr="007B5D81">
        <w:tc>
          <w:tcPr>
            <w:tcW w:w="1394" w:type="dxa"/>
            <w:shd w:val="clear" w:color="auto" w:fill="auto"/>
          </w:tcPr>
          <w:p w14:paraId="18B1964E" w14:textId="77777777" w:rsidR="007B5D81" w:rsidRPr="007B5D81" w:rsidRDefault="007B5D81" w:rsidP="007B5D81">
            <w:pPr>
              <w:spacing w:before="40" w:after="120"/>
              <w:ind w:right="113"/>
              <w:rPr>
                <w:rFonts w:eastAsia="DengXian"/>
                <w:lang w:eastAsia="zh-CN"/>
              </w:rPr>
            </w:pPr>
            <w:r w:rsidRPr="007B5D81">
              <w:rPr>
                <w:rFonts w:eastAsia="DengXian"/>
                <w:lang w:eastAsia="zh-CN"/>
              </w:rPr>
              <w:t>Promoting ratification and application of the Protocol</w:t>
            </w:r>
          </w:p>
        </w:tc>
        <w:tc>
          <w:tcPr>
            <w:tcW w:w="683" w:type="dxa"/>
            <w:shd w:val="clear" w:color="auto" w:fill="auto"/>
          </w:tcPr>
          <w:p w14:paraId="6FDFEDF3" w14:textId="77777777" w:rsidR="007B5D81" w:rsidRPr="007B5D81" w:rsidRDefault="007B5D81" w:rsidP="007B5D81">
            <w:pPr>
              <w:spacing w:before="40" w:after="120"/>
              <w:ind w:right="113"/>
              <w:rPr>
                <w:rFonts w:eastAsia="DengXian"/>
                <w:lang w:eastAsia="zh-CN"/>
              </w:rPr>
            </w:pPr>
            <w:r w:rsidRPr="007B5D81">
              <w:rPr>
                <w:rFonts w:eastAsia="DengXian"/>
                <w:lang w:eastAsia="zh-CN"/>
              </w:rPr>
              <w:t>2</w:t>
            </w:r>
          </w:p>
        </w:tc>
        <w:tc>
          <w:tcPr>
            <w:tcW w:w="1566" w:type="dxa"/>
            <w:shd w:val="clear" w:color="auto" w:fill="auto"/>
          </w:tcPr>
          <w:p w14:paraId="7CB86548" w14:textId="77777777" w:rsidR="007B5D81" w:rsidRPr="007B5D81" w:rsidRDefault="007B5D81" w:rsidP="007B5D81">
            <w:pPr>
              <w:spacing w:before="40" w:after="120"/>
              <w:ind w:right="113"/>
              <w:rPr>
                <w:rFonts w:eastAsia="DengXian"/>
                <w:lang w:eastAsia="zh-CN"/>
              </w:rPr>
            </w:pPr>
            <w:r w:rsidRPr="007B5D81">
              <w:rPr>
                <w:rFonts w:eastAsia="DengXian"/>
                <w:lang w:eastAsia="zh-CN"/>
              </w:rPr>
              <w:t>Workshop to strengthen capacity for the development of EIA and SEA systems in Uzbekistan; sharing experiences with other countries in particular for the implementation of the Protocol, Tashkent</w:t>
            </w:r>
          </w:p>
        </w:tc>
        <w:tc>
          <w:tcPr>
            <w:tcW w:w="1215" w:type="dxa"/>
            <w:shd w:val="clear" w:color="auto" w:fill="auto"/>
          </w:tcPr>
          <w:p w14:paraId="49126B79" w14:textId="77777777" w:rsidR="007B5D81" w:rsidRPr="007B5D81" w:rsidRDefault="007B5D81" w:rsidP="007B5D81">
            <w:pPr>
              <w:spacing w:before="40" w:after="120"/>
              <w:ind w:right="113"/>
              <w:rPr>
                <w:rFonts w:eastAsia="DengXian"/>
                <w:lang w:eastAsia="zh-CN"/>
              </w:rPr>
            </w:pPr>
            <w:r w:rsidRPr="007B5D81">
              <w:rPr>
                <w:rFonts w:eastAsia="DengXian"/>
                <w:lang w:eastAsia="zh-CN"/>
              </w:rPr>
              <w:t>9–12 November 2011</w:t>
            </w:r>
          </w:p>
        </w:tc>
        <w:tc>
          <w:tcPr>
            <w:tcW w:w="1217" w:type="dxa"/>
            <w:shd w:val="clear" w:color="auto" w:fill="auto"/>
          </w:tcPr>
          <w:p w14:paraId="62B1E595" w14:textId="77777777" w:rsidR="007B5D81" w:rsidRPr="007B5D81" w:rsidRDefault="007B5D81" w:rsidP="007B5D81">
            <w:pPr>
              <w:spacing w:before="40" w:after="120"/>
              <w:ind w:right="113"/>
              <w:rPr>
                <w:rFonts w:eastAsia="DengXian"/>
                <w:lang w:eastAsia="zh-CN"/>
              </w:rPr>
            </w:pPr>
            <w:r w:rsidRPr="007B5D81">
              <w:rPr>
                <w:rFonts w:eastAsia="DengXian"/>
                <w:lang w:eastAsia="zh-CN"/>
              </w:rPr>
              <w:t>GIZ and the United Nations Development Programme (UNDP) Uzbekistan</w:t>
            </w:r>
          </w:p>
        </w:tc>
        <w:tc>
          <w:tcPr>
            <w:tcW w:w="871" w:type="dxa"/>
            <w:shd w:val="clear" w:color="auto" w:fill="auto"/>
          </w:tcPr>
          <w:p w14:paraId="5DC18328" w14:textId="77777777" w:rsidR="007B5D81" w:rsidRPr="007B5D81" w:rsidRDefault="007B5D81" w:rsidP="007B5D81">
            <w:pPr>
              <w:spacing w:before="40" w:after="120"/>
              <w:ind w:right="113"/>
              <w:rPr>
                <w:rFonts w:eastAsia="DengXian"/>
                <w:lang w:eastAsia="zh-CN"/>
              </w:rPr>
            </w:pPr>
            <w:r w:rsidRPr="007B5D81">
              <w:rPr>
                <w:rFonts w:eastAsia="DengXian"/>
                <w:lang w:eastAsia="zh-CN"/>
              </w:rPr>
              <w:t>15 000</w:t>
            </w:r>
          </w:p>
        </w:tc>
        <w:tc>
          <w:tcPr>
            <w:tcW w:w="1558" w:type="dxa"/>
            <w:gridSpan w:val="2"/>
            <w:shd w:val="clear" w:color="auto" w:fill="auto"/>
          </w:tcPr>
          <w:p w14:paraId="63D1834D" w14:textId="77777777" w:rsidR="007B5D81" w:rsidRPr="007B5D81" w:rsidRDefault="007B5D81" w:rsidP="007B5D81">
            <w:pPr>
              <w:spacing w:before="40" w:after="120"/>
              <w:ind w:right="113"/>
              <w:rPr>
                <w:rFonts w:eastAsia="DengXian"/>
                <w:lang w:eastAsia="zh-CN"/>
              </w:rPr>
            </w:pPr>
            <w:r w:rsidRPr="007B5D81">
              <w:rPr>
                <w:rFonts w:eastAsia="DengXian"/>
                <w:lang w:eastAsia="zh-CN"/>
              </w:rPr>
              <w:t>Trainer fees and travel covered by GIZ, local costs by UNDP</w:t>
            </w:r>
          </w:p>
        </w:tc>
      </w:tr>
      <w:tr w:rsidR="007B5D81" w:rsidRPr="007B5D81" w14:paraId="7A4E54AC" w14:textId="77777777" w:rsidTr="007B5D81">
        <w:tc>
          <w:tcPr>
            <w:tcW w:w="1394" w:type="dxa"/>
            <w:shd w:val="clear" w:color="auto" w:fill="auto"/>
          </w:tcPr>
          <w:p w14:paraId="5C892861" w14:textId="77777777" w:rsidR="007B5D81" w:rsidRPr="007B5D81" w:rsidRDefault="007B5D81" w:rsidP="007B5D81">
            <w:pPr>
              <w:spacing w:before="40" w:after="120"/>
              <w:ind w:right="113"/>
              <w:rPr>
                <w:rFonts w:eastAsia="DengXian"/>
                <w:lang w:eastAsia="zh-CN"/>
              </w:rPr>
            </w:pPr>
            <w:r w:rsidRPr="007B5D81">
              <w:rPr>
                <w:rFonts w:eastAsia="DengXian"/>
                <w:lang w:eastAsia="zh-CN"/>
              </w:rPr>
              <w:t>Subregional cooperation and capacity-building</w:t>
            </w:r>
          </w:p>
        </w:tc>
        <w:tc>
          <w:tcPr>
            <w:tcW w:w="683" w:type="dxa"/>
            <w:shd w:val="clear" w:color="auto" w:fill="auto"/>
          </w:tcPr>
          <w:p w14:paraId="14DEF678" w14:textId="77777777" w:rsidR="007B5D81" w:rsidRPr="007B5D81" w:rsidRDefault="007B5D81" w:rsidP="007B5D81">
            <w:pPr>
              <w:spacing w:before="40" w:after="120"/>
              <w:ind w:right="113"/>
              <w:rPr>
                <w:rFonts w:eastAsia="DengXian"/>
                <w:lang w:eastAsia="zh-CN"/>
              </w:rPr>
            </w:pPr>
            <w:r w:rsidRPr="007B5D81">
              <w:rPr>
                <w:rFonts w:eastAsia="DengXian"/>
                <w:lang w:eastAsia="zh-CN"/>
              </w:rPr>
              <w:t>3</w:t>
            </w:r>
          </w:p>
        </w:tc>
        <w:tc>
          <w:tcPr>
            <w:tcW w:w="1566" w:type="dxa"/>
            <w:shd w:val="clear" w:color="auto" w:fill="auto"/>
          </w:tcPr>
          <w:p w14:paraId="48A21C48" w14:textId="77777777" w:rsidR="007B5D81" w:rsidRPr="007B5D81" w:rsidRDefault="007B5D81" w:rsidP="007B5D81">
            <w:pPr>
              <w:spacing w:before="40" w:after="120"/>
              <w:ind w:right="113"/>
              <w:rPr>
                <w:rFonts w:eastAsia="DengXian"/>
                <w:lang w:eastAsia="zh-CN"/>
              </w:rPr>
            </w:pPr>
            <w:r w:rsidRPr="007B5D81">
              <w:rPr>
                <w:rFonts w:eastAsia="DengXian"/>
                <w:lang w:eastAsia="zh-CN"/>
              </w:rPr>
              <w:t>Sixth seminar on cooperation on the Espoo Convention in the Baltic Sea subregion, Tallinn</w:t>
            </w:r>
          </w:p>
        </w:tc>
        <w:tc>
          <w:tcPr>
            <w:tcW w:w="1215" w:type="dxa"/>
            <w:shd w:val="clear" w:color="auto" w:fill="auto"/>
          </w:tcPr>
          <w:p w14:paraId="0E23C2F6" w14:textId="77777777" w:rsidR="007B5D81" w:rsidRPr="007B5D81" w:rsidRDefault="007B5D81" w:rsidP="007B5D81">
            <w:pPr>
              <w:spacing w:before="40" w:after="120"/>
              <w:ind w:right="113"/>
              <w:rPr>
                <w:rFonts w:eastAsia="DengXian"/>
                <w:lang w:eastAsia="zh-CN"/>
              </w:rPr>
            </w:pPr>
            <w:r w:rsidRPr="007B5D81">
              <w:rPr>
                <w:rFonts w:eastAsia="DengXian"/>
                <w:lang w:eastAsia="zh-CN"/>
              </w:rPr>
              <w:t>20–21 September 2012</w:t>
            </w:r>
          </w:p>
        </w:tc>
        <w:tc>
          <w:tcPr>
            <w:tcW w:w="1217" w:type="dxa"/>
            <w:shd w:val="clear" w:color="auto" w:fill="auto"/>
          </w:tcPr>
          <w:p w14:paraId="0CFB11D1" w14:textId="77777777" w:rsidR="007B5D81" w:rsidRPr="007B5D81" w:rsidRDefault="007B5D81" w:rsidP="007B5D81">
            <w:pPr>
              <w:spacing w:before="40" w:after="120"/>
              <w:ind w:right="113"/>
              <w:rPr>
                <w:rFonts w:eastAsia="DengXian"/>
                <w:lang w:eastAsia="zh-CN"/>
              </w:rPr>
            </w:pPr>
            <w:r w:rsidRPr="007B5D81">
              <w:rPr>
                <w:rFonts w:eastAsia="DengXian"/>
                <w:lang w:eastAsia="zh-CN"/>
              </w:rPr>
              <w:t xml:space="preserve">Estonia </w:t>
            </w:r>
          </w:p>
        </w:tc>
        <w:tc>
          <w:tcPr>
            <w:tcW w:w="871" w:type="dxa"/>
            <w:shd w:val="clear" w:color="auto" w:fill="auto"/>
          </w:tcPr>
          <w:p w14:paraId="16E7261E" w14:textId="77777777" w:rsidR="007B5D81" w:rsidRPr="007B5D81" w:rsidRDefault="007B5D81" w:rsidP="007B5D81">
            <w:pPr>
              <w:spacing w:before="40" w:after="120"/>
              <w:ind w:right="113"/>
              <w:rPr>
                <w:rFonts w:eastAsia="DengXian"/>
                <w:lang w:eastAsia="zh-CN"/>
              </w:rPr>
            </w:pPr>
            <w:r w:rsidRPr="007B5D81">
              <w:rPr>
                <w:rFonts w:eastAsia="DengXian"/>
                <w:lang w:eastAsia="zh-CN"/>
              </w:rPr>
              <w:t>20 000</w:t>
            </w:r>
          </w:p>
        </w:tc>
        <w:tc>
          <w:tcPr>
            <w:tcW w:w="1558" w:type="dxa"/>
            <w:gridSpan w:val="2"/>
            <w:shd w:val="clear" w:color="auto" w:fill="auto"/>
          </w:tcPr>
          <w:p w14:paraId="3CAE004D" w14:textId="77777777" w:rsidR="007B5D81" w:rsidRPr="007B5D81" w:rsidRDefault="007B5D81" w:rsidP="007B5D81">
            <w:pPr>
              <w:spacing w:before="40" w:after="120"/>
              <w:ind w:right="113"/>
              <w:rPr>
                <w:rFonts w:eastAsia="DengXian"/>
                <w:lang w:eastAsia="zh-CN"/>
              </w:rPr>
            </w:pPr>
          </w:p>
        </w:tc>
      </w:tr>
      <w:tr w:rsidR="007B5D81" w:rsidRPr="007B5D81" w14:paraId="2791B714" w14:textId="77777777" w:rsidTr="007B5D81">
        <w:tc>
          <w:tcPr>
            <w:tcW w:w="1394" w:type="dxa"/>
            <w:shd w:val="clear" w:color="auto" w:fill="auto"/>
          </w:tcPr>
          <w:p w14:paraId="2A134E5C" w14:textId="77777777" w:rsidR="007B5D81" w:rsidRPr="007B5D81" w:rsidRDefault="007B5D81" w:rsidP="007B5D81">
            <w:pPr>
              <w:spacing w:before="40" w:after="120"/>
              <w:ind w:right="113"/>
              <w:rPr>
                <w:rFonts w:eastAsia="DengXian"/>
                <w:lang w:eastAsia="zh-CN"/>
              </w:rPr>
            </w:pPr>
            <w:r w:rsidRPr="007B5D81">
              <w:rPr>
                <w:rFonts w:eastAsia="DengXian"/>
                <w:lang w:eastAsia="zh-CN"/>
              </w:rPr>
              <w:t>Compliance with and implementation of the Convention</w:t>
            </w:r>
          </w:p>
        </w:tc>
        <w:tc>
          <w:tcPr>
            <w:tcW w:w="683" w:type="dxa"/>
            <w:shd w:val="clear" w:color="auto" w:fill="auto"/>
          </w:tcPr>
          <w:p w14:paraId="41B1ED46" w14:textId="77777777" w:rsidR="007B5D81" w:rsidRPr="007B5D81" w:rsidRDefault="007B5D81" w:rsidP="007B5D81">
            <w:pPr>
              <w:spacing w:before="40" w:after="120"/>
              <w:ind w:right="113"/>
              <w:rPr>
                <w:rFonts w:eastAsia="DengXian"/>
                <w:lang w:eastAsia="zh-CN"/>
              </w:rPr>
            </w:pPr>
            <w:r w:rsidRPr="007B5D81">
              <w:rPr>
                <w:rFonts w:eastAsia="DengXian"/>
                <w:lang w:eastAsia="zh-CN"/>
              </w:rPr>
              <w:t>3</w:t>
            </w:r>
          </w:p>
        </w:tc>
        <w:tc>
          <w:tcPr>
            <w:tcW w:w="1566" w:type="dxa"/>
            <w:shd w:val="clear" w:color="auto" w:fill="auto"/>
          </w:tcPr>
          <w:p w14:paraId="61E865B4" w14:textId="77777777" w:rsidR="007B5D81" w:rsidRPr="007B5D81" w:rsidRDefault="007B5D81" w:rsidP="007B5D81">
            <w:pPr>
              <w:spacing w:before="40" w:after="120"/>
              <w:ind w:right="113"/>
              <w:rPr>
                <w:rFonts w:eastAsia="DengXian"/>
                <w:lang w:eastAsia="zh-CN"/>
              </w:rPr>
            </w:pPr>
            <w:r w:rsidRPr="007B5D81">
              <w:rPr>
                <w:rFonts w:eastAsia="DengXian"/>
                <w:lang w:eastAsia="zh-CN"/>
              </w:rPr>
              <w:t>Technical advice to Belarus on improving legislation to implement the Protocol</w:t>
            </w:r>
          </w:p>
        </w:tc>
        <w:tc>
          <w:tcPr>
            <w:tcW w:w="1215" w:type="dxa"/>
            <w:shd w:val="clear" w:color="auto" w:fill="auto"/>
          </w:tcPr>
          <w:p w14:paraId="2B928AFA" w14:textId="77777777" w:rsidR="007B5D81" w:rsidRPr="007B5D81" w:rsidRDefault="007B5D81" w:rsidP="007B5D81">
            <w:pPr>
              <w:spacing w:before="40" w:after="120"/>
              <w:ind w:right="113"/>
              <w:rPr>
                <w:rFonts w:eastAsia="DengXian"/>
                <w:lang w:eastAsia="zh-CN"/>
              </w:rPr>
            </w:pPr>
            <w:r w:rsidRPr="007B5D81">
              <w:rPr>
                <w:rFonts w:eastAsia="DengXian"/>
                <w:lang w:eastAsia="zh-CN"/>
              </w:rPr>
              <w:t>2013</w:t>
            </w:r>
          </w:p>
        </w:tc>
        <w:tc>
          <w:tcPr>
            <w:tcW w:w="1217" w:type="dxa"/>
            <w:shd w:val="clear" w:color="auto" w:fill="auto"/>
          </w:tcPr>
          <w:p w14:paraId="2FEA5178" w14:textId="77777777" w:rsidR="007B5D81" w:rsidRPr="007B5D81" w:rsidRDefault="007B5D81" w:rsidP="007B5D81">
            <w:pPr>
              <w:spacing w:before="40" w:after="120"/>
              <w:ind w:right="113"/>
              <w:rPr>
                <w:rFonts w:eastAsia="DengXian"/>
                <w:lang w:eastAsia="zh-CN"/>
              </w:rPr>
            </w:pPr>
            <w:r w:rsidRPr="007B5D81">
              <w:rPr>
                <w:rFonts w:eastAsia="DengXian"/>
                <w:lang w:eastAsia="zh-CN"/>
              </w:rPr>
              <w:t>ENVSEC, with funding from Sweden</w:t>
            </w:r>
          </w:p>
        </w:tc>
        <w:tc>
          <w:tcPr>
            <w:tcW w:w="871" w:type="dxa"/>
            <w:shd w:val="clear" w:color="auto" w:fill="auto"/>
          </w:tcPr>
          <w:p w14:paraId="4B44285B" w14:textId="77777777" w:rsidR="007B5D81" w:rsidRPr="007B5D81" w:rsidRDefault="007B5D81" w:rsidP="007B5D81">
            <w:pPr>
              <w:spacing w:before="40" w:after="120"/>
              <w:ind w:right="113"/>
              <w:rPr>
                <w:rFonts w:eastAsia="DengXian"/>
                <w:lang w:eastAsia="zh-CN"/>
              </w:rPr>
            </w:pPr>
            <w:r w:rsidRPr="007B5D81">
              <w:rPr>
                <w:rFonts w:eastAsia="DengXian"/>
                <w:lang w:eastAsia="zh-CN"/>
              </w:rPr>
              <w:t>25 000</w:t>
            </w:r>
          </w:p>
        </w:tc>
        <w:tc>
          <w:tcPr>
            <w:tcW w:w="1558" w:type="dxa"/>
            <w:gridSpan w:val="2"/>
            <w:shd w:val="clear" w:color="auto" w:fill="auto"/>
          </w:tcPr>
          <w:p w14:paraId="10CD1B01" w14:textId="77777777" w:rsidR="007B5D81" w:rsidRPr="007B5D81" w:rsidRDefault="007B5D81" w:rsidP="007B5D81">
            <w:pPr>
              <w:spacing w:before="40" w:after="120"/>
              <w:ind w:right="113"/>
              <w:rPr>
                <w:rFonts w:eastAsia="DengXian"/>
                <w:lang w:eastAsia="zh-CN"/>
              </w:rPr>
            </w:pPr>
            <w:r w:rsidRPr="007B5D81">
              <w:rPr>
                <w:rFonts w:eastAsia="DengXian"/>
                <w:lang w:eastAsia="zh-CN"/>
              </w:rPr>
              <w:t>National round table consultation meeting held in September 2013 to discuss the preliminary results of the legal review.</w:t>
            </w:r>
          </w:p>
        </w:tc>
      </w:tr>
      <w:tr w:rsidR="007B5D81" w:rsidRPr="007B5D81" w14:paraId="150E97F8" w14:textId="77777777" w:rsidTr="007B5D81">
        <w:tc>
          <w:tcPr>
            <w:tcW w:w="1394" w:type="dxa"/>
            <w:shd w:val="clear" w:color="auto" w:fill="auto"/>
          </w:tcPr>
          <w:p w14:paraId="1C293935" w14:textId="77777777" w:rsidR="007B5D81" w:rsidRPr="007B5D81" w:rsidRDefault="007B5D81" w:rsidP="007B5D81">
            <w:pPr>
              <w:spacing w:before="40" w:after="120"/>
              <w:ind w:right="113"/>
              <w:rPr>
                <w:rFonts w:eastAsia="DengXian"/>
                <w:lang w:eastAsia="zh-CN"/>
              </w:rPr>
            </w:pPr>
            <w:r w:rsidRPr="007B5D81">
              <w:rPr>
                <w:rFonts w:eastAsia="DengXian"/>
                <w:lang w:eastAsia="zh-CN"/>
              </w:rPr>
              <w:t>Subregional cooperation and capacity-building</w:t>
            </w:r>
          </w:p>
        </w:tc>
        <w:tc>
          <w:tcPr>
            <w:tcW w:w="683" w:type="dxa"/>
            <w:shd w:val="clear" w:color="auto" w:fill="auto"/>
          </w:tcPr>
          <w:p w14:paraId="74846FE8" w14:textId="77777777" w:rsidR="007B5D81" w:rsidRPr="007B5D81" w:rsidRDefault="007B5D81" w:rsidP="007B5D81">
            <w:pPr>
              <w:spacing w:before="40" w:after="120"/>
              <w:ind w:right="113"/>
              <w:rPr>
                <w:rFonts w:eastAsia="DengXian"/>
                <w:lang w:eastAsia="zh-CN"/>
              </w:rPr>
            </w:pPr>
            <w:r w:rsidRPr="007B5D81">
              <w:rPr>
                <w:rFonts w:eastAsia="DengXian"/>
                <w:lang w:eastAsia="zh-CN"/>
              </w:rPr>
              <w:t>3</w:t>
            </w:r>
          </w:p>
        </w:tc>
        <w:tc>
          <w:tcPr>
            <w:tcW w:w="1566" w:type="dxa"/>
            <w:shd w:val="clear" w:color="auto" w:fill="auto"/>
          </w:tcPr>
          <w:p w14:paraId="17C60654" w14:textId="77777777" w:rsidR="007B5D81" w:rsidRPr="007B5D81" w:rsidRDefault="007B5D81" w:rsidP="007B5D81">
            <w:pPr>
              <w:spacing w:before="40" w:after="120"/>
              <w:ind w:right="113"/>
              <w:rPr>
                <w:rFonts w:eastAsia="DengXian"/>
                <w:lang w:eastAsia="zh-CN"/>
              </w:rPr>
            </w:pPr>
            <w:r w:rsidRPr="007B5D81">
              <w:rPr>
                <w:rFonts w:eastAsia="DengXian"/>
                <w:lang w:eastAsia="zh-CN"/>
              </w:rPr>
              <w:t>Pilot project on post-project analysis with Belarus and Ukraine.</w:t>
            </w:r>
          </w:p>
        </w:tc>
        <w:tc>
          <w:tcPr>
            <w:tcW w:w="1215" w:type="dxa"/>
            <w:shd w:val="clear" w:color="auto" w:fill="auto"/>
          </w:tcPr>
          <w:p w14:paraId="22ED7F7C" w14:textId="77777777" w:rsidR="007B5D81" w:rsidRPr="007B5D81" w:rsidRDefault="007B5D81" w:rsidP="007B5D81">
            <w:pPr>
              <w:spacing w:before="40" w:after="120"/>
              <w:ind w:right="113"/>
              <w:rPr>
                <w:rFonts w:eastAsia="DengXian"/>
                <w:lang w:eastAsia="zh-CN"/>
              </w:rPr>
            </w:pPr>
            <w:r w:rsidRPr="007B5D81">
              <w:rPr>
                <w:rFonts w:eastAsia="DengXian"/>
                <w:lang w:eastAsia="zh-CN"/>
              </w:rPr>
              <w:t>2013–2014</w:t>
            </w:r>
          </w:p>
        </w:tc>
        <w:tc>
          <w:tcPr>
            <w:tcW w:w="1217" w:type="dxa"/>
            <w:shd w:val="clear" w:color="auto" w:fill="auto"/>
          </w:tcPr>
          <w:p w14:paraId="0C409004" w14:textId="77777777" w:rsidR="007B5D81" w:rsidRPr="007B5D81" w:rsidRDefault="007B5D81" w:rsidP="007B5D81">
            <w:pPr>
              <w:spacing w:before="40" w:after="120"/>
              <w:ind w:right="113"/>
              <w:rPr>
                <w:rFonts w:eastAsia="DengXian"/>
                <w:lang w:eastAsia="zh-CN"/>
              </w:rPr>
            </w:pPr>
            <w:r w:rsidRPr="007B5D81">
              <w:rPr>
                <w:rFonts w:eastAsia="DengXian"/>
                <w:lang w:eastAsia="zh-CN"/>
              </w:rPr>
              <w:t>ENVSEC, with funding from Sweden</w:t>
            </w:r>
          </w:p>
        </w:tc>
        <w:tc>
          <w:tcPr>
            <w:tcW w:w="871" w:type="dxa"/>
            <w:shd w:val="clear" w:color="auto" w:fill="auto"/>
          </w:tcPr>
          <w:p w14:paraId="23E1A65F" w14:textId="77777777" w:rsidR="007B5D81" w:rsidRPr="007B5D81" w:rsidRDefault="007B5D81" w:rsidP="007B5D81">
            <w:pPr>
              <w:spacing w:before="40" w:after="120"/>
              <w:ind w:right="113"/>
              <w:rPr>
                <w:rFonts w:eastAsia="DengXian"/>
                <w:lang w:eastAsia="zh-CN"/>
              </w:rPr>
            </w:pPr>
            <w:r w:rsidRPr="007B5D81">
              <w:rPr>
                <w:rFonts w:eastAsia="DengXian"/>
                <w:lang w:eastAsia="zh-CN"/>
              </w:rPr>
              <w:t>100 000</w:t>
            </w:r>
          </w:p>
        </w:tc>
        <w:tc>
          <w:tcPr>
            <w:tcW w:w="1558" w:type="dxa"/>
            <w:gridSpan w:val="2"/>
            <w:shd w:val="clear" w:color="auto" w:fill="auto"/>
          </w:tcPr>
          <w:p w14:paraId="22B857D7" w14:textId="77777777" w:rsidR="007B5D81" w:rsidRPr="007B5D81" w:rsidRDefault="007B5D81" w:rsidP="007B5D81">
            <w:pPr>
              <w:spacing w:before="40" w:after="120"/>
              <w:ind w:right="113"/>
              <w:rPr>
                <w:rFonts w:eastAsia="DengXian"/>
                <w:lang w:eastAsia="zh-CN"/>
              </w:rPr>
            </w:pPr>
            <w:r w:rsidRPr="007B5D81">
              <w:rPr>
                <w:rFonts w:eastAsia="DengXian"/>
                <w:lang w:eastAsia="zh-CN"/>
              </w:rPr>
              <w:t xml:space="preserve">Start-up workshop in April 2013, three meetings of the bilateral working group on monitoring, one meeting of the task force in 2013 </w:t>
            </w:r>
            <w:r w:rsidRPr="007B5D81">
              <w:rPr>
                <w:rFonts w:eastAsia="DengXian"/>
                <w:lang w:eastAsia="zh-CN"/>
              </w:rPr>
              <w:lastRenderedPageBreak/>
              <w:t>and one workshop on public participation in February 2014.</w:t>
            </w:r>
          </w:p>
        </w:tc>
      </w:tr>
      <w:tr w:rsidR="007B5D81" w:rsidRPr="007B5D81" w14:paraId="1F1EA423" w14:textId="77777777" w:rsidTr="007B5D81">
        <w:tc>
          <w:tcPr>
            <w:tcW w:w="1394" w:type="dxa"/>
            <w:shd w:val="clear" w:color="auto" w:fill="auto"/>
          </w:tcPr>
          <w:p w14:paraId="6BE8B5CB" w14:textId="77777777" w:rsidR="007B5D81" w:rsidRPr="007B5D81" w:rsidRDefault="007B5D81" w:rsidP="007B5D81">
            <w:pPr>
              <w:spacing w:before="40" w:after="120"/>
              <w:ind w:right="113"/>
              <w:rPr>
                <w:rFonts w:eastAsia="DengXian"/>
                <w:lang w:eastAsia="zh-CN"/>
              </w:rPr>
            </w:pPr>
            <w:r w:rsidRPr="007B5D81">
              <w:rPr>
                <w:rFonts w:eastAsia="DengXian"/>
                <w:lang w:eastAsia="zh-CN"/>
              </w:rPr>
              <w:lastRenderedPageBreak/>
              <w:t>Subregional cooperation and capacity-building</w:t>
            </w:r>
          </w:p>
        </w:tc>
        <w:tc>
          <w:tcPr>
            <w:tcW w:w="683" w:type="dxa"/>
            <w:shd w:val="clear" w:color="auto" w:fill="auto"/>
          </w:tcPr>
          <w:p w14:paraId="59932F7F" w14:textId="77777777" w:rsidR="007B5D81" w:rsidRPr="007B5D81" w:rsidRDefault="007B5D81" w:rsidP="007B5D81">
            <w:pPr>
              <w:spacing w:before="40" w:after="120"/>
              <w:ind w:right="113"/>
              <w:rPr>
                <w:rFonts w:eastAsia="DengXian"/>
                <w:lang w:eastAsia="zh-CN"/>
              </w:rPr>
            </w:pPr>
            <w:r w:rsidRPr="007B5D81">
              <w:rPr>
                <w:rFonts w:eastAsia="DengXian"/>
                <w:lang w:eastAsia="zh-CN"/>
              </w:rPr>
              <w:t>3</w:t>
            </w:r>
          </w:p>
        </w:tc>
        <w:tc>
          <w:tcPr>
            <w:tcW w:w="1566" w:type="dxa"/>
            <w:shd w:val="clear" w:color="auto" w:fill="auto"/>
          </w:tcPr>
          <w:p w14:paraId="7E91F3A0" w14:textId="77777777" w:rsidR="007B5D81" w:rsidRPr="007B5D81" w:rsidRDefault="007B5D81" w:rsidP="007B5D81">
            <w:pPr>
              <w:spacing w:before="40" w:after="120"/>
              <w:ind w:right="113"/>
              <w:rPr>
                <w:rFonts w:eastAsia="DengXian"/>
                <w:lang w:eastAsia="zh-CN"/>
              </w:rPr>
            </w:pPr>
            <w:r w:rsidRPr="007B5D81">
              <w:rPr>
                <w:rFonts w:eastAsia="DengXian"/>
                <w:lang w:eastAsia="zh-CN"/>
              </w:rPr>
              <w:t>Subregional meetings</w:t>
            </w:r>
          </w:p>
        </w:tc>
        <w:tc>
          <w:tcPr>
            <w:tcW w:w="1215" w:type="dxa"/>
            <w:shd w:val="clear" w:color="auto" w:fill="auto"/>
          </w:tcPr>
          <w:p w14:paraId="403C2ED2" w14:textId="77777777" w:rsidR="007B5D81" w:rsidRPr="007B5D81" w:rsidRDefault="007B5D81" w:rsidP="007B5D81">
            <w:pPr>
              <w:spacing w:before="40" w:after="120"/>
              <w:ind w:right="113"/>
              <w:rPr>
                <w:rFonts w:eastAsia="DengXian"/>
                <w:lang w:eastAsia="zh-CN"/>
              </w:rPr>
            </w:pPr>
            <w:r w:rsidRPr="007B5D81">
              <w:rPr>
                <w:rFonts w:eastAsia="DengXian"/>
                <w:lang w:eastAsia="zh-CN"/>
              </w:rPr>
              <w:t>15–16 April 2014</w:t>
            </w:r>
          </w:p>
        </w:tc>
        <w:tc>
          <w:tcPr>
            <w:tcW w:w="1217" w:type="dxa"/>
            <w:shd w:val="clear" w:color="auto" w:fill="auto"/>
          </w:tcPr>
          <w:p w14:paraId="5FDD0521" w14:textId="77777777" w:rsidR="007B5D81" w:rsidRPr="007B5D81" w:rsidRDefault="007B5D81" w:rsidP="007B5D81">
            <w:pPr>
              <w:spacing w:before="40" w:after="120"/>
              <w:ind w:right="113"/>
              <w:rPr>
                <w:rFonts w:eastAsia="DengXian"/>
                <w:lang w:eastAsia="zh-CN"/>
              </w:rPr>
            </w:pPr>
            <w:r w:rsidRPr="007B5D81">
              <w:rPr>
                <w:rFonts w:eastAsia="DengXian"/>
                <w:lang w:eastAsia="zh-CN"/>
              </w:rPr>
              <w:t>ENVSEC, with funding from Sweden and EaP GREEN</w:t>
            </w:r>
          </w:p>
        </w:tc>
        <w:tc>
          <w:tcPr>
            <w:tcW w:w="871" w:type="dxa"/>
            <w:shd w:val="clear" w:color="auto" w:fill="auto"/>
          </w:tcPr>
          <w:p w14:paraId="3D1AB0D5" w14:textId="77777777" w:rsidR="007B5D81" w:rsidRPr="007B5D81" w:rsidRDefault="007B5D81" w:rsidP="007B5D81">
            <w:pPr>
              <w:spacing w:before="40" w:after="120"/>
              <w:ind w:right="113"/>
              <w:rPr>
                <w:rFonts w:eastAsia="DengXian"/>
                <w:lang w:eastAsia="zh-CN"/>
              </w:rPr>
            </w:pPr>
            <w:r w:rsidRPr="007B5D81">
              <w:rPr>
                <w:rFonts w:eastAsia="DengXian"/>
                <w:lang w:eastAsia="zh-CN"/>
              </w:rPr>
              <w:t>45 000</w:t>
            </w:r>
          </w:p>
        </w:tc>
        <w:tc>
          <w:tcPr>
            <w:tcW w:w="1558" w:type="dxa"/>
            <w:gridSpan w:val="2"/>
            <w:shd w:val="clear" w:color="auto" w:fill="auto"/>
          </w:tcPr>
          <w:p w14:paraId="43FEC028" w14:textId="77777777" w:rsidR="007B5D81" w:rsidRPr="007B5D81" w:rsidRDefault="007B5D81" w:rsidP="007B5D81">
            <w:pPr>
              <w:spacing w:before="40" w:after="120"/>
              <w:ind w:right="113"/>
              <w:rPr>
                <w:rFonts w:eastAsia="DengXian"/>
                <w:lang w:eastAsia="zh-CN"/>
              </w:rPr>
            </w:pPr>
            <w:r w:rsidRPr="007B5D81">
              <w:rPr>
                <w:rFonts w:eastAsia="DengXian"/>
                <w:lang w:eastAsia="zh-CN"/>
              </w:rPr>
              <w:t>Subregional conference to disseminate results of EIA pilot in Belarus and Ukraine and capacity-building activities in the Eastern Europe and Caucasus region.</w:t>
            </w:r>
          </w:p>
        </w:tc>
      </w:tr>
      <w:tr w:rsidR="007B5D81" w:rsidRPr="007B5D81" w14:paraId="4CA53451" w14:textId="77777777" w:rsidTr="007B5D81">
        <w:tc>
          <w:tcPr>
            <w:tcW w:w="1394" w:type="dxa"/>
            <w:shd w:val="clear" w:color="auto" w:fill="auto"/>
          </w:tcPr>
          <w:p w14:paraId="758B91E0" w14:textId="77777777" w:rsidR="007B5D81" w:rsidRPr="007B5D81" w:rsidRDefault="007B5D81" w:rsidP="007B5D81">
            <w:pPr>
              <w:spacing w:before="40" w:after="120"/>
              <w:ind w:right="113"/>
              <w:rPr>
                <w:rFonts w:eastAsia="DengXian"/>
                <w:lang w:eastAsia="zh-CN"/>
              </w:rPr>
            </w:pPr>
            <w:r w:rsidRPr="007B5D81">
              <w:rPr>
                <w:rFonts w:eastAsia="DengXian"/>
                <w:lang w:eastAsia="zh-CN"/>
              </w:rPr>
              <w:t>Promoting ratification and application of the Protocol on SEA</w:t>
            </w:r>
          </w:p>
        </w:tc>
        <w:tc>
          <w:tcPr>
            <w:tcW w:w="683" w:type="dxa"/>
            <w:shd w:val="clear" w:color="auto" w:fill="auto"/>
          </w:tcPr>
          <w:p w14:paraId="0668434D" w14:textId="77777777" w:rsidR="007B5D81" w:rsidRPr="007B5D81" w:rsidRDefault="007B5D81" w:rsidP="007B5D81">
            <w:pPr>
              <w:spacing w:before="40" w:after="120"/>
              <w:ind w:right="113"/>
              <w:rPr>
                <w:rFonts w:eastAsia="DengXian"/>
                <w:lang w:eastAsia="zh-CN"/>
              </w:rPr>
            </w:pPr>
            <w:r w:rsidRPr="007B5D81">
              <w:rPr>
                <w:rFonts w:eastAsia="DengXian"/>
                <w:lang w:eastAsia="zh-CN"/>
              </w:rPr>
              <w:t>3</w:t>
            </w:r>
          </w:p>
        </w:tc>
        <w:tc>
          <w:tcPr>
            <w:tcW w:w="1566" w:type="dxa"/>
            <w:shd w:val="clear" w:color="auto" w:fill="auto"/>
          </w:tcPr>
          <w:p w14:paraId="68EA9D70" w14:textId="77777777" w:rsidR="007B5D81" w:rsidRPr="007B5D81" w:rsidRDefault="007B5D81" w:rsidP="007B5D81">
            <w:pPr>
              <w:spacing w:before="40" w:after="120"/>
              <w:ind w:right="113"/>
              <w:rPr>
                <w:rFonts w:eastAsia="DengXian"/>
                <w:lang w:eastAsia="zh-CN"/>
              </w:rPr>
            </w:pPr>
            <w:r w:rsidRPr="007B5D81">
              <w:rPr>
                <w:rFonts w:eastAsia="DengXian"/>
                <w:lang w:eastAsia="zh-CN"/>
              </w:rPr>
              <w:t>Workshops, including training, on the application of the Protocol in Belarus</w:t>
            </w:r>
          </w:p>
        </w:tc>
        <w:tc>
          <w:tcPr>
            <w:tcW w:w="1215" w:type="dxa"/>
            <w:shd w:val="clear" w:color="auto" w:fill="auto"/>
          </w:tcPr>
          <w:p w14:paraId="0BA6C1EF" w14:textId="77777777" w:rsidR="007B5D81" w:rsidRPr="007B5D81" w:rsidRDefault="007B5D81" w:rsidP="007B5D81">
            <w:pPr>
              <w:spacing w:before="40" w:after="120"/>
              <w:ind w:right="113"/>
              <w:rPr>
                <w:rFonts w:eastAsia="DengXian"/>
                <w:lang w:eastAsia="zh-CN"/>
              </w:rPr>
            </w:pPr>
            <w:r w:rsidRPr="007B5D81">
              <w:rPr>
                <w:rFonts w:eastAsia="DengXian"/>
                <w:lang w:eastAsia="zh-CN"/>
              </w:rPr>
              <w:t>October 2013</w:t>
            </w:r>
          </w:p>
        </w:tc>
        <w:tc>
          <w:tcPr>
            <w:tcW w:w="1217" w:type="dxa"/>
            <w:shd w:val="clear" w:color="auto" w:fill="auto"/>
          </w:tcPr>
          <w:p w14:paraId="176AA50D" w14:textId="77777777" w:rsidR="007B5D81" w:rsidRPr="007B5D81" w:rsidRDefault="007B5D81" w:rsidP="007B5D81">
            <w:pPr>
              <w:spacing w:before="40" w:after="120"/>
              <w:ind w:right="113"/>
              <w:rPr>
                <w:rFonts w:eastAsia="DengXian"/>
                <w:lang w:eastAsia="zh-CN"/>
              </w:rPr>
            </w:pPr>
            <w:r w:rsidRPr="007B5D81">
              <w:rPr>
                <w:rFonts w:eastAsia="DengXian"/>
                <w:lang w:eastAsia="zh-CN"/>
              </w:rPr>
              <w:t>ENVSEC, with funding from Sweden</w:t>
            </w:r>
          </w:p>
        </w:tc>
        <w:tc>
          <w:tcPr>
            <w:tcW w:w="871" w:type="dxa"/>
            <w:shd w:val="clear" w:color="auto" w:fill="auto"/>
          </w:tcPr>
          <w:p w14:paraId="714A922D" w14:textId="77777777" w:rsidR="007B5D81" w:rsidRPr="007B5D81" w:rsidRDefault="007B5D81" w:rsidP="007B5D81">
            <w:pPr>
              <w:spacing w:before="40" w:after="120"/>
              <w:ind w:right="113"/>
              <w:rPr>
                <w:rFonts w:eastAsia="DengXian"/>
                <w:lang w:eastAsia="zh-CN"/>
              </w:rPr>
            </w:pPr>
            <w:r w:rsidRPr="007B5D81">
              <w:rPr>
                <w:rFonts w:eastAsia="DengXian"/>
                <w:lang w:eastAsia="zh-CN"/>
              </w:rPr>
              <w:t>60 000</w:t>
            </w:r>
          </w:p>
        </w:tc>
        <w:tc>
          <w:tcPr>
            <w:tcW w:w="1558" w:type="dxa"/>
            <w:gridSpan w:val="2"/>
            <w:shd w:val="clear" w:color="auto" w:fill="auto"/>
          </w:tcPr>
          <w:p w14:paraId="54D6B9DD" w14:textId="77777777" w:rsidR="007B5D81" w:rsidRPr="007B5D81" w:rsidRDefault="007B5D81" w:rsidP="007B5D81">
            <w:pPr>
              <w:spacing w:before="40" w:after="120"/>
              <w:ind w:right="113"/>
              <w:rPr>
                <w:rFonts w:eastAsia="DengXian"/>
                <w:lang w:eastAsia="zh-CN"/>
              </w:rPr>
            </w:pPr>
            <w:r w:rsidRPr="007B5D81">
              <w:rPr>
                <w:rFonts w:eastAsia="DengXian"/>
                <w:lang w:eastAsia="zh-CN"/>
              </w:rPr>
              <w:t>Three local level training workshops in Brest, Gomel and Grodno.</w:t>
            </w:r>
          </w:p>
        </w:tc>
      </w:tr>
      <w:tr w:rsidR="007B5D81" w:rsidRPr="007B5D81" w14:paraId="7B6154DC" w14:textId="77777777" w:rsidTr="007B5D81">
        <w:tc>
          <w:tcPr>
            <w:tcW w:w="1394" w:type="dxa"/>
            <w:shd w:val="clear" w:color="auto" w:fill="auto"/>
          </w:tcPr>
          <w:p w14:paraId="78D4E9E1" w14:textId="77777777" w:rsidR="007B5D81" w:rsidRPr="007B5D81" w:rsidRDefault="007B5D81" w:rsidP="007B5D81">
            <w:pPr>
              <w:spacing w:before="40" w:after="120"/>
              <w:ind w:right="113"/>
              <w:rPr>
                <w:rFonts w:eastAsia="DengXian"/>
                <w:iCs/>
                <w:lang w:eastAsia="zh-CN"/>
              </w:rPr>
            </w:pPr>
            <w:r w:rsidRPr="007B5D81">
              <w:rPr>
                <w:rFonts w:eastAsia="DengXian"/>
                <w:iCs/>
                <w:lang w:eastAsia="zh-CN"/>
              </w:rPr>
              <w:t>Promoting ratification and application of the Protocol on SEA</w:t>
            </w:r>
          </w:p>
        </w:tc>
        <w:tc>
          <w:tcPr>
            <w:tcW w:w="683" w:type="dxa"/>
            <w:shd w:val="clear" w:color="auto" w:fill="auto"/>
          </w:tcPr>
          <w:p w14:paraId="1B1D5081" w14:textId="77777777" w:rsidR="007B5D81" w:rsidRPr="007B5D81" w:rsidRDefault="007B5D81" w:rsidP="007B5D81">
            <w:pPr>
              <w:spacing w:before="40" w:after="120"/>
              <w:ind w:right="113"/>
              <w:rPr>
                <w:rFonts w:eastAsia="DengXian"/>
                <w:iCs/>
                <w:lang w:eastAsia="zh-CN"/>
              </w:rPr>
            </w:pPr>
            <w:r w:rsidRPr="007B5D81">
              <w:rPr>
                <w:rFonts w:eastAsia="DengXian"/>
                <w:iCs/>
                <w:lang w:eastAsia="zh-CN"/>
              </w:rPr>
              <w:t>3</w:t>
            </w:r>
          </w:p>
        </w:tc>
        <w:tc>
          <w:tcPr>
            <w:tcW w:w="1566" w:type="dxa"/>
            <w:shd w:val="clear" w:color="auto" w:fill="auto"/>
          </w:tcPr>
          <w:p w14:paraId="4EA630C4" w14:textId="77777777" w:rsidR="007B5D81" w:rsidRPr="007B5D81" w:rsidRDefault="007B5D81" w:rsidP="007B5D81">
            <w:pPr>
              <w:spacing w:before="40" w:after="120"/>
              <w:ind w:right="113"/>
              <w:rPr>
                <w:rFonts w:eastAsia="DengXian"/>
                <w:iCs/>
                <w:lang w:eastAsia="zh-CN"/>
              </w:rPr>
            </w:pPr>
            <w:r w:rsidRPr="007B5D81">
              <w:rPr>
                <w:rFonts w:eastAsia="DengXian"/>
                <w:iCs/>
                <w:lang w:eastAsia="zh-CN"/>
              </w:rPr>
              <w:t>Workshops, including training, on the application of the Protocol in Ukraine</w:t>
            </w:r>
          </w:p>
        </w:tc>
        <w:tc>
          <w:tcPr>
            <w:tcW w:w="1215" w:type="dxa"/>
            <w:shd w:val="clear" w:color="auto" w:fill="auto"/>
          </w:tcPr>
          <w:p w14:paraId="58A9A91E" w14:textId="77777777" w:rsidR="007B5D81" w:rsidRPr="007B5D81" w:rsidRDefault="007B5D81" w:rsidP="007B5D81">
            <w:pPr>
              <w:spacing w:before="40" w:after="120"/>
              <w:ind w:right="113"/>
              <w:rPr>
                <w:rFonts w:eastAsia="DengXian"/>
                <w:iCs/>
                <w:lang w:eastAsia="zh-CN"/>
              </w:rPr>
            </w:pPr>
            <w:r w:rsidRPr="007B5D81">
              <w:rPr>
                <w:rFonts w:eastAsia="DengXian"/>
                <w:iCs/>
                <w:lang w:eastAsia="zh-CN"/>
              </w:rPr>
              <w:t>1–4 October 2013</w:t>
            </w:r>
          </w:p>
        </w:tc>
        <w:tc>
          <w:tcPr>
            <w:tcW w:w="1217" w:type="dxa"/>
            <w:shd w:val="clear" w:color="auto" w:fill="auto"/>
          </w:tcPr>
          <w:p w14:paraId="7FC9BC89" w14:textId="77777777" w:rsidR="007B5D81" w:rsidRPr="007B5D81" w:rsidRDefault="007B5D81" w:rsidP="007B5D81">
            <w:pPr>
              <w:spacing w:before="40" w:after="120"/>
              <w:ind w:right="113"/>
              <w:rPr>
                <w:rFonts w:eastAsia="DengXian"/>
                <w:iCs/>
                <w:lang w:eastAsia="zh-CN"/>
              </w:rPr>
            </w:pPr>
            <w:r w:rsidRPr="007B5D81">
              <w:rPr>
                <w:rFonts w:eastAsia="DengXian"/>
                <w:iCs/>
                <w:lang w:eastAsia="zh-CN"/>
              </w:rPr>
              <w:t>EaP GREEN</w:t>
            </w:r>
          </w:p>
        </w:tc>
        <w:tc>
          <w:tcPr>
            <w:tcW w:w="871" w:type="dxa"/>
            <w:shd w:val="clear" w:color="auto" w:fill="auto"/>
          </w:tcPr>
          <w:p w14:paraId="7952CF66" w14:textId="77777777" w:rsidR="007B5D81" w:rsidRPr="007B5D81" w:rsidRDefault="007B5D81" w:rsidP="007B5D81">
            <w:pPr>
              <w:spacing w:before="40" w:after="120"/>
              <w:ind w:right="113"/>
              <w:rPr>
                <w:rFonts w:eastAsia="DengXian"/>
                <w:iCs/>
                <w:lang w:eastAsia="zh-CN"/>
              </w:rPr>
            </w:pPr>
            <w:r w:rsidRPr="007B5D81">
              <w:rPr>
                <w:rFonts w:eastAsia="DengXian"/>
                <w:iCs/>
                <w:lang w:eastAsia="zh-CN"/>
              </w:rPr>
              <w:t>34 000</w:t>
            </w:r>
          </w:p>
        </w:tc>
        <w:tc>
          <w:tcPr>
            <w:tcW w:w="1558" w:type="dxa"/>
            <w:gridSpan w:val="2"/>
            <w:shd w:val="clear" w:color="auto" w:fill="auto"/>
          </w:tcPr>
          <w:p w14:paraId="78EB712A" w14:textId="77777777" w:rsidR="007B5D81" w:rsidRPr="007B5D81" w:rsidRDefault="007B5D81" w:rsidP="007B5D81">
            <w:pPr>
              <w:spacing w:before="40" w:after="120"/>
              <w:ind w:right="113"/>
              <w:rPr>
                <w:rFonts w:eastAsia="DengXian"/>
                <w:iCs/>
                <w:lang w:eastAsia="zh-CN"/>
              </w:rPr>
            </w:pPr>
            <w:r w:rsidRPr="007B5D81">
              <w:rPr>
                <w:rFonts w:eastAsia="DengXian"/>
                <w:iCs/>
                <w:lang w:eastAsia="zh-CN"/>
              </w:rPr>
              <w:t>Four-day national level training workshop.</w:t>
            </w:r>
          </w:p>
        </w:tc>
      </w:tr>
      <w:tr w:rsidR="007B5D81" w:rsidRPr="007B5D81" w14:paraId="68A64D6A" w14:textId="77777777" w:rsidTr="007B5D81">
        <w:tc>
          <w:tcPr>
            <w:tcW w:w="1394" w:type="dxa"/>
            <w:shd w:val="clear" w:color="auto" w:fill="auto"/>
          </w:tcPr>
          <w:p w14:paraId="60017ED2" w14:textId="77777777" w:rsidR="007B5D81" w:rsidRPr="007B5D81" w:rsidRDefault="007B5D81" w:rsidP="007B5D81">
            <w:pPr>
              <w:spacing w:before="40" w:after="120"/>
              <w:ind w:right="113"/>
              <w:rPr>
                <w:rFonts w:eastAsia="DengXian"/>
                <w:iCs/>
                <w:lang w:eastAsia="zh-CN"/>
              </w:rPr>
            </w:pPr>
            <w:r w:rsidRPr="007B5D81">
              <w:rPr>
                <w:rFonts w:eastAsia="DengXian"/>
                <w:iCs/>
                <w:lang w:eastAsia="zh-CN"/>
              </w:rPr>
              <w:t>Promoting ratification and application of the Protocol on SEA</w:t>
            </w:r>
          </w:p>
        </w:tc>
        <w:tc>
          <w:tcPr>
            <w:tcW w:w="683" w:type="dxa"/>
            <w:shd w:val="clear" w:color="auto" w:fill="auto"/>
          </w:tcPr>
          <w:p w14:paraId="346B24B8" w14:textId="77777777" w:rsidR="007B5D81" w:rsidRPr="007B5D81" w:rsidRDefault="007B5D81" w:rsidP="007B5D81">
            <w:pPr>
              <w:spacing w:before="40" w:after="120"/>
              <w:ind w:right="113"/>
              <w:rPr>
                <w:rFonts w:eastAsia="DengXian"/>
                <w:iCs/>
                <w:lang w:eastAsia="zh-CN"/>
              </w:rPr>
            </w:pPr>
            <w:r w:rsidRPr="007B5D81">
              <w:rPr>
                <w:rFonts w:eastAsia="DengXian"/>
                <w:iCs/>
                <w:lang w:eastAsia="zh-CN"/>
              </w:rPr>
              <w:t>3</w:t>
            </w:r>
          </w:p>
        </w:tc>
        <w:tc>
          <w:tcPr>
            <w:tcW w:w="1566" w:type="dxa"/>
            <w:shd w:val="clear" w:color="auto" w:fill="auto"/>
          </w:tcPr>
          <w:p w14:paraId="0D6C65F0" w14:textId="77777777" w:rsidR="007B5D81" w:rsidRPr="007B5D81" w:rsidRDefault="007B5D81" w:rsidP="007B5D81">
            <w:pPr>
              <w:spacing w:before="40" w:after="120"/>
              <w:ind w:right="113"/>
              <w:rPr>
                <w:rFonts w:eastAsia="DengXian"/>
                <w:iCs/>
                <w:lang w:eastAsia="zh-CN"/>
              </w:rPr>
            </w:pPr>
            <w:r w:rsidRPr="007B5D81">
              <w:rPr>
                <w:rFonts w:eastAsia="DengXian"/>
                <w:iCs/>
                <w:lang w:eastAsia="zh-CN"/>
              </w:rPr>
              <w:t>Workshops, including training, on the application of the Protocol in Armenia</w:t>
            </w:r>
          </w:p>
        </w:tc>
        <w:tc>
          <w:tcPr>
            <w:tcW w:w="1215" w:type="dxa"/>
            <w:shd w:val="clear" w:color="auto" w:fill="auto"/>
          </w:tcPr>
          <w:p w14:paraId="128F596B" w14:textId="77777777" w:rsidR="007B5D81" w:rsidRPr="007B5D81" w:rsidRDefault="007B5D81" w:rsidP="007B5D81">
            <w:pPr>
              <w:spacing w:before="40" w:after="120"/>
              <w:ind w:right="113"/>
              <w:rPr>
                <w:rFonts w:eastAsia="DengXian"/>
                <w:iCs/>
                <w:lang w:eastAsia="zh-CN"/>
              </w:rPr>
            </w:pPr>
            <w:r w:rsidRPr="007B5D81">
              <w:rPr>
                <w:rFonts w:eastAsia="DengXian"/>
                <w:iCs/>
                <w:lang w:eastAsia="zh-CN"/>
              </w:rPr>
              <w:t>26–29 November 2013</w:t>
            </w:r>
          </w:p>
        </w:tc>
        <w:tc>
          <w:tcPr>
            <w:tcW w:w="1217" w:type="dxa"/>
            <w:shd w:val="clear" w:color="auto" w:fill="auto"/>
          </w:tcPr>
          <w:p w14:paraId="20661E50" w14:textId="77777777" w:rsidR="007B5D81" w:rsidRPr="007B5D81" w:rsidRDefault="007B5D81" w:rsidP="007B5D81">
            <w:pPr>
              <w:spacing w:before="40" w:after="120"/>
              <w:ind w:right="113"/>
              <w:rPr>
                <w:rFonts w:eastAsia="DengXian"/>
                <w:iCs/>
                <w:lang w:eastAsia="zh-CN"/>
              </w:rPr>
            </w:pPr>
            <w:r w:rsidRPr="007B5D81">
              <w:rPr>
                <w:rFonts w:eastAsia="DengXian"/>
                <w:iCs/>
                <w:lang w:eastAsia="zh-CN"/>
              </w:rPr>
              <w:t>EaP GREEN</w:t>
            </w:r>
          </w:p>
        </w:tc>
        <w:tc>
          <w:tcPr>
            <w:tcW w:w="871" w:type="dxa"/>
            <w:shd w:val="clear" w:color="auto" w:fill="auto"/>
          </w:tcPr>
          <w:p w14:paraId="08A59EA2" w14:textId="77777777" w:rsidR="007B5D81" w:rsidRPr="007B5D81" w:rsidRDefault="007B5D81" w:rsidP="007B5D81">
            <w:pPr>
              <w:spacing w:before="40" w:after="120"/>
              <w:ind w:right="113"/>
              <w:rPr>
                <w:rFonts w:eastAsia="DengXian"/>
                <w:iCs/>
                <w:lang w:eastAsia="zh-CN"/>
              </w:rPr>
            </w:pPr>
            <w:r w:rsidRPr="007B5D81">
              <w:rPr>
                <w:rFonts w:eastAsia="DengXian"/>
                <w:iCs/>
                <w:lang w:eastAsia="zh-CN"/>
              </w:rPr>
              <w:t>22 000</w:t>
            </w:r>
          </w:p>
        </w:tc>
        <w:tc>
          <w:tcPr>
            <w:tcW w:w="1558" w:type="dxa"/>
            <w:gridSpan w:val="2"/>
            <w:shd w:val="clear" w:color="auto" w:fill="auto"/>
          </w:tcPr>
          <w:p w14:paraId="54C36FD6" w14:textId="77777777" w:rsidR="007B5D81" w:rsidRPr="007B5D81" w:rsidRDefault="007B5D81" w:rsidP="007B5D81">
            <w:pPr>
              <w:spacing w:before="40" w:after="120"/>
              <w:ind w:right="113"/>
              <w:rPr>
                <w:rFonts w:eastAsia="DengXian"/>
                <w:iCs/>
                <w:lang w:eastAsia="zh-CN"/>
              </w:rPr>
            </w:pPr>
            <w:r w:rsidRPr="007B5D81">
              <w:rPr>
                <w:rFonts w:eastAsia="DengXian"/>
                <w:iCs/>
                <w:lang w:eastAsia="zh-CN"/>
              </w:rPr>
              <w:t>Four-day national level training workshop.</w:t>
            </w:r>
          </w:p>
        </w:tc>
      </w:tr>
      <w:tr w:rsidR="007B5D81" w:rsidRPr="007B5D81" w14:paraId="280C941A" w14:textId="77777777" w:rsidTr="007B5D81">
        <w:tc>
          <w:tcPr>
            <w:tcW w:w="1394" w:type="dxa"/>
            <w:shd w:val="clear" w:color="auto" w:fill="auto"/>
          </w:tcPr>
          <w:p w14:paraId="4EF4D232" w14:textId="77777777" w:rsidR="007B5D81" w:rsidRPr="007B5D81" w:rsidRDefault="007B5D81" w:rsidP="007B5D81">
            <w:pPr>
              <w:spacing w:before="40" w:after="120"/>
              <w:ind w:right="113"/>
              <w:rPr>
                <w:rFonts w:eastAsia="DengXian"/>
                <w:iCs/>
                <w:lang w:eastAsia="zh-CN"/>
              </w:rPr>
            </w:pPr>
            <w:r w:rsidRPr="007B5D81">
              <w:rPr>
                <w:rFonts w:eastAsia="DengXian"/>
                <w:iCs/>
                <w:lang w:eastAsia="zh-CN"/>
              </w:rPr>
              <w:t>Promoting ratification and application of the Protocol on SEA</w:t>
            </w:r>
          </w:p>
        </w:tc>
        <w:tc>
          <w:tcPr>
            <w:tcW w:w="683" w:type="dxa"/>
            <w:shd w:val="clear" w:color="auto" w:fill="auto"/>
          </w:tcPr>
          <w:p w14:paraId="21309737" w14:textId="77777777" w:rsidR="007B5D81" w:rsidRPr="007B5D81" w:rsidRDefault="007B5D81" w:rsidP="007B5D81">
            <w:pPr>
              <w:spacing w:before="40" w:after="120"/>
              <w:ind w:right="113"/>
              <w:rPr>
                <w:rFonts w:eastAsia="DengXian"/>
                <w:iCs/>
                <w:lang w:eastAsia="zh-CN"/>
              </w:rPr>
            </w:pPr>
            <w:r w:rsidRPr="007B5D81">
              <w:rPr>
                <w:rFonts w:eastAsia="DengXian"/>
                <w:iCs/>
                <w:lang w:eastAsia="zh-CN"/>
              </w:rPr>
              <w:t>3</w:t>
            </w:r>
          </w:p>
        </w:tc>
        <w:tc>
          <w:tcPr>
            <w:tcW w:w="1566" w:type="dxa"/>
            <w:shd w:val="clear" w:color="auto" w:fill="auto"/>
          </w:tcPr>
          <w:p w14:paraId="6025E4A8" w14:textId="77777777" w:rsidR="007B5D81" w:rsidRPr="007B5D81" w:rsidRDefault="007B5D81" w:rsidP="007B5D81">
            <w:pPr>
              <w:spacing w:before="40" w:after="120"/>
              <w:ind w:right="113"/>
              <w:rPr>
                <w:rFonts w:eastAsia="DengXian"/>
                <w:iCs/>
                <w:lang w:eastAsia="zh-CN"/>
              </w:rPr>
            </w:pPr>
            <w:r w:rsidRPr="007B5D81">
              <w:rPr>
                <w:rFonts w:eastAsia="DengXian"/>
                <w:iCs/>
                <w:lang w:eastAsia="zh-CN"/>
              </w:rPr>
              <w:t>Development of legislation on SEA</w:t>
            </w:r>
          </w:p>
        </w:tc>
        <w:tc>
          <w:tcPr>
            <w:tcW w:w="1215" w:type="dxa"/>
            <w:shd w:val="clear" w:color="auto" w:fill="auto"/>
          </w:tcPr>
          <w:p w14:paraId="28C1EC68" w14:textId="77777777" w:rsidR="007B5D81" w:rsidRPr="007B5D81" w:rsidRDefault="007B5D81" w:rsidP="007B5D81">
            <w:pPr>
              <w:spacing w:before="40" w:after="120"/>
              <w:ind w:right="113"/>
              <w:rPr>
                <w:rFonts w:eastAsia="DengXian"/>
                <w:iCs/>
                <w:lang w:eastAsia="zh-CN"/>
              </w:rPr>
            </w:pPr>
            <w:r w:rsidRPr="007B5D81">
              <w:rPr>
                <w:rFonts w:eastAsia="DengXian"/>
                <w:iCs/>
                <w:lang w:eastAsia="zh-CN"/>
              </w:rPr>
              <w:t>2014</w:t>
            </w:r>
          </w:p>
        </w:tc>
        <w:tc>
          <w:tcPr>
            <w:tcW w:w="1217" w:type="dxa"/>
            <w:shd w:val="clear" w:color="auto" w:fill="auto"/>
          </w:tcPr>
          <w:p w14:paraId="3297106C" w14:textId="77777777" w:rsidR="007B5D81" w:rsidRPr="007B5D81" w:rsidRDefault="007B5D81" w:rsidP="007B5D81">
            <w:pPr>
              <w:spacing w:before="40" w:after="120"/>
              <w:ind w:right="113"/>
              <w:rPr>
                <w:rFonts w:eastAsia="DengXian"/>
                <w:iCs/>
                <w:lang w:eastAsia="zh-CN"/>
              </w:rPr>
            </w:pPr>
            <w:r w:rsidRPr="007B5D81">
              <w:rPr>
                <w:rFonts w:eastAsia="DengXian"/>
                <w:iCs/>
                <w:lang w:eastAsia="zh-CN"/>
              </w:rPr>
              <w:t>EaP GREEN</w:t>
            </w:r>
          </w:p>
        </w:tc>
        <w:tc>
          <w:tcPr>
            <w:tcW w:w="871" w:type="dxa"/>
            <w:shd w:val="clear" w:color="auto" w:fill="auto"/>
          </w:tcPr>
          <w:p w14:paraId="685DD360" w14:textId="77777777" w:rsidR="007B5D81" w:rsidRPr="007B5D81" w:rsidRDefault="007B5D81" w:rsidP="007B5D81">
            <w:pPr>
              <w:spacing w:before="40" w:after="120"/>
              <w:ind w:right="113"/>
              <w:rPr>
                <w:rFonts w:eastAsia="DengXian"/>
                <w:iCs/>
                <w:lang w:eastAsia="zh-CN"/>
              </w:rPr>
            </w:pPr>
            <w:r w:rsidRPr="007B5D81">
              <w:rPr>
                <w:rFonts w:eastAsia="DengXian"/>
                <w:iCs/>
                <w:lang w:eastAsia="zh-CN"/>
              </w:rPr>
              <w:t>15 000</w:t>
            </w:r>
          </w:p>
        </w:tc>
        <w:tc>
          <w:tcPr>
            <w:tcW w:w="1558" w:type="dxa"/>
            <w:gridSpan w:val="2"/>
            <w:shd w:val="clear" w:color="auto" w:fill="auto"/>
          </w:tcPr>
          <w:p w14:paraId="72830966" w14:textId="77777777" w:rsidR="007B5D81" w:rsidRPr="007B5D81" w:rsidRDefault="007B5D81" w:rsidP="007B5D81">
            <w:pPr>
              <w:spacing w:before="40" w:after="120"/>
              <w:ind w:right="113"/>
              <w:rPr>
                <w:rFonts w:eastAsia="DengXian"/>
                <w:iCs/>
                <w:lang w:eastAsia="zh-CN"/>
              </w:rPr>
            </w:pPr>
            <w:r w:rsidRPr="007B5D81">
              <w:rPr>
                <w:rFonts w:eastAsia="DengXian"/>
                <w:iCs/>
                <w:lang w:eastAsia="zh-CN"/>
              </w:rPr>
              <w:t>Financial support for speaker</w:t>
            </w:r>
          </w:p>
        </w:tc>
      </w:tr>
      <w:tr w:rsidR="007B5D81" w:rsidRPr="007B5D81" w14:paraId="015EEF92" w14:textId="77777777" w:rsidTr="007B5D81">
        <w:trPr>
          <w:gridAfter w:val="1"/>
          <w:wAfter w:w="13" w:type="dxa"/>
        </w:trPr>
        <w:tc>
          <w:tcPr>
            <w:tcW w:w="6075" w:type="dxa"/>
            <w:gridSpan w:val="5"/>
            <w:tcBorders>
              <w:bottom w:val="single" w:sz="12" w:space="0" w:color="auto"/>
            </w:tcBorders>
            <w:shd w:val="clear" w:color="auto" w:fill="auto"/>
          </w:tcPr>
          <w:p w14:paraId="059A81A4" w14:textId="77777777" w:rsidR="007B5D81" w:rsidRPr="007B5D81" w:rsidRDefault="007B5D81" w:rsidP="007B5D81">
            <w:pPr>
              <w:spacing w:before="40" w:after="120"/>
              <w:ind w:right="113"/>
              <w:rPr>
                <w:rFonts w:eastAsia="DengXian"/>
                <w:b/>
                <w:bCs/>
                <w:lang w:eastAsia="zh-CN"/>
              </w:rPr>
            </w:pPr>
            <w:r w:rsidRPr="007B5D81">
              <w:rPr>
                <w:rFonts w:eastAsia="DengXian"/>
                <w:b/>
                <w:bCs/>
                <w:lang w:eastAsia="zh-CN"/>
              </w:rPr>
              <w:t>Total</w:t>
            </w:r>
          </w:p>
        </w:tc>
        <w:tc>
          <w:tcPr>
            <w:tcW w:w="871" w:type="dxa"/>
            <w:tcBorders>
              <w:bottom w:val="single" w:sz="12" w:space="0" w:color="auto"/>
            </w:tcBorders>
            <w:shd w:val="clear" w:color="auto" w:fill="auto"/>
          </w:tcPr>
          <w:p w14:paraId="136C1C0A" w14:textId="77777777" w:rsidR="007B5D81" w:rsidRPr="007B5D81" w:rsidRDefault="007B5D81" w:rsidP="007B5D81">
            <w:pPr>
              <w:spacing w:before="40" w:after="120"/>
              <w:ind w:right="113"/>
              <w:rPr>
                <w:rFonts w:eastAsia="DengXian"/>
                <w:b/>
                <w:bCs/>
                <w:lang w:eastAsia="zh-CN"/>
              </w:rPr>
            </w:pPr>
            <w:r w:rsidRPr="007B5D81">
              <w:rPr>
                <w:rFonts w:eastAsia="DengXian"/>
                <w:b/>
                <w:bCs/>
                <w:lang w:eastAsia="zh-CN"/>
              </w:rPr>
              <w:t>358 000</w:t>
            </w:r>
          </w:p>
        </w:tc>
        <w:tc>
          <w:tcPr>
            <w:tcW w:w="1545" w:type="dxa"/>
            <w:tcBorders>
              <w:bottom w:val="single" w:sz="12" w:space="0" w:color="auto"/>
            </w:tcBorders>
            <w:shd w:val="clear" w:color="auto" w:fill="auto"/>
          </w:tcPr>
          <w:p w14:paraId="357C6C99" w14:textId="77777777" w:rsidR="007B5D81" w:rsidRPr="007B5D81" w:rsidRDefault="007B5D81" w:rsidP="007B5D81">
            <w:pPr>
              <w:spacing w:before="40" w:after="120"/>
              <w:ind w:right="113"/>
              <w:rPr>
                <w:rFonts w:eastAsia="DengXian"/>
                <w:b/>
                <w:bCs/>
                <w:lang w:eastAsia="zh-CN"/>
              </w:rPr>
            </w:pPr>
          </w:p>
        </w:tc>
      </w:tr>
    </w:tbl>
    <w:p w14:paraId="182DF45B" w14:textId="642441CB" w:rsidR="00DB69F5" w:rsidRDefault="007B5D81" w:rsidP="007B290D">
      <w:pPr>
        <w:spacing w:before="120"/>
        <w:ind w:left="1559"/>
        <w:rPr>
          <w:rFonts w:eastAsia="DengXian"/>
          <w:sz w:val="18"/>
          <w:szCs w:val="18"/>
          <w:lang w:eastAsia="zh-CN"/>
        </w:rPr>
      </w:pPr>
      <w:r w:rsidRPr="007B5D81">
        <w:rPr>
          <w:rFonts w:eastAsia="DengXian"/>
          <w:i/>
          <w:sz w:val="18"/>
          <w:szCs w:val="18"/>
          <w:vertAlign w:val="superscript"/>
          <w:lang w:eastAsia="zh-CN"/>
        </w:rPr>
        <w:t>a</w:t>
      </w:r>
      <w:r w:rsidRPr="007B5D81">
        <w:rPr>
          <w:rFonts w:eastAsia="DengXian"/>
          <w:sz w:val="18"/>
          <w:szCs w:val="18"/>
          <w:lang w:eastAsia="zh-CN"/>
        </w:rPr>
        <w:t xml:space="preserve">  Values for priority 3 activities not indicated in the current budget (decision V/10) are purely indicative. For ENVSEC and EaP GREEN, the figures are based on the project budget.</w:t>
      </w:r>
    </w:p>
    <w:p w14:paraId="5DFCF8C3" w14:textId="51FFA248" w:rsidR="005217A6" w:rsidRDefault="005217A6" w:rsidP="007B5D81">
      <w:pPr>
        <w:ind w:left="1560"/>
        <w:rPr>
          <w:rFonts w:eastAsia="DengXian"/>
          <w:sz w:val="18"/>
          <w:szCs w:val="18"/>
          <w:lang w:eastAsia="zh-CN"/>
        </w:rPr>
      </w:pPr>
      <w:r>
        <w:rPr>
          <w:rFonts w:eastAsia="DengXian"/>
          <w:sz w:val="18"/>
          <w:szCs w:val="18"/>
          <w:lang w:eastAsia="zh-CN"/>
        </w:rPr>
        <w:br w:type="page"/>
      </w:r>
    </w:p>
    <w:p w14:paraId="34C0BEB1" w14:textId="5C762D98" w:rsidR="005217A6" w:rsidRPr="005217A6" w:rsidRDefault="005217A6" w:rsidP="005217A6">
      <w:pPr>
        <w:pStyle w:val="H1G"/>
      </w:pPr>
      <w:r>
        <w:lastRenderedPageBreak/>
        <w:tab/>
      </w:r>
      <w:r>
        <w:tab/>
      </w:r>
      <w:r w:rsidRPr="005217A6">
        <w:t>Extract from the Report on the budget and financial arrangements 2017-2020 (ECE/MP.EIA/2020/2 ECE/MP.EIA/SEA/2020/2)</w:t>
      </w:r>
    </w:p>
    <w:p w14:paraId="61605CB2" w14:textId="62A44689" w:rsidR="005217A6" w:rsidRPr="005217A6" w:rsidRDefault="005217A6" w:rsidP="005217A6">
      <w:pPr>
        <w:pStyle w:val="H23G"/>
      </w:pPr>
      <w:r>
        <w:tab/>
      </w:r>
      <w:r>
        <w:tab/>
      </w:r>
      <w:r w:rsidRPr="005217A6">
        <w:rPr>
          <w:b w:val="0"/>
          <w:bCs/>
        </w:rPr>
        <w:t>Table A.7</w:t>
      </w:r>
      <w:bookmarkStart w:id="16" w:name="_Toc51839477"/>
      <w:r>
        <w:br/>
      </w:r>
      <w:r w:rsidRPr="005217A6">
        <w:rPr>
          <w:bCs/>
        </w:rPr>
        <w:t>In-kind contributions made</w:t>
      </w:r>
      <w:bookmarkEnd w:id="16"/>
      <w:r w:rsidRPr="005217A6">
        <w:rPr>
          <w:bCs/>
        </w:rPr>
        <w:br/>
      </w:r>
      <w:r w:rsidRPr="005217A6">
        <w:t>(in United States dollars)</w:t>
      </w:r>
    </w:p>
    <w:tbl>
      <w:tblPr>
        <w:tblW w:w="8504" w:type="dxa"/>
        <w:tblInd w:w="1134" w:type="dxa"/>
        <w:tblLayout w:type="fixed"/>
        <w:tblCellMar>
          <w:left w:w="0" w:type="dxa"/>
          <w:right w:w="0" w:type="dxa"/>
        </w:tblCellMar>
        <w:tblLook w:val="04A0" w:firstRow="1" w:lastRow="0" w:firstColumn="1" w:lastColumn="0" w:noHBand="0" w:noVBand="1"/>
      </w:tblPr>
      <w:tblGrid>
        <w:gridCol w:w="927"/>
        <w:gridCol w:w="773"/>
        <w:gridCol w:w="1864"/>
        <w:gridCol w:w="1072"/>
        <w:gridCol w:w="878"/>
        <w:gridCol w:w="1056"/>
        <w:gridCol w:w="1934"/>
      </w:tblGrid>
      <w:tr w:rsidR="005217A6" w:rsidRPr="005217A6" w14:paraId="3A080FDA" w14:textId="77777777" w:rsidTr="005217A6">
        <w:trPr>
          <w:tblHeader/>
        </w:trPr>
        <w:tc>
          <w:tcPr>
            <w:tcW w:w="927" w:type="dxa"/>
            <w:tcBorders>
              <w:top w:val="single" w:sz="4" w:space="0" w:color="auto"/>
              <w:bottom w:val="single" w:sz="12" w:space="0" w:color="auto"/>
            </w:tcBorders>
            <w:shd w:val="clear" w:color="auto" w:fill="auto"/>
            <w:vAlign w:val="bottom"/>
            <w:hideMark/>
          </w:tcPr>
          <w:p w14:paraId="500E4D0B" w14:textId="77777777" w:rsidR="005217A6" w:rsidRPr="005217A6" w:rsidRDefault="005217A6" w:rsidP="005217A6">
            <w:pPr>
              <w:spacing w:before="80" w:after="80" w:line="200" w:lineRule="exact"/>
              <w:ind w:right="113"/>
              <w:rPr>
                <w:i/>
                <w:sz w:val="16"/>
                <w:lang w:val="en-US" w:eastAsia="fr-BE"/>
              </w:rPr>
            </w:pPr>
            <w:r w:rsidRPr="005217A6">
              <w:rPr>
                <w:i/>
                <w:sz w:val="16"/>
                <w:lang w:val="en-US" w:eastAsia="fr-BE"/>
              </w:rPr>
              <w:t>Activity</w:t>
            </w:r>
          </w:p>
        </w:tc>
        <w:tc>
          <w:tcPr>
            <w:tcW w:w="773" w:type="dxa"/>
            <w:tcBorders>
              <w:top w:val="single" w:sz="4" w:space="0" w:color="auto"/>
              <w:bottom w:val="single" w:sz="12" w:space="0" w:color="auto"/>
            </w:tcBorders>
            <w:shd w:val="clear" w:color="auto" w:fill="auto"/>
            <w:vAlign w:val="bottom"/>
            <w:hideMark/>
          </w:tcPr>
          <w:p w14:paraId="4FAE7DEE" w14:textId="77777777" w:rsidR="005217A6" w:rsidRPr="005217A6" w:rsidRDefault="005217A6" w:rsidP="005217A6">
            <w:pPr>
              <w:spacing w:before="80" w:after="80" w:line="200" w:lineRule="exact"/>
              <w:ind w:right="113"/>
              <w:rPr>
                <w:i/>
                <w:sz w:val="16"/>
                <w:lang w:val="en-US" w:eastAsia="fr-BE"/>
              </w:rPr>
            </w:pPr>
            <w:r w:rsidRPr="005217A6">
              <w:rPr>
                <w:i/>
                <w:sz w:val="16"/>
                <w:lang w:val="en-US" w:eastAsia="fr-BE"/>
              </w:rPr>
              <w:t>Priority</w:t>
            </w:r>
          </w:p>
        </w:tc>
        <w:tc>
          <w:tcPr>
            <w:tcW w:w="1864" w:type="dxa"/>
            <w:tcBorders>
              <w:top w:val="single" w:sz="4" w:space="0" w:color="auto"/>
              <w:bottom w:val="single" w:sz="12" w:space="0" w:color="auto"/>
            </w:tcBorders>
            <w:shd w:val="clear" w:color="auto" w:fill="auto"/>
            <w:vAlign w:val="bottom"/>
            <w:hideMark/>
          </w:tcPr>
          <w:p w14:paraId="7421F29E" w14:textId="77777777" w:rsidR="005217A6" w:rsidRPr="005217A6" w:rsidRDefault="005217A6" w:rsidP="005217A6">
            <w:pPr>
              <w:spacing w:before="80" w:after="80" w:line="200" w:lineRule="exact"/>
              <w:ind w:right="113"/>
              <w:rPr>
                <w:i/>
                <w:sz w:val="16"/>
                <w:lang w:val="fr-BE" w:eastAsia="fr-BE"/>
              </w:rPr>
            </w:pPr>
            <w:r w:rsidRPr="005217A6">
              <w:rPr>
                <w:i/>
                <w:sz w:val="16"/>
                <w:lang w:val="en-US" w:eastAsia="fr-BE"/>
              </w:rPr>
              <w:t>Su</w:t>
            </w:r>
            <w:r w:rsidRPr="005217A6">
              <w:rPr>
                <w:i/>
                <w:sz w:val="16"/>
                <w:lang w:val="fr-BE" w:eastAsia="fr-BE"/>
              </w:rPr>
              <w:t>b-activity</w:t>
            </w:r>
          </w:p>
        </w:tc>
        <w:tc>
          <w:tcPr>
            <w:tcW w:w="1072" w:type="dxa"/>
            <w:tcBorders>
              <w:top w:val="single" w:sz="4" w:space="0" w:color="auto"/>
              <w:bottom w:val="single" w:sz="12" w:space="0" w:color="auto"/>
            </w:tcBorders>
            <w:shd w:val="clear" w:color="auto" w:fill="auto"/>
            <w:vAlign w:val="bottom"/>
            <w:hideMark/>
          </w:tcPr>
          <w:p w14:paraId="55658B76" w14:textId="77777777" w:rsidR="005217A6" w:rsidRPr="005217A6" w:rsidRDefault="005217A6" w:rsidP="005217A6">
            <w:pPr>
              <w:spacing w:before="80" w:after="80" w:line="200" w:lineRule="exact"/>
              <w:ind w:right="113"/>
              <w:rPr>
                <w:i/>
                <w:sz w:val="16"/>
                <w:lang w:val="fr-BE" w:eastAsia="fr-BE"/>
              </w:rPr>
            </w:pPr>
            <w:r w:rsidRPr="005217A6">
              <w:rPr>
                <w:i/>
                <w:sz w:val="16"/>
                <w:lang w:val="fr-BE" w:eastAsia="fr-BE"/>
              </w:rPr>
              <w:t>Date</w:t>
            </w:r>
          </w:p>
        </w:tc>
        <w:tc>
          <w:tcPr>
            <w:tcW w:w="878" w:type="dxa"/>
            <w:tcBorders>
              <w:top w:val="single" w:sz="4" w:space="0" w:color="auto"/>
              <w:bottom w:val="single" w:sz="12" w:space="0" w:color="auto"/>
            </w:tcBorders>
            <w:shd w:val="clear" w:color="auto" w:fill="auto"/>
            <w:vAlign w:val="bottom"/>
            <w:hideMark/>
          </w:tcPr>
          <w:p w14:paraId="33A415A5" w14:textId="77777777" w:rsidR="005217A6" w:rsidRPr="005217A6" w:rsidRDefault="005217A6" w:rsidP="005217A6">
            <w:pPr>
              <w:spacing w:before="80" w:after="80" w:line="200" w:lineRule="exact"/>
              <w:ind w:right="113"/>
              <w:rPr>
                <w:i/>
                <w:sz w:val="16"/>
                <w:lang w:val="fr-BE" w:eastAsia="fr-BE"/>
              </w:rPr>
            </w:pPr>
            <w:r w:rsidRPr="005217A6">
              <w:rPr>
                <w:i/>
                <w:sz w:val="16"/>
                <w:lang w:val="fr-BE" w:eastAsia="fr-BE"/>
              </w:rPr>
              <w:t>Source</w:t>
            </w:r>
          </w:p>
        </w:tc>
        <w:tc>
          <w:tcPr>
            <w:tcW w:w="1056" w:type="dxa"/>
            <w:tcBorders>
              <w:top w:val="single" w:sz="4" w:space="0" w:color="auto"/>
              <w:bottom w:val="single" w:sz="12" w:space="0" w:color="auto"/>
            </w:tcBorders>
            <w:shd w:val="clear" w:color="auto" w:fill="auto"/>
            <w:vAlign w:val="bottom"/>
            <w:hideMark/>
          </w:tcPr>
          <w:p w14:paraId="38DF245F" w14:textId="77777777" w:rsidR="005217A6" w:rsidRPr="005217A6" w:rsidRDefault="005217A6" w:rsidP="005217A6">
            <w:pPr>
              <w:spacing w:before="80" w:after="80" w:line="200" w:lineRule="exact"/>
              <w:ind w:right="113"/>
              <w:rPr>
                <w:i/>
                <w:sz w:val="16"/>
                <w:lang w:val="fr-BE" w:eastAsia="fr-BE"/>
              </w:rPr>
            </w:pPr>
            <w:r w:rsidRPr="005217A6">
              <w:rPr>
                <w:i/>
                <w:sz w:val="16"/>
                <w:lang w:val="fr-BE" w:eastAsia="fr-BE"/>
              </w:rPr>
              <w:t>Value</w:t>
            </w:r>
            <w:r w:rsidRPr="005217A6">
              <w:rPr>
                <w:i/>
                <w:sz w:val="16"/>
                <w:vertAlign w:val="superscript"/>
                <w:lang w:val="fr-BE" w:eastAsia="fr-BE"/>
              </w:rPr>
              <w:t>a</w:t>
            </w:r>
          </w:p>
        </w:tc>
        <w:tc>
          <w:tcPr>
            <w:tcW w:w="1934" w:type="dxa"/>
            <w:tcBorders>
              <w:top w:val="single" w:sz="4" w:space="0" w:color="auto"/>
              <w:bottom w:val="single" w:sz="12" w:space="0" w:color="auto"/>
            </w:tcBorders>
            <w:shd w:val="clear" w:color="auto" w:fill="auto"/>
            <w:vAlign w:val="bottom"/>
            <w:hideMark/>
          </w:tcPr>
          <w:p w14:paraId="63832AA6" w14:textId="77777777" w:rsidR="005217A6" w:rsidRPr="005217A6" w:rsidRDefault="005217A6" w:rsidP="005217A6">
            <w:pPr>
              <w:spacing w:before="80" w:after="80" w:line="200" w:lineRule="exact"/>
              <w:ind w:right="113"/>
              <w:rPr>
                <w:i/>
                <w:sz w:val="16"/>
                <w:lang w:val="fr-BE" w:eastAsia="fr-BE"/>
              </w:rPr>
            </w:pPr>
            <w:r w:rsidRPr="005217A6">
              <w:rPr>
                <w:i/>
                <w:sz w:val="16"/>
                <w:lang w:val="fr-BE" w:eastAsia="fr-BE"/>
              </w:rPr>
              <w:t>Notes</w:t>
            </w:r>
          </w:p>
        </w:tc>
      </w:tr>
      <w:tr w:rsidR="005217A6" w:rsidRPr="005217A6" w14:paraId="57A71874" w14:textId="77777777" w:rsidTr="005217A6">
        <w:trPr>
          <w:trHeight w:hRule="exact" w:val="113"/>
        </w:trPr>
        <w:tc>
          <w:tcPr>
            <w:tcW w:w="927" w:type="dxa"/>
            <w:tcBorders>
              <w:top w:val="single" w:sz="12" w:space="0" w:color="auto"/>
            </w:tcBorders>
            <w:shd w:val="clear" w:color="auto" w:fill="auto"/>
          </w:tcPr>
          <w:p w14:paraId="109C72B3" w14:textId="77777777" w:rsidR="005217A6" w:rsidRPr="005217A6" w:rsidRDefault="005217A6" w:rsidP="005217A6">
            <w:pPr>
              <w:spacing w:before="40" w:after="120"/>
              <w:ind w:right="113"/>
              <w:rPr>
                <w:lang w:val="en-US" w:eastAsia="fr-BE"/>
              </w:rPr>
            </w:pPr>
          </w:p>
        </w:tc>
        <w:tc>
          <w:tcPr>
            <w:tcW w:w="773" w:type="dxa"/>
            <w:tcBorders>
              <w:top w:val="single" w:sz="12" w:space="0" w:color="auto"/>
            </w:tcBorders>
            <w:shd w:val="clear" w:color="auto" w:fill="auto"/>
          </w:tcPr>
          <w:p w14:paraId="5CE8EA5C" w14:textId="77777777" w:rsidR="005217A6" w:rsidRPr="005217A6" w:rsidRDefault="005217A6" w:rsidP="005217A6">
            <w:pPr>
              <w:spacing w:before="40" w:after="120"/>
              <w:ind w:right="113"/>
              <w:rPr>
                <w:lang w:val="en-US" w:eastAsia="fr-BE"/>
              </w:rPr>
            </w:pPr>
          </w:p>
        </w:tc>
        <w:tc>
          <w:tcPr>
            <w:tcW w:w="1864" w:type="dxa"/>
            <w:tcBorders>
              <w:top w:val="single" w:sz="12" w:space="0" w:color="auto"/>
            </w:tcBorders>
            <w:shd w:val="clear" w:color="auto" w:fill="auto"/>
          </w:tcPr>
          <w:p w14:paraId="6E73A123" w14:textId="77777777" w:rsidR="005217A6" w:rsidRPr="005217A6" w:rsidRDefault="005217A6" w:rsidP="005217A6">
            <w:pPr>
              <w:spacing w:before="40" w:after="120"/>
              <w:ind w:right="113"/>
              <w:rPr>
                <w:lang w:val="en-US" w:eastAsia="fr-BE"/>
              </w:rPr>
            </w:pPr>
          </w:p>
        </w:tc>
        <w:tc>
          <w:tcPr>
            <w:tcW w:w="1072" w:type="dxa"/>
            <w:tcBorders>
              <w:top w:val="single" w:sz="12" w:space="0" w:color="auto"/>
            </w:tcBorders>
            <w:shd w:val="clear" w:color="auto" w:fill="auto"/>
          </w:tcPr>
          <w:p w14:paraId="64F9B41F" w14:textId="77777777" w:rsidR="005217A6" w:rsidRPr="005217A6" w:rsidRDefault="005217A6" w:rsidP="005217A6">
            <w:pPr>
              <w:spacing w:before="40" w:after="120"/>
              <w:ind w:right="113"/>
              <w:rPr>
                <w:lang w:val="fr-BE" w:eastAsia="fr-BE"/>
              </w:rPr>
            </w:pPr>
          </w:p>
        </w:tc>
        <w:tc>
          <w:tcPr>
            <w:tcW w:w="878" w:type="dxa"/>
            <w:tcBorders>
              <w:top w:val="single" w:sz="12" w:space="0" w:color="auto"/>
            </w:tcBorders>
            <w:shd w:val="clear" w:color="auto" w:fill="auto"/>
          </w:tcPr>
          <w:p w14:paraId="5A800591" w14:textId="77777777" w:rsidR="005217A6" w:rsidRPr="005217A6" w:rsidRDefault="005217A6" w:rsidP="005217A6">
            <w:pPr>
              <w:spacing w:before="40" w:after="120"/>
              <w:ind w:right="113"/>
              <w:rPr>
                <w:lang w:val="fr-BE" w:eastAsia="fr-BE"/>
              </w:rPr>
            </w:pPr>
          </w:p>
        </w:tc>
        <w:tc>
          <w:tcPr>
            <w:tcW w:w="1056" w:type="dxa"/>
            <w:tcBorders>
              <w:top w:val="single" w:sz="12" w:space="0" w:color="auto"/>
            </w:tcBorders>
            <w:shd w:val="clear" w:color="auto" w:fill="auto"/>
          </w:tcPr>
          <w:p w14:paraId="7C6272A0" w14:textId="77777777" w:rsidR="005217A6" w:rsidRPr="005217A6" w:rsidRDefault="005217A6" w:rsidP="005217A6">
            <w:pPr>
              <w:spacing w:before="40" w:after="120"/>
              <w:ind w:right="113"/>
              <w:rPr>
                <w:lang w:val="fr-BE" w:eastAsia="fr-BE"/>
              </w:rPr>
            </w:pPr>
          </w:p>
        </w:tc>
        <w:tc>
          <w:tcPr>
            <w:tcW w:w="1934" w:type="dxa"/>
            <w:tcBorders>
              <w:top w:val="single" w:sz="12" w:space="0" w:color="auto"/>
            </w:tcBorders>
            <w:shd w:val="clear" w:color="auto" w:fill="auto"/>
          </w:tcPr>
          <w:p w14:paraId="67D453FE" w14:textId="77777777" w:rsidR="005217A6" w:rsidRPr="005217A6" w:rsidRDefault="005217A6" w:rsidP="005217A6">
            <w:pPr>
              <w:spacing w:before="40" w:after="120"/>
              <w:ind w:right="113"/>
              <w:rPr>
                <w:lang w:val="fr-BE" w:eastAsia="fr-BE"/>
              </w:rPr>
            </w:pPr>
          </w:p>
        </w:tc>
      </w:tr>
      <w:tr w:rsidR="005217A6" w:rsidRPr="005217A6" w14:paraId="5BBD7BE4" w14:textId="77777777" w:rsidTr="005217A6">
        <w:tc>
          <w:tcPr>
            <w:tcW w:w="927" w:type="dxa"/>
            <w:shd w:val="clear" w:color="auto" w:fill="auto"/>
            <w:hideMark/>
          </w:tcPr>
          <w:p w14:paraId="6254E719" w14:textId="77777777" w:rsidR="005217A6" w:rsidRPr="005217A6" w:rsidRDefault="005217A6" w:rsidP="005217A6">
            <w:pPr>
              <w:spacing w:before="40" w:after="120"/>
              <w:ind w:right="113"/>
              <w:rPr>
                <w:b/>
                <w:lang w:val="fr-BE" w:eastAsia="fr-BE"/>
              </w:rPr>
            </w:pPr>
            <w:r w:rsidRPr="005217A6">
              <w:rPr>
                <w:b/>
                <w:lang w:val="fr-BE" w:eastAsia="fr-BE"/>
              </w:rPr>
              <w:t> </w:t>
            </w:r>
          </w:p>
        </w:tc>
        <w:tc>
          <w:tcPr>
            <w:tcW w:w="773" w:type="dxa"/>
            <w:shd w:val="clear" w:color="auto" w:fill="auto"/>
            <w:hideMark/>
          </w:tcPr>
          <w:p w14:paraId="6E32A02B" w14:textId="77777777" w:rsidR="005217A6" w:rsidRPr="005217A6" w:rsidRDefault="005217A6" w:rsidP="005217A6">
            <w:pPr>
              <w:spacing w:before="40" w:after="120"/>
              <w:ind w:right="113"/>
              <w:rPr>
                <w:b/>
                <w:lang w:val="fr-BE" w:eastAsia="fr-BE"/>
              </w:rPr>
            </w:pPr>
            <w:r w:rsidRPr="005217A6">
              <w:rPr>
                <w:b/>
                <w:lang w:val="fr-BE" w:eastAsia="fr-BE"/>
              </w:rPr>
              <w:t> </w:t>
            </w:r>
          </w:p>
        </w:tc>
        <w:tc>
          <w:tcPr>
            <w:tcW w:w="1864" w:type="dxa"/>
            <w:shd w:val="clear" w:color="auto" w:fill="auto"/>
            <w:hideMark/>
          </w:tcPr>
          <w:p w14:paraId="273775A7" w14:textId="77777777" w:rsidR="005217A6" w:rsidRPr="005217A6" w:rsidRDefault="005217A6" w:rsidP="005217A6">
            <w:pPr>
              <w:spacing w:before="40" w:after="120"/>
              <w:ind w:right="113"/>
              <w:rPr>
                <w:b/>
                <w:lang w:val="fr-BE" w:eastAsia="fr-BE"/>
              </w:rPr>
            </w:pPr>
            <w:r w:rsidRPr="005217A6">
              <w:rPr>
                <w:b/>
                <w:lang w:val="fr-BE" w:eastAsia="fr-BE"/>
              </w:rPr>
              <w:t> </w:t>
            </w:r>
          </w:p>
        </w:tc>
        <w:tc>
          <w:tcPr>
            <w:tcW w:w="1072" w:type="dxa"/>
            <w:shd w:val="clear" w:color="auto" w:fill="auto"/>
            <w:hideMark/>
          </w:tcPr>
          <w:p w14:paraId="15A94E07" w14:textId="77777777" w:rsidR="005217A6" w:rsidRPr="005217A6" w:rsidRDefault="005217A6" w:rsidP="005217A6">
            <w:pPr>
              <w:spacing w:before="40" w:after="120"/>
              <w:ind w:right="113"/>
              <w:rPr>
                <w:b/>
                <w:lang w:val="fr-BE" w:eastAsia="fr-BE"/>
              </w:rPr>
            </w:pPr>
            <w:r w:rsidRPr="005217A6">
              <w:rPr>
                <w:b/>
                <w:lang w:val="fr-BE" w:eastAsia="fr-BE"/>
              </w:rPr>
              <w:t> </w:t>
            </w:r>
          </w:p>
        </w:tc>
        <w:tc>
          <w:tcPr>
            <w:tcW w:w="878" w:type="dxa"/>
            <w:shd w:val="clear" w:color="auto" w:fill="auto"/>
            <w:hideMark/>
          </w:tcPr>
          <w:p w14:paraId="1B232B87" w14:textId="77777777" w:rsidR="005217A6" w:rsidRPr="005217A6" w:rsidRDefault="005217A6" w:rsidP="005217A6">
            <w:pPr>
              <w:spacing w:before="40" w:after="120"/>
              <w:ind w:right="113"/>
              <w:rPr>
                <w:b/>
                <w:lang w:val="fr-BE" w:eastAsia="fr-BE"/>
              </w:rPr>
            </w:pPr>
            <w:r w:rsidRPr="005217A6">
              <w:rPr>
                <w:b/>
                <w:lang w:val="fr-BE" w:eastAsia="fr-BE"/>
              </w:rPr>
              <w:t> </w:t>
            </w:r>
          </w:p>
        </w:tc>
        <w:tc>
          <w:tcPr>
            <w:tcW w:w="1056" w:type="dxa"/>
            <w:shd w:val="clear" w:color="auto" w:fill="auto"/>
            <w:hideMark/>
          </w:tcPr>
          <w:p w14:paraId="2F498A60" w14:textId="77777777" w:rsidR="005217A6" w:rsidRPr="005217A6" w:rsidRDefault="005217A6" w:rsidP="005217A6">
            <w:pPr>
              <w:spacing w:before="40" w:after="120"/>
              <w:ind w:right="113"/>
              <w:rPr>
                <w:b/>
                <w:lang w:val="fr-BE" w:eastAsia="fr-BE"/>
              </w:rPr>
            </w:pPr>
            <w:r w:rsidRPr="005217A6">
              <w:rPr>
                <w:b/>
                <w:lang w:val="fr-BE" w:eastAsia="fr-BE"/>
              </w:rPr>
              <w:t> </w:t>
            </w:r>
          </w:p>
        </w:tc>
        <w:tc>
          <w:tcPr>
            <w:tcW w:w="1934" w:type="dxa"/>
            <w:shd w:val="clear" w:color="auto" w:fill="auto"/>
            <w:hideMark/>
          </w:tcPr>
          <w:p w14:paraId="334E3E6C" w14:textId="77777777" w:rsidR="005217A6" w:rsidRPr="005217A6" w:rsidRDefault="005217A6" w:rsidP="005217A6">
            <w:pPr>
              <w:spacing w:before="40" w:after="120"/>
              <w:ind w:right="113"/>
              <w:rPr>
                <w:b/>
                <w:lang w:val="fr-BE" w:eastAsia="fr-BE"/>
              </w:rPr>
            </w:pPr>
            <w:r w:rsidRPr="005217A6">
              <w:rPr>
                <w:b/>
                <w:lang w:val="fr-BE" w:eastAsia="fr-BE"/>
              </w:rPr>
              <w:t> </w:t>
            </w:r>
          </w:p>
        </w:tc>
      </w:tr>
      <w:tr w:rsidR="005217A6" w:rsidRPr="005217A6" w14:paraId="3EAEFB21" w14:textId="77777777" w:rsidTr="005217A6">
        <w:tc>
          <w:tcPr>
            <w:tcW w:w="927" w:type="dxa"/>
            <w:shd w:val="clear" w:color="auto" w:fill="auto"/>
            <w:hideMark/>
          </w:tcPr>
          <w:p w14:paraId="0F46BEAF" w14:textId="77777777" w:rsidR="005217A6" w:rsidRPr="005217A6" w:rsidRDefault="005217A6" w:rsidP="005217A6">
            <w:pPr>
              <w:spacing w:before="40" w:after="120"/>
              <w:ind w:right="113"/>
              <w:rPr>
                <w:lang w:val="fr-BE" w:eastAsia="fr-BE"/>
              </w:rPr>
            </w:pPr>
            <w:r w:rsidRPr="005217A6">
              <w:rPr>
                <w:lang w:val="fr-BE" w:eastAsia="fr-BE"/>
              </w:rPr>
              <w:t>Sub-regional cooperation</w:t>
            </w:r>
          </w:p>
        </w:tc>
        <w:tc>
          <w:tcPr>
            <w:tcW w:w="773" w:type="dxa"/>
            <w:shd w:val="clear" w:color="auto" w:fill="auto"/>
            <w:hideMark/>
          </w:tcPr>
          <w:p w14:paraId="280E05C9" w14:textId="77777777" w:rsidR="005217A6" w:rsidRPr="005217A6" w:rsidRDefault="005217A6" w:rsidP="005217A6">
            <w:pPr>
              <w:spacing w:before="40" w:after="120"/>
              <w:ind w:right="113"/>
              <w:rPr>
                <w:lang w:val="fr-BE" w:eastAsia="fr-BE"/>
              </w:rPr>
            </w:pPr>
            <w:r w:rsidRPr="005217A6">
              <w:rPr>
                <w:lang w:val="fr-BE" w:eastAsia="fr-BE"/>
              </w:rPr>
              <w:t>3</w:t>
            </w:r>
          </w:p>
        </w:tc>
        <w:tc>
          <w:tcPr>
            <w:tcW w:w="1864" w:type="dxa"/>
            <w:shd w:val="clear" w:color="auto" w:fill="auto"/>
            <w:hideMark/>
          </w:tcPr>
          <w:p w14:paraId="3D00AB10" w14:textId="77777777" w:rsidR="005217A6" w:rsidRPr="005217A6" w:rsidRDefault="005217A6" w:rsidP="005217A6">
            <w:pPr>
              <w:spacing w:before="40" w:after="120"/>
              <w:ind w:right="113"/>
              <w:rPr>
                <w:lang w:val="en-US" w:eastAsia="fr-BE"/>
              </w:rPr>
            </w:pPr>
            <w:r w:rsidRPr="005217A6">
              <w:rPr>
                <w:lang w:val="en-US" w:eastAsia="fr-BE"/>
              </w:rPr>
              <w:t xml:space="preserve">Session on implementation of the Convention, the Protocol and the Bucharest Agreement in the South-Eastern Europe subregion  </w:t>
            </w:r>
          </w:p>
        </w:tc>
        <w:tc>
          <w:tcPr>
            <w:tcW w:w="1072" w:type="dxa"/>
            <w:shd w:val="clear" w:color="auto" w:fill="auto"/>
            <w:hideMark/>
          </w:tcPr>
          <w:p w14:paraId="5DAF63BF" w14:textId="77777777" w:rsidR="005217A6" w:rsidRPr="005217A6" w:rsidRDefault="005217A6" w:rsidP="005217A6">
            <w:pPr>
              <w:spacing w:before="40" w:after="120"/>
              <w:ind w:right="113"/>
              <w:rPr>
                <w:lang w:val="fr-BE" w:eastAsia="fr-BE"/>
              </w:rPr>
            </w:pPr>
            <w:r w:rsidRPr="005217A6">
              <w:rPr>
                <w:lang w:val="fr-BE" w:eastAsia="fr-BE"/>
              </w:rPr>
              <w:t>14–15 September 2017, Vodice, Croatia</w:t>
            </w:r>
          </w:p>
        </w:tc>
        <w:tc>
          <w:tcPr>
            <w:tcW w:w="878" w:type="dxa"/>
            <w:shd w:val="clear" w:color="auto" w:fill="auto"/>
            <w:hideMark/>
          </w:tcPr>
          <w:p w14:paraId="2C92758C" w14:textId="77777777" w:rsidR="005217A6" w:rsidRPr="005217A6" w:rsidRDefault="005217A6" w:rsidP="005217A6">
            <w:pPr>
              <w:spacing w:before="40" w:after="120"/>
              <w:ind w:right="113"/>
              <w:rPr>
                <w:lang w:val="fr-BE" w:eastAsia="fr-BE"/>
              </w:rPr>
            </w:pPr>
            <w:r w:rsidRPr="005217A6">
              <w:rPr>
                <w:lang w:val="fr-BE" w:eastAsia="fr-BE"/>
              </w:rPr>
              <w:t>Croatia</w:t>
            </w:r>
          </w:p>
        </w:tc>
        <w:tc>
          <w:tcPr>
            <w:tcW w:w="1056" w:type="dxa"/>
            <w:shd w:val="clear" w:color="auto" w:fill="auto"/>
            <w:hideMark/>
          </w:tcPr>
          <w:p w14:paraId="09B44990" w14:textId="77777777" w:rsidR="005217A6" w:rsidRPr="005217A6" w:rsidRDefault="005217A6" w:rsidP="005217A6">
            <w:pPr>
              <w:spacing w:before="40" w:after="120"/>
              <w:ind w:right="113"/>
              <w:rPr>
                <w:lang w:val="fr-BE" w:eastAsia="fr-BE"/>
              </w:rPr>
            </w:pPr>
            <w:r w:rsidRPr="005217A6">
              <w:rPr>
                <w:lang w:val="fr-BE" w:eastAsia="fr-BE"/>
              </w:rPr>
              <w:t>Unknown</w:t>
            </w:r>
          </w:p>
        </w:tc>
        <w:tc>
          <w:tcPr>
            <w:tcW w:w="1934" w:type="dxa"/>
            <w:shd w:val="clear" w:color="auto" w:fill="auto"/>
            <w:hideMark/>
          </w:tcPr>
          <w:p w14:paraId="6476DAA6" w14:textId="77777777" w:rsidR="005217A6" w:rsidRPr="005217A6" w:rsidRDefault="005217A6" w:rsidP="005217A6">
            <w:pPr>
              <w:spacing w:before="40" w:after="120"/>
              <w:ind w:right="113"/>
              <w:rPr>
                <w:lang w:val="en-US" w:eastAsia="fr-BE"/>
              </w:rPr>
            </w:pPr>
            <w:r w:rsidRPr="005217A6">
              <w:rPr>
                <w:lang w:val="en-US" w:eastAsia="fr-BE"/>
              </w:rPr>
              <w:t>Co-organized by Romania and the secretariat during a regional conference on EIA</w:t>
            </w:r>
          </w:p>
        </w:tc>
      </w:tr>
      <w:tr w:rsidR="005217A6" w:rsidRPr="005217A6" w14:paraId="72E07CFA" w14:textId="77777777" w:rsidTr="005217A6">
        <w:tc>
          <w:tcPr>
            <w:tcW w:w="927" w:type="dxa"/>
            <w:shd w:val="clear" w:color="auto" w:fill="auto"/>
            <w:hideMark/>
          </w:tcPr>
          <w:p w14:paraId="59E4FF3F" w14:textId="77777777" w:rsidR="005217A6" w:rsidRPr="005217A6" w:rsidRDefault="005217A6" w:rsidP="005217A6">
            <w:pPr>
              <w:spacing w:before="40" w:after="120"/>
              <w:ind w:right="113"/>
              <w:rPr>
                <w:lang w:val="en-US" w:eastAsia="fr-BE"/>
              </w:rPr>
            </w:pPr>
          </w:p>
        </w:tc>
        <w:tc>
          <w:tcPr>
            <w:tcW w:w="773" w:type="dxa"/>
            <w:shd w:val="clear" w:color="auto" w:fill="auto"/>
            <w:hideMark/>
          </w:tcPr>
          <w:p w14:paraId="4121010F" w14:textId="77777777" w:rsidR="005217A6" w:rsidRPr="005217A6" w:rsidRDefault="005217A6" w:rsidP="005217A6">
            <w:pPr>
              <w:spacing w:before="40" w:after="120"/>
              <w:ind w:right="113"/>
              <w:rPr>
                <w:lang w:val="fr-BE" w:eastAsia="fr-BE"/>
              </w:rPr>
            </w:pPr>
            <w:r w:rsidRPr="005217A6">
              <w:rPr>
                <w:lang w:val="fr-BE" w:eastAsia="fr-BE"/>
              </w:rPr>
              <w:t>3</w:t>
            </w:r>
          </w:p>
        </w:tc>
        <w:tc>
          <w:tcPr>
            <w:tcW w:w="1864" w:type="dxa"/>
            <w:shd w:val="clear" w:color="auto" w:fill="auto"/>
            <w:hideMark/>
          </w:tcPr>
          <w:p w14:paraId="2A3268E1" w14:textId="77777777" w:rsidR="005217A6" w:rsidRPr="005217A6" w:rsidRDefault="005217A6" w:rsidP="005217A6">
            <w:pPr>
              <w:spacing w:before="40" w:after="120"/>
              <w:ind w:right="113"/>
              <w:rPr>
                <w:lang w:val="en-US" w:eastAsia="fr-BE"/>
              </w:rPr>
            </w:pPr>
            <w:r w:rsidRPr="005217A6">
              <w:rPr>
                <w:lang w:val="en-US" w:eastAsia="fr-BE"/>
              </w:rPr>
              <w:t>Preparation of guidance on the applicability of the Convention to the lifetime extension of nuclear power plants by an ad hoc working group led by Germany and the UK, including preparatory meetings hosted by the Co-Chairs and the members of the group</w:t>
            </w:r>
            <w:r w:rsidRPr="005217A6">
              <w:rPr>
                <w:lang w:val="en-US" w:eastAsia="fr-BE"/>
              </w:rPr>
              <w:br/>
              <w:t>and Co-Chairs’ consultations with NGOs</w:t>
            </w:r>
          </w:p>
          <w:p w14:paraId="6AEE3DB4" w14:textId="77777777" w:rsidR="005217A6" w:rsidRPr="005217A6" w:rsidRDefault="005217A6" w:rsidP="005217A6">
            <w:pPr>
              <w:spacing w:before="40" w:after="120"/>
              <w:ind w:right="113"/>
              <w:rPr>
                <w:lang w:val="en-US" w:eastAsia="fr-BE"/>
              </w:rPr>
            </w:pPr>
            <w:r w:rsidRPr="005217A6">
              <w:rPr>
                <w:lang w:val="en-US" w:eastAsia="fr-BE"/>
              </w:rPr>
              <w:t xml:space="preserve"> </w:t>
            </w:r>
          </w:p>
        </w:tc>
        <w:tc>
          <w:tcPr>
            <w:tcW w:w="1072" w:type="dxa"/>
            <w:shd w:val="clear" w:color="auto" w:fill="auto"/>
          </w:tcPr>
          <w:p w14:paraId="50C2048C" w14:textId="77777777" w:rsidR="005217A6" w:rsidRPr="005217A6" w:rsidRDefault="005217A6" w:rsidP="005217A6">
            <w:pPr>
              <w:spacing w:before="40" w:after="120"/>
              <w:ind w:right="113"/>
              <w:rPr>
                <w:lang w:val="en-US" w:eastAsia="fr-BE"/>
              </w:rPr>
            </w:pPr>
            <w:r w:rsidRPr="005217A6">
              <w:rPr>
                <w:lang w:val="en-US" w:eastAsia="fr-BE"/>
              </w:rPr>
              <w:t xml:space="preserve">8 meetings in 2017–2020 (in Luxem-bourg;  Brussels; Geneva; Berlin; London; Lisbon; Rotterdam; Vienna. </w:t>
            </w:r>
          </w:p>
        </w:tc>
        <w:tc>
          <w:tcPr>
            <w:tcW w:w="878" w:type="dxa"/>
            <w:shd w:val="clear" w:color="auto" w:fill="auto"/>
            <w:hideMark/>
          </w:tcPr>
          <w:p w14:paraId="3E3546E7" w14:textId="77777777" w:rsidR="005217A6" w:rsidRPr="005217A6" w:rsidRDefault="005217A6" w:rsidP="005217A6">
            <w:pPr>
              <w:spacing w:before="40" w:after="120"/>
              <w:ind w:right="113"/>
              <w:rPr>
                <w:lang w:val="en-US" w:eastAsia="fr-BE"/>
              </w:rPr>
            </w:pPr>
            <w:r w:rsidRPr="005217A6">
              <w:rPr>
                <w:lang w:val="en-US" w:eastAsia="fr-BE"/>
              </w:rPr>
              <w:t>Germany and United Kingdom, European Commission (DG Energy and Environment), Portugal,</w:t>
            </w:r>
            <w:r w:rsidRPr="005217A6">
              <w:rPr>
                <w:lang w:val="en-US" w:eastAsia="fr-BE"/>
              </w:rPr>
              <w:br/>
              <w:t>Netherlands, Austria</w:t>
            </w:r>
          </w:p>
          <w:p w14:paraId="1CEDCFCE" w14:textId="77777777" w:rsidR="005217A6" w:rsidRPr="005217A6" w:rsidRDefault="005217A6" w:rsidP="005217A6">
            <w:pPr>
              <w:spacing w:before="40" w:after="120"/>
              <w:ind w:right="113"/>
              <w:rPr>
                <w:lang w:val="en-US" w:eastAsia="fr-BE"/>
              </w:rPr>
            </w:pPr>
          </w:p>
        </w:tc>
        <w:tc>
          <w:tcPr>
            <w:tcW w:w="1056" w:type="dxa"/>
            <w:shd w:val="clear" w:color="auto" w:fill="auto"/>
            <w:hideMark/>
          </w:tcPr>
          <w:p w14:paraId="6A49DB0A" w14:textId="77777777" w:rsidR="005217A6" w:rsidRPr="005217A6" w:rsidRDefault="005217A6" w:rsidP="005217A6">
            <w:pPr>
              <w:spacing w:before="40" w:after="120"/>
              <w:ind w:right="113"/>
              <w:rPr>
                <w:lang w:val="fr-BE" w:eastAsia="fr-BE"/>
              </w:rPr>
            </w:pPr>
            <w:r w:rsidRPr="005217A6">
              <w:rPr>
                <w:lang w:val="fr-BE" w:eastAsia="fr-BE"/>
              </w:rPr>
              <w:t>Unknown</w:t>
            </w:r>
          </w:p>
        </w:tc>
        <w:tc>
          <w:tcPr>
            <w:tcW w:w="1934" w:type="dxa"/>
            <w:shd w:val="clear" w:color="auto" w:fill="auto"/>
            <w:hideMark/>
          </w:tcPr>
          <w:p w14:paraId="2E64FA3B" w14:textId="77777777" w:rsidR="005217A6" w:rsidRPr="005217A6" w:rsidRDefault="005217A6" w:rsidP="005217A6">
            <w:pPr>
              <w:spacing w:before="40" w:after="120"/>
              <w:ind w:right="113"/>
              <w:rPr>
                <w:lang w:val="en-US" w:eastAsia="fr-BE"/>
              </w:rPr>
            </w:pPr>
            <w:r w:rsidRPr="005217A6">
              <w:rPr>
                <w:lang w:val="en-US" w:eastAsia="fr-BE"/>
              </w:rPr>
              <w:t>Ad hoc working group led + co-chaired by Germany and United Kingdom with nominated experts from Armenia, Azerbaijan, Austria, Belarus, Belgium, Bulgaria, Canada, Czechia, France, Finland, Greece, Italy, Luxembourg, Netherlands, Norway, Poland, Portugal, Slovenia, Slovakia, Sweden, Switzerland, Spain, Ukraine, and the European Commission (Energy and Environment DGs)</w:t>
            </w:r>
          </w:p>
        </w:tc>
      </w:tr>
      <w:tr w:rsidR="005217A6" w:rsidRPr="005217A6" w14:paraId="31047CE4" w14:textId="77777777" w:rsidTr="005217A6">
        <w:tc>
          <w:tcPr>
            <w:tcW w:w="927" w:type="dxa"/>
            <w:shd w:val="clear" w:color="auto" w:fill="auto"/>
            <w:hideMark/>
          </w:tcPr>
          <w:p w14:paraId="292770F7" w14:textId="77777777" w:rsidR="005217A6" w:rsidRPr="005217A6" w:rsidRDefault="005217A6" w:rsidP="005217A6">
            <w:pPr>
              <w:spacing w:before="40" w:after="120"/>
              <w:ind w:right="113"/>
              <w:rPr>
                <w:lang w:val="en-US" w:eastAsia="fr-BE"/>
              </w:rPr>
            </w:pPr>
          </w:p>
        </w:tc>
        <w:tc>
          <w:tcPr>
            <w:tcW w:w="773" w:type="dxa"/>
            <w:shd w:val="clear" w:color="auto" w:fill="auto"/>
            <w:hideMark/>
          </w:tcPr>
          <w:p w14:paraId="69258E2B" w14:textId="77777777" w:rsidR="005217A6" w:rsidRPr="005217A6" w:rsidRDefault="005217A6" w:rsidP="005217A6">
            <w:pPr>
              <w:spacing w:before="40" w:after="120"/>
              <w:ind w:right="113"/>
              <w:rPr>
                <w:lang w:val="fr-BE" w:eastAsia="fr-BE"/>
              </w:rPr>
            </w:pPr>
            <w:r w:rsidRPr="005217A6">
              <w:rPr>
                <w:lang w:val="fr-BE" w:eastAsia="fr-BE"/>
              </w:rPr>
              <w:t>3</w:t>
            </w:r>
          </w:p>
        </w:tc>
        <w:tc>
          <w:tcPr>
            <w:tcW w:w="1864" w:type="dxa"/>
            <w:shd w:val="clear" w:color="auto" w:fill="auto"/>
            <w:hideMark/>
          </w:tcPr>
          <w:p w14:paraId="60CBEAAD" w14:textId="77777777" w:rsidR="005217A6" w:rsidRPr="005217A6" w:rsidRDefault="005217A6" w:rsidP="005217A6">
            <w:pPr>
              <w:spacing w:before="40" w:after="120"/>
              <w:ind w:right="113"/>
              <w:rPr>
                <w:lang w:val="en-US" w:eastAsia="fr-BE"/>
              </w:rPr>
            </w:pPr>
            <w:r w:rsidRPr="005217A6">
              <w:rPr>
                <w:lang w:val="en-US" w:eastAsia="fr-BE"/>
              </w:rPr>
              <w:t>Workshop on the application of the Convention to the lifetime extension of nuclear power plants (+ additional hour of Russian interpretation paid by the Netherlands)</w:t>
            </w:r>
          </w:p>
        </w:tc>
        <w:tc>
          <w:tcPr>
            <w:tcW w:w="1072" w:type="dxa"/>
            <w:shd w:val="clear" w:color="auto" w:fill="auto"/>
            <w:hideMark/>
          </w:tcPr>
          <w:p w14:paraId="09F6CDA3" w14:textId="77777777" w:rsidR="005217A6" w:rsidRPr="005217A6" w:rsidRDefault="005217A6" w:rsidP="005217A6">
            <w:pPr>
              <w:spacing w:before="40" w:after="120"/>
              <w:ind w:right="113"/>
              <w:rPr>
                <w:lang w:val="fr-BE" w:eastAsia="fr-BE"/>
              </w:rPr>
            </w:pPr>
            <w:r w:rsidRPr="005217A6">
              <w:rPr>
                <w:lang w:val="fr-BE" w:eastAsia="fr-BE"/>
              </w:rPr>
              <w:t>28-29 May 2018, Geneva</w:t>
            </w:r>
          </w:p>
        </w:tc>
        <w:tc>
          <w:tcPr>
            <w:tcW w:w="878" w:type="dxa"/>
            <w:shd w:val="clear" w:color="auto" w:fill="auto"/>
            <w:hideMark/>
          </w:tcPr>
          <w:p w14:paraId="5C3B9113" w14:textId="77777777" w:rsidR="005217A6" w:rsidRPr="005217A6" w:rsidRDefault="005217A6" w:rsidP="005217A6">
            <w:pPr>
              <w:spacing w:before="40" w:after="120"/>
              <w:ind w:right="113"/>
              <w:rPr>
                <w:lang w:val="en-US" w:eastAsia="fr-BE"/>
              </w:rPr>
            </w:pPr>
            <w:r w:rsidRPr="005217A6">
              <w:rPr>
                <w:lang w:val="en-US" w:eastAsia="fr-BE"/>
              </w:rPr>
              <w:t>Germany, the UK, (interpretation costs: Netherlands)</w:t>
            </w:r>
          </w:p>
        </w:tc>
        <w:tc>
          <w:tcPr>
            <w:tcW w:w="1056" w:type="dxa"/>
            <w:shd w:val="clear" w:color="auto" w:fill="auto"/>
            <w:hideMark/>
          </w:tcPr>
          <w:p w14:paraId="74395BD8" w14:textId="77777777" w:rsidR="005217A6" w:rsidRPr="005217A6" w:rsidRDefault="005217A6" w:rsidP="005217A6">
            <w:pPr>
              <w:spacing w:before="40" w:after="120"/>
              <w:ind w:right="113"/>
              <w:rPr>
                <w:lang w:val="fr-BE" w:eastAsia="fr-BE"/>
              </w:rPr>
            </w:pPr>
            <w:r w:rsidRPr="005217A6">
              <w:rPr>
                <w:lang w:val="fr-BE" w:eastAsia="fr-BE"/>
              </w:rPr>
              <w:t>Unknown</w:t>
            </w:r>
          </w:p>
        </w:tc>
        <w:tc>
          <w:tcPr>
            <w:tcW w:w="1934" w:type="dxa"/>
            <w:shd w:val="clear" w:color="auto" w:fill="auto"/>
            <w:hideMark/>
          </w:tcPr>
          <w:p w14:paraId="5785546B" w14:textId="77777777" w:rsidR="005217A6" w:rsidRPr="005217A6" w:rsidRDefault="005217A6" w:rsidP="005217A6">
            <w:pPr>
              <w:spacing w:before="40" w:after="120"/>
              <w:ind w:right="113"/>
              <w:rPr>
                <w:lang w:val="en-US" w:eastAsia="fr-BE"/>
              </w:rPr>
            </w:pPr>
            <w:r w:rsidRPr="005217A6">
              <w:rPr>
                <w:lang w:val="en-US" w:eastAsia="fr-BE"/>
              </w:rPr>
              <w:t>Workshop co-organized by Germany and the United Kingdom, with support from the secretariat</w:t>
            </w:r>
          </w:p>
        </w:tc>
      </w:tr>
      <w:tr w:rsidR="005217A6" w:rsidRPr="005217A6" w14:paraId="6328A10A" w14:textId="77777777" w:rsidTr="005217A6">
        <w:tc>
          <w:tcPr>
            <w:tcW w:w="927" w:type="dxa"/>
            <w:shd w:val="clear" w:color="auto" w:fill="auto"/>
          </w:tcPr>
          <w:p w14:paraId="1437FF83" w14:textId="77777777" w:rsidR="005217A6" w:rsidRPr="005217A6" w:rsidRDefault="005217A6" w:rsidP="005217A6">
            <w:pPr>
              <w:spacing w:before="40" w:after="120"/>
              <w:ind w:right="113"/>
              <w:rPr>
                <w:lang w:val="en-US" w:eastAsia="fr-BE"/>
              </w:rPr>
            </w:pPr>
          </w:p>
        </w:tc>
        <w:tc>
          <w:tcPr>
            <w:tcW w:w="773" w:type="dxa"/>
            <w:shd w:val="clear" w:color="auto" w:fill="auto"/>
          </w:tcPr>
          <w:p w14:paraId="4351FF69" w14:textId="77777777" w:rsidR="005217A6" w:rsidRPr="005217A6" w:rsidRDefault="005217A6" w:rsidP="005217A6">
            <w:pPr>
              <w:spacing w:before="40" w:after="120"/>
              <w:ind w:right="113"/>
              <w:rPr>
                <w:lang w:val="fr-BE" w:eastAsia="fr-BE"/>
              </w:rPr>
            </w:pPr>
            <w:r w:rsidRPr="005217A6">
              <w:rPr>
                <w:lang w:val="fr-BE" w:eastAsia="fr-BE"/>
              </w:rPr>
              <w:t>3</w:t>
            </w:r>
          </w:p>
        </w:tc>
        <w:tc>
          <w:tcPr>
            <w:tcW w:w="1864" w:type="dxa"/>
            <w:shd w:val="clear" w:color="auto" w:fill="auto"/>
          </w:tcPr>
          <w:p w14:paraId="3BC0292D" w14:textId="77777777" w:rsidR="005217A6" w:rsidRPr="005217A6" w:rsidRDefault="005217A6" w:rsidP="005217A6">
            <w:pPr>
              <w:spacing w:before="40" w:after="120"/>
              <w:ind w:right="113"/>
              <w:rPr>
                <w:lang w:val="en-US" w:eastAsia="fr-BE"/>
              </w:rPr>
            </w:pPr>
            <w:r w:rsidRPr="005217A6">
              <w:rPr>
                <w:lang w:val="en-US" w:eastAsia="fr-BE"/>
              </w:rPr>
              <w:t>International Workshop on the application of the Convention to the lifetime extension of nuclear power plants</w:t>
            </w:r>
          </w:p>
        </w:tc>
        <w:tc>
          <w:tcPr>
            <w:tcW w:w="1072" w:type="dxa"/>
            <w:shd w:val="clear" w:color="auto" w:fill="auto"/>
          </w:tcPr>
          <w:p w14:paraId="55F86881" w14:textId="77777777" w:rsidR="005217A6" w:rsidRPr="005217A6" w:rsidRDefault="005217A6" w:rsidP="005217A6">
            <w:pPr>
              <w:spacing w:before="40" w:after="120"/>
              <w:ind w:right="113"/>
              <w:rPr>
                <w:lang w:val="en-US" w:eastAsia="fr-BE"/>
              </w:rPr>
            </w:pPr>
            <w:r w:rsidRPr="005217A6">
              <w:rPr>
                <w:lang w:val="en-US" w:eastAsia="fr-BE"/>
              </w:rPr>
              <w:t>5 June 2019, Lisbon</w:t>
            </w:r>
          </w:p>
        </w:tc>
        <w:tc>
          <w:tcPr>
            <w:tcW w:w="878" w:type="dxa"/>
            <w:shd w:val="clear" w:color="auto" w:fill="auto"/>
          </w:tcPr>
          <w:p w14:paraId="35CE0FCE" w14:textId="77777777" w:rsidR="005217A6" w:rsidRPr="005217A6" w:rsidRDefault="005217A6" w:rsidP="005217A6">
            <w:pPr>
              <w:spacing w:before="40" w:after="120"/>
              <w:ind w:right="113"/>
              <w:rPr>
                <w:lang w:val="en-US" w:eastAsia="fr-BE"/>
              </w:rPr>
            </w:pPr>
            <w:r w:rsidRPr="005217A6">
              <w:rPr>
                <w:lang w:val="en-US" w:eastAsia="fr-BE"/>
              </w:rPr>
              <w:t>IAIA</w:t>
            </w:r>
          </w:p>
        </w:tc>
        <w:tc>
          <w:tcPr>
            <w:tcW w:w="1056" w:type="dxa"/>
            <w:shd w:val="clear" w:color="auto" w:fill="auto"/>
          </w:tcPr>
          <w:p w14:paraId="3D411DBD" w14:textId="77777777" w:rsidR="005217A6" w:rsidRPr="005217A6" w:rsidRDefault="005217A6" w:rsidP="005217A6">
            <w:pPr>
              <w:spacing w:before="40" w:after="120"/>
              <w:ind w:right="113"/>
              <w:rPr>
                <w:lang w:eastAsia="fr-BE"/>
              </w:rPr>
            </w:pPr>
            <w:r w:rsidRPr="005217A6">
              <w:rPr>
                <w:lang w:eastAsia="fr-BE"/>
              </w:rPr>
              <w:t>Unknown</w:t>
            </w:r>
          </w:p>
        </w:tc>
        <w:tc>
          <w:tcPr>
            <w:tcW w:w="1934" w:type="dxa"/>
            <w:shd w:val="clear" w:color="auto" w:fill="auto"/>
          </w:tcPr>
          <w:p w14:paraId="061EB594" w14:textId="77777777" w:rsidR="005217A6" w:rsidRPr="005217A6" w:rsidRDefault="005217A6" w:rsidP="005217A6">
            <w:pPr>
              <w:spacing w:before="40" w:after="120"/>
              <w:ind w:right="113"/>
              <w:rPr>
                <w:lang w:val="en-US" w:eastAsia="fr-BE"/>
              </w:rPr>
            </w:pPr>
            <w:r w:rsidRPr="005217A6">
              <w:rPr>
                <w:lang w:val="en-US" w:eastAsia="fr-BE"/>
              </w:rPr>
              <w:t xml:space="preserve">Workshop organized by IAIA with secretariat support </w:t>
            </w:r>
          </w:p>
        </w:tc>
      </w:tr>
      <w:tr w:rsidR="005217A6" w:rsidRPr="005217A6" w14:paraId="7A8ED098" w14:textId="77777777" w:rsidTr="005217A6">
        <w:tc>
          <w:tcPr>
            <w:tcW w:w="927" w:type="dxa"/>
            <w:shd w:val="clear" w:color="auto" w:fill="auto"/>
            <w:hideMark/>
          </w:tcPr>
          <w:p w14:paraId="28B6F844" w14:textId="77777777" w:rsidR="005217A6" w:rsidRPr="005217A6" w:rsidRDefault="005217A6" w:rsidP="005217A6">
            <w:pPr>
              <w:spacing w:before="40" w:after="120"/>
              <w:ind w:right="113"/>
              <w:rPr>
                <w:lang w:val="en-US" w:eastAsia="fr-BE"/>
              </w:rPr>
            </w:pPr>
          </w:p>
        </w:tc>
        <w:tc>
          <w:tcPr>
            <w:tcW w:w="773" w:type="dxa"/>
            <w:shd w:val="clear" w:color="auto" w:fill="auto"/>
            <w:hideMark/>
          </w:tcPr>
          <w:p w14:paraId="0E5F174E" w14:textId="77777777" w:rsidR="005217A6" w:rsidRPr="005217A6" w:rsidRDefault="005217A6" w:rsidP="005217A6">
            <w:pPr>
              <w:spacing w:before="40" w:after="120"/>
              <w:ind w:right="113"/>
              <w:rPr>
                <w:lang w:val="fr-BE" w:eastAsia="fr-BE"/>
              </w:rPr>
            </w:pPr>
            <w:r w:rsidRPr="005217A6">
              <w:rPr>
                <w:lang w:val="fr-BE" w:eastAsia="fr-BE"/>
              </w:rPr>
              <w:t>3</w:t>
            </w:r>
          </w:p>
        </w:tc>
        <w:tc>
          <w:tcPr>
            <w:tcW w:w="1864" w:type="dxa"/>
            <w:shd w:val="clear" w:color="auto" w:fill="auto"/>
            <w:hideMark/>
          </w:tcPr>
          <w:p w14:paraId="710DD390" w14:textId="77777777" w:rsidR="005217A6" w:rsidRPr="005217A6" w:rsidRDefault="005217A6" w:rsidP="005217A6">
            <w:pPr>
              <w:spacing w:before="40" w:after="120"/>
              <w:ind w:right="113"/>
              <w:rPr>
                <w:lang w:val="en-US" w:eastAsia="fr-BE"/>
              </w:rPr>
            </w:pPr>
            <w:r w:rsidRPr="005217A6">
              <w:rPr>
                <w:lang w:val="en-US" w:eastAsia="fr-BE"/>
              </w:rPr>
              <w:t>Informal Translation of IAIA FastTips</w:t>
            </w:r>
          </w:p>
        </w:tc>
        <w:tc>
          <w:tcPr>
            <w:tcW w:w="1072" w:type="dxa"/>
            <w:shd w:val="clear" w:color="auto" w:fill="auto"/>
            <w:hideMark/>
          </w:tcPr>
          <w:p w14:paraId="3A7A3F69" w14:textId="77777777" w:rsidR="005217A6" w:rsidRPr="005217A6" w:rsidRDefault="005217A6" w:rsidP="005217A6">
            <w:pPr>
              <w:spacing w:before="40" w:after="120"/>
              <w:ind w:right="113"/>
              <w:rPr>
                <w:lang w:val="en-US" w:eastAsia="fr-BE"/>
              </w:rPr>
            </w:pPr>
          </w:p>
        </w:tc>
        <w:tc>
          <w:tcPr>
            <w:tcW w:w="878" w:type="dxa"/>
            <w:shd w:val="clear" w:color="auto" w:fill="auto"/>
            <w:hideMark/>
          </w:tcPr>
          <w:p w14:paraId="7EDF81F9" w14:textId="77777777" w:rsidR="005217A6" w:rsidRPr="005217A6" w:rsidRDefault="005217A6" w:rsidP="005217A6">
            <w:pPr>
              <w:spacing w:before="40" w:after="120"/>
              <w:ind w:right="113"/>
              <w:rPr>
                <w:lang w:val="fr-BE" w:eastAsia="fr-BE"/>
              </w:rPr>
            </w:pPr>
            <w:r w:rsidRPr="005217A6">
              <w:rPr>
                <w:lang w:val="fr-BE" w:eastAsia="fr-BE"/>
              </w:rPr>
              <w:t>WWF Russia</w:t>
            </w:r>
          </w:p>
        </w:tc>
        <w:tc>
          <w:tcPr>
            <w:tcW w:w="1056" w:type="dxa"/>
            <w:shd w:val="clear" w:color="auto" w:fill="auto"/>
            <w:hideMark/>
          </w:tcPr>
          <w:p w14:paraId="5F8A1DB3" w14:textId="77777777" w:rsidR="005217A6" w:rsidRPr="005217A6" w:rsidRDefault="005217A6" w:rsidP="005217A6">
            <w:pPr>
              <w:spacing w:before="40" w:after="120"/>
              <w:ind w:right="113"/>
              <w:rPr>
                <w:lang w:val="fr-BE" w:eastAsia="fr-BE"/>
              </w:rPr>
            </w:pPr>
            <w:r w:rsidRPr="005217A6">
              <w:rPr>
                <w:lang w:val="fr-BE" w:eastAsia="fr-BE"/>
              </w:rPr>
              <w:t>Unknown</w:t>
            </w:r>
          </w:p>
        </w:tc>
        <w:tc>
          <w:tcPr>
            <w:tcW w:w="1934" w:type="dxa"/>
            <w:shd w:val="clear" w:color="auto" w:fill="auto"/>
            <w:hideMark/>
          </w:tcPr>
          <w:p w14:paraId="50A239C3" w14:textId="77777777" w:rsidR="005217A6" w:rsidRPr="005217A6" w:rsidRDefault="005217A6" w:rsidP="005217A6">
            <w:pPr>
              <w:spacing w:before="40" w:after="120"/>
              <w:ind w:right="113"/>
              <w:rPr>
                <w:lang w:val="fr-BE" w:eastAsia="fr-BE"/>
              </w:rPr>
            </w:pPr>
          </w:p>
        </w:tc>
      </w:tr>
      <w:tr w:rsidR="005217A6" w:rsidRPr="005217A6" w14:paraId="4612BAF3" w14:textId="77777777" w:rsidTr="005217A6">
        <w:tc>
          <w:tcPr>
            <w:tcW w:w="927" w:type="dxa"/>
            <w:tcBorders>
              <w:bottom w:val="single" w:sz="12" w:space="0" w:color="auto"/>
            </w:tcBorders>
            <w:shd w:val="clear" w:color="auto" w:fill="auto"/>
            <w:noWrap/>
            <w:hideMark/>
          </w:tcPr>
          <w:p w14:paraId="53E5407E" w14:textId="77777777" w:rsidR="005217A6" w:rsidRPr="005217A6" w:rsidRDefault="005217A6" w:rsidP="005217A6">
            <w:pPr>
              <w:spacing w:before="40" w:after="120"/>
              <w:ind w:right="113"/>
              <w:rPr>
                <w:b/>
                <w:lang w:val="fr-BE" w:eastAsia="fr-BE"/>
              </w:rPr>
            </w:pPr>
            <w:r w:rsidRPr="005217A6">
              <w:rPr>
                <w:b/>
                <w:lang w:val="fr-BE" w:eastAsia="fr-BE"/>
              </w:rPr>
              <w:t>Total</w:t>
            </w:r>
          </w:p>
        </w:tc>
        <w:tc>
          <w:tcPr>
            <w:tcW w:w="773" w:type="dxa"/>
            <w:tcBorders>
              <w:bottom w:val="single" w:sz="12" w:space="0" w:color="auto"/>
            </w:tcBorders>
            <w:shd w:val="clear" w:color="auto" w:fill="auto"/>
            <w:noWrap/>
            <w:hideMark/>
          </w:tcPr>
          <w:p w14:paraId="1CE8038F" w14:textId="77777777" w:rsidR="005217A6" w:rsidRPr="005217A6" w:rsidRDefault="005217A6" w:rsidP="005217A6">
            <w:pPr>
              <w:spacing w:before="40" w:after="120"/>
              <w:ind w:right="113"/>
              <w:rPr>
                <w:lang w:val="fr-BE" w:eastAsia="fr-BE"/>
              </w:rPr>
            </w:pPr>
            <w:r w:rsidRPr="005217A6">
              <w:rPr>
                <w:lang w:val="fr-BE" w:eastAsia="fr-BE"/>
              </w:rPr>
              <w:t> </w:t>
            </w:r>
          </w:p>
        </w:tc>
        <w:tc>
          <w:tcPr>
            <w:tcW w:w="1864" w:type="dxa"/>
            <w:tcBorders>
              <w:bottom w:val="single" w:sz="12" w:space="0" w:color="auto"/>
            </w:tcBorders>
            <w:shd w:val="clear" w:color="auto" w:fill="auto"/>
            <w:noWrap/>
            <w:hideMark/>
          </w:tcPr>
          <w:p w14:paraId="0BDD3A01" w14:textId="77777777" w:rsidR="005217A6" w:rsidRPr="005217A6" w:rsidRDefault="005217A6" w:rsidP="005217A6">
            <w:pPr>
              <w:spacing w:before="40" w:after="120"/>
              <w:ind w:right="113"/>
              <w:rPr>
                <w:lang w:val="fr-BE" w:eastAsia="fr-BE"/>
              </w:rPr>
            </w:pPr>
            <w:r w:rsidRPr="005217A6">
              <w:rPr>
                <w:lang w:val="fr-BE" w:eastAsia="fr-BE"/>
              </w:rPr>
              <w:t> </w:t>
            </w:r>
          </w:p>
        </w:tc>
        <w:tc>
          <w:tcPr>
            <w:tcW w:w="1072" w:type="dxa"/>
            <w:tcBorders>
              <w:bottom w:val="single" w:sz="12" w:space="0" w:color="auto"/>
            </w:tcBorders>
            <w:shd w:val="clear" w:color="auto" w:fill="auto"/>
            <w:noWrap/>
            <w:hideMark/>
          </w:tcPr>
          <w:p w14:paraId="4106DC8E" w14:textId="77777777" w:rsidR="005217A6" w:rsidRPr="005217A6" w:rsidRDefault="005217A6" w:rsidP="005217A6">
            <w:pPr>
              <w:spacing w:before="40" w:after="120"/>
              <w:ind w:right="113"/>
              <w:rPr>
                <w:lang w:val="fr-BE" w:eastAsia="fr-BE"/>
              </w:rPr>
            </w:pPr>
            <w:r w:rsidRPr="005217A6">
              <w:rPr>
                <w:lang w:val="fr-BE" w:eastAsia="fr-BE"/>
              </w:rPr>
              <w:t> </w:t>
            </w:r>
          </w:p>
        </w:tc>
        <w:tc>
          <w:tcPr>
            <w:tcW w:w="878" w:type="dxa"/>
            <w:tcBorders>
              <w:bottom w:val="single" w:sz="12" w:space="0" w:color="auto"/>
            </w:tcBorders>
            <w:shd w:val="clear" w:color="auto" w:fill="auto"/>
            <w:noWrap/>
            <w:hideMark/>
          </w:tcPr>
          <w:p w14:paraId="3F480329" w14:textId="77777777" w:rsidR="005217A6" w:rsidRPr="005217A6" w:rsidRDefault="005217A6" w:rsidP="005217A6">
            <w:pPr>
              <w:spacing w:before="40" w:after="120"/>
              <w:ind w:right="113"/>
              <w:rPr>
                <w:lang w:val="fr-BE" w:eastAsia="fr-BE"/>
              </w:rPr>
            </w:pPr>
            <w:r w:rsidRPr="005217A6">
              <w:rPr>
                <w:lang w:val="fr-BE" w:eastAsia="fr-BE"/>
              </w:rPr>
              <w:t> </w:t>
            </w:r>
          </w:p>
        </w:tc>
        <w:tc>
          <w:tcPr>
            <w:tcW w:w="1056" w:type="dxa"/>
            <w:tcBorders>
              <w:bottom w:val="single" w:sz="12" w:space="0" w:color="auto"/>
            </w:tcBorders>
            <w:shd w:val="clear" w:color="auto" w:fill="auto"/>
            <w:noWrap/>
            <w:hideMark/>
          </w:tcPr>
          <w:p w14:paraId="48AE11FD" w14:textId="77777777" w:rsidR="005217A6" w:rsidRPr="005217A6" w:rsidRDefault="005217A6" w:rsidP="005217A6">
            <w:pPr>
              <w:spacing w:before="40" w:after="120"/>
              <w:ind w:right="113"/>
              <w:rPr>
                <w:b/>
                <w:lang w:val="fr-BE" w:eastAsia="fr-BE"/>
              </w:rPr>
            </w:pPr>
            <w:r w:rsidRPr="005217A6">
              <w:rPr>
                <w:b/>
                <w:lang w:val="fr-BE" w:eastAsia="fr-BE"/>
              </w:rPr>
              <w:t xml:space="preserve">            -   </w:t>
            </w:r>
          </w:p>
        </w:tc>
        <w:tc>
          <w:tcPr>
            <w:tcW w:w="1934" w:type="dxa"/>
            <w:tcBorders>
              <w:bottom w:val="single" w:sz="12" w:space="0" w:color="auto"/>
            </w:tcBorders>
            <w:shd w:val="clear" w:color="auto" w:fill="auto"/>
            <w:noWrap/>
            <w:hideMark/>
          </w:tcPr>
          <w:p w14:paraId="58F4E56F" w14:textId="77777777" w:rsidR="005217A6" w:rsidRPr="005217A6" w:rsidRDefault="005217A6" w:rsidP="005217A6">
            <w:pPr>
              <w:spacing w:before="40" w:after="120"/>
              <w:ind w:right="113"/>
              <w:rPr>
                <w:lang w:val="fr-BE" w:eastAsia="fr-BE"/>
              </w:rPr>
            </w:pPr>
            <w:r w:rsidRPr="005217A6">
              <w:rPr>
                <w:lang w:val="fr-BE" w:eastAsia="fr-BE"/>
              </w:rPr>
              <w:t> </w:t>
            </w:r>
          </w:p>
        </w:tc>
      </w:tr>
    </w:tbl>
    <w:p w14:paraId="5701948C" w14:textId="44C71A09" w:rsidR="005217A6" w:rsidRDefault="005217A6" w:rsidP="005217A6">
      <w:pPr>
        <w:spacing w:before="120"/>
        <w:ind w:left="1418"/>
        <w:rPr>
          <w:sz w:val="18"/>
          <w:szCs w:val="18"/>
        </w:rPr>
      </w:pPr>
      <w:r w:rsidRPr="005217A6">
        <w:rPr>
          <w:b/>
          <w:bCs/>
          <w:i/>
          <w:iCs/>
          <w:sz w:val="18"/>
          <w:szCs w:val="18"/>
          <w:vertAlign w:val="superscript"/>
          <w:lang w:eastAsia="fr-BE"/>
        </w:rPr>
        <w:lastRenderedPageBreak/>
        <w:t xml:space="preserve">a  </w:t>
      </w:r>
      <w:r w:rsidRPr="005217A6">
        <w:rPr>
          <w:sz w:val="18"/>
          <w:szCs w:val="18"/>
        </w:rPr>
        <w:t>Values for activities not indicated in the current budget (decision VII/4-III/4) and are unknown.</w:t>
      </w:r>
    </w:p>
    <w:p w14:paraId="253EB452" w14:textId="01A3D3AB" w:rsidR="005217A6" w:rsidRDefault="005217A6" w:rsidP="005217A6">
      <w:pPr>
        <w:spacing w:before="120"/>
        <w:ind w:left="1418"/>
        <w:rPr>
          <w:sz w:val="18"/>
          <w:szCs w:val="18"/>
        </w:rPr>
      </w:pPr>
      <w:r>
        <w:rPr>
          <w:sz w:val="18"/>
          <w:szCs w:val="18"/>
        </w:rPr>
        <w:br w:type="page"/>
      </w:r>
    </w:p>
    <w:p w14:paraId="4689DBD9" w14:textId="77777777" w:rsidR="005217A6" w:rsidRDefault="005217A6" w:rsidP="005217A6">
      <w:pPr>
        <w:pStyle w:val="HChG"/>
        <w:rPr>
          <w:lang w:val="en-US" w:eastAsia="fr-BE"/>
        </w:rPr>
      </w:pPr>
      <w:r>
        <w:rPr>
          <w:lang w:val="en-US" w:eastAsia="fr-BE"/>
        </w:rPr>
        <w:lastRenderedPageBreak/>
        <w:tab/>
      </w:r>
      <w:r>
        <w:rPr>
          <w:lang w:val="en-US" w:eastAsia="fr-BE"/>
        </w:rPr>
        <w:tab/>
      </w:r>
      <w:r w:rsidRPr="005217A6">
        <w:rPr>
          <w:lang w:val="en-US" w:eastAsia="fr-BE"/>
        </w:rPr>
        <w:t>Annex 3</w:t>
      </w:r>
    </w:p>
    <w:p w14:paraId="67D15583" w14:textId="4522A9EA" w:rsidR="005217A6" w:rsidRPr="005217A6" w:rsidRDefault="005217A6" w:rsidP="005217A6">
      <w:pPr>
        <w:pStyle w:val="HChG"/>
        <w:rPr>
          <w:lang w:val="en-US" w:eastAsia="fr-BE"/>
        </w:rPr>
      </w:pPr>
      <w:r>
        <w:rPr>
          <w:lang w:val="en-US" w:eastAsia="fr-BE"/>
        </w:rPr>
        <w:tab/>
      </w:r>
      <w:r>
        <w:rPr>
          <w:lang w:val="en-US" w:eastAsia="fr-BE"/>
        </w:rPr>
        <w:tab/>
      </w:r>
      <w:r w:rsidRPr="005217A6">
        <w:rPr>
          <w:lang w:val="en-US" w:eastAsia="fr-BE"/>
        </w:rPr>
        <w:t>Suggestions for reflecting the in-kind contributions of Parties to the work of the implementation Committee</w:t>
      </w:r>
    </w:p>
    <w:tbl>
      <w:tblPr>
        <w:tblW w:w="8504" w:type="dxa"/>
        <w:tblInd w:w="1134" w:type="dxa"/>
        <w:tblLayout w:type="fixed"/>
        <w:tblCellMar>
          <w:left w:w="0" w:type="dxa"/>
          <w:right w:w="0" w:type="dxa"/>
        </w:tblCellMar>
        <w:tblLook w:val="04A0" w:firstRow="1" w:lastRow="0" w:firstColumn="1" w:lastColumn="0" w:noHBand="0" w:noVBand="1"/>
      </w:tblPr>
      <w:tblGrid>
        <w:gridCol w:w="1716"/>
        <w:gridCol w:w="706"/>
        <w:gridCol w:w="1344"/>
        <w:gridCol w:w="855"/>
        <w:gridCol w:w="1193"/>
        <w:gridCol w:w="1334"/>
        <w:gridCol w:w="1356"/>
      </w:tblGrid>
      <w:tr w:rsidR="00371E65" w:rsidRPr="00371E65" w14:paraId="551ECCE1" w14:textId="77777777" w:rsidTr="00371E65">
        <w:trPr>
          <w:tblHeader/>
        </w:trPr>
        <w:tc>
          <w:tcPr>
            <w:tcW w:w="1487" w:type="dxa"/>
            <w:tcBorders>
              <w:top w:val="single" w:sz="4" w:space="0" w:color="auto"/>
              <w:bottom w:val="single" w:sz="12" w:space="0" w:color="auto"/>
            </w:tcBorders>
            <w:shd w:val="clear" w:color="auto" w:fill="auto"/>
            <w:vAlign w:val="bottom"/>
            <w:hideMark/>
          </w:tcPr>
          <w:p w14:paraId="60AE7F8D" w14:textId="77777777" w:rsidR="00371E65" w:rsidRPr="00371E65" w:rsidRDefault="00371E65" w:rsidP="00371E65">
            <w:pPr>
              <w:spacing w:before="80" w:after="80" w:line="200" w:lineRule="exact"/>
              <w:ind w:right="113"/>
              <w:rPr>
                <w:i/>
                <w:sz w:val="16"/>
                <w:lang w:val="en-US" w:eastAsia="fr-BE"/>
              </w:rPr>
            </w:pPr>
            <w:bookmarkStart w:id="17" w:name="_Hlk86229980"/>
            <w:r w:rsidRPr="00371E65">
              <w:rPr>
                <w:i/>
                <w:sz w:val="16"/>
                <w:lang w:val="en-US" w:eastAsia="fr-BE"/>
              </w:rPr>
              <w:t>Activity</w:t>
            </w:r>
          </w:p>
        </w:tc>
        <w:tc>
          <w:tcPr>
            <w:tcW w:w="612" w:type="dxa"/>
            <w:tcBorders>
              <w:top w:val="single" w:sz="4" w:space="0" w:color="auto"/>
              <w:bottom w:val="single" w:sz="12" w:space="0" w:color="auto"/>
            </w:tcBorders>
            <w:shd w:val="clear" w:color="auto" w:fill="auto"/>
            <w:vAlign w:val="bottom"/>
            <w:hideMark/>
          </w:tcPr>
          <w:p w14:paraId="21602302" w14:textId="77777777" w:rsidR="00371E65" w:rsidRPr="00371E65" w:rsidRDefault="00371E65" w:rsidP="00371E65">
            <w:pPr>
              <w:spacing w:before="80" w:after="80" w:line="200" w:lineRule="exact"/>
              <w:ind w:right="113"/>
              <w:rPr>
                <w:i/>
                <w:sz w:val="16"/>
                <w:lang w:val="en-US" w:eastAsia="fr-BE"/>
              </w:rPr>
            </w:pPr>
            <w:r w:rsidRPr="00371E65">
              <w:rPr>
                <w:i/>
                <w:sz w:val="16"/>
                <w:lang w:val="en-US" w:eastAsia="fr-BE"/>
              </w:rPr>
              <w:t>Priority</w:t>
            </w:r>
          </w:p>
        </w:tc>
        <w:tc>
          <w:tcPr>
            <w:tcW w:w="1165" w:type="dxa"/>
            <w:tcBorders>
              <w:top w:val="single" w:sz="4" w:space="0" w:color="auto"/>
              <w:bottom w:val="single" w:sz="12" w:space="0" w:color="auto"/>
            </w:tcBorders>
            <w:shd w:val="clear" w:color="auto" w:fill="auto"/>
            <w:vAlign w:val="bottom"/>
            <w:hideMark/>
          </w:tcPr>
          <w:p w14:paraId="002BD4F4" w14:textId="77777777" w:rsidR="00371E65" w:rsidRPr="00371E65" w:rsidRDefault="00371E65" w:rsidP="00371E65">
            <w:pPr>
              <w:spacing w:before="80" w:after="80" w:line="200" w:lineRule="exact"/>
              <w:ind w:right="113"/>
              <w:rPr>
                <w:i/>
                <w:sz w:val="16"/>
                <w:lang w:val="en-US" w:eastAsia="fr-BE"/>
              </w:rPr>
            </w:pPr>
            <w:r w:rsidRPr="00371E65">
              <w:rPr>
                <w:i/>
                <w:sz w:val="16"/>
                <w:lang w:val="en-US" w:eastAsia="fr-BE"/>
              </w:rPr>
              <w:t>Sub-activity</w:t>
            </w:r>
          </w:p>
        </w:tc>
        <w:tc>
          <w:tcPr>
            <w:tcW w:w="741" w:type="dxa"/>
            <w:tcBorders>
              <w:top w:val="single" w:sz="4" w:space="0" w:color="auto"/>
              <w:bottom w:val="single" w:sz="12" w:space="0" w:color="auto"/>
            </w:tcBorders>
            <w:shd w:val="clear" w:color="auto" w:fill="auto"/>
            <w:vAlign w:val="bottom"/>
            <w:hideMark/>
          </w:tcPr>
          <w:p w14:paraId="2C954439" w14:textId="77777777" w:rsidR="00371E65" w:rsidRPr="00371E65" w:rsidRDefault="00371E65" w:rsidP="00371E65">
            <w:pPr>
              <w:spacing w:before="80" w:after="80" w:line="200" w:lineRule="exact"/>
              <w:ind w:right="113"/>
              <w:rPr>
                <w:i/>
                <w:sz w:val="16"/>
                <w:lang w:val="en-US" w:eastAsia="fr-BE"/>
              </w:rPr>
            </w:pPr>
            <w:r w:rsidRPr="00371E65">
              <w:rPr>
                <w:i/>
                <w:sz w:val="16"/>
                <w:lang w:val="en-US" w:eastAsia="fr-BE"/>
              </w:rPr>
              <w:t>Date</w:t>
            </w:r>
          </w:p>
        </w:tc>
        <w:tc>
          <w:tcPr>
            <w:tcW w:w="1034" w:type="dxa"/>
            <w:tcBorders>
              <w:top w:val="single" w:sz="4" w:space="0" w:color="auto"/>
              <w:bottom w:val="single" w:sz="12" w:space="0" w:color="auto"/>
            </w:tcBorders>
            <w:shd w:val="clear" w:color="auto" w:fill="auto"/>
            <w:vAlign w:val="bottom"/>
            <w:hideMark/>
          </w:tcPr>
          <w:p w14:paraId="7566FF4B" w14:textId="77777777" w:rsidR="00371E65" w:rsidRPr="00371E65" w:rsidRDefault="00371E65" w:rsidP="00371E65">
            <w:pPr>
              <w:spacing w:before="80" w:after="80" w:line="200" w:lineRule="exact"/>
              <w:ind w:right="113"/>
              <w:rPr>
                <w:i/>
                <w:sz w:val="16"/>
                <w:lang w:val="en-US" w:eastAsia="fr-BE"/>
              </w:rPr>
            </w:pPr>
            <w:r w:rsidRPr="00371E65">
              <w:rPr>
                <w:i/>
                <w:sz w:val="16"/>
                <w:lang w:val="en-US" w:eastAsia="fr-BE"/>
              </w:rPr>
              <w:t>Source</w:t>
            </w:r>
          </w:p>
        </w:tc>
        <w:tc>
          <w:tcPr>
            <w:tcW w:w="1156" w:type="dxa"/>
            <w:tcBorders>
              <w:top w:val="single" w:sz="4" w:space="0" w:color="auto"/>
              <w:bottom w:val="single" w:sz="12" w:space="0" w:color="auto"/>
            </w:tcBorders>
            <w:shd w:val="clear" w:color="auto" w:fill="auto"/>
            <w:vAlign w:val="bottom"/>
            <w:hideMark/>
          </w:tcPr>
          <w:p w14:paraId="0B5CDE81" w14:textId="77777777" w:rsidR="00371E65" w:rsidRPr="00371E65" w:rsidRDefault="00371E65" w:rsidP="00371E65">
            <w:pPr>
              <w:spacing w:before="80" w:after="80" w:line="200" w:lineRule="exact"/>
              <w:ind w:right="113"/>
              <w:rPr>
                <w:i/>
                <w:sz w:val="16"/>
                <w:lang w:val="en-US" w:eastAsia="fr-BE"/>
              </w:rPr>
            </w:pPr>
            <w:r w:rsidRPr="00371E65">
              <w:rPr>
                <w:i/>
                <w:sz w:val="16"/>
                <w:lang w:val="en-US" w:eastAsia="fr-BE"/>
              </w:rPr>
              <w:t>Valuea</w:t>
            </w:r>
          </w:p>
        </w:tc>
        <w:tc>
          <w:tcPr>
            <w:tcW w:w="1175" w:type="dxa"/>
            <w:tcBorders>
              <w:top w:val="single" w:sz="4" w:space="0" w:color="auto"/>
              <w:bottom w:val="single" w:sz="12" w:space="0" w:color="auto"/>
            </w:tcBorders>
            <w:shd w:val="clear" w:color="auto" w:fill="auto"/>
            <w:vAlign w:val="bottom"/>
            <w:hideMark/>
          </w:tcPr>
          <w:p w14:paraId="04D0B0E4" w14:textId="77777777" w:rsidR="00371E65" w:rsidRPr="00371E65" w:rsidRDefault="00371E65" w:rsidP="00371E65">
            <w:pPr>
              <w:spacing w:before="80" w:after="80" w:line="200" w:lineRule="exact"/>
              <w:ind w:right="113"/>
              <w:rPr>
                <w:i/>
                <w:sz w:val="16"/>
                <w:lang w:val="en-US" w:eastAsia="fr-BE"/>
              </w:rPr>
            </w:pPr>
            <w:r w:rsidRPr="00371E65">
              <w:rPr>
                <w:i/>
                <w:sz w:val="16"/>
                <w:lang w:val="en-US" w:eastAsia="fr-BE"/>
              </w:rPr>
              <w:t>Notes</w:t>
            </w:r>
          </w:p>
        </w:tc>
      </w:tr>
      <w:tr w:rsidR="00371E65" w:rsidRPr="00371E65" w14:paraId="769CFBE3" w14:textId="77777777" w:rsidTr="00371E65">
        <w:trPr>
          <w:trHeight w:hRule="exact" w:val="113"/>
        </w:trPr>
        <w:tc>
          <w:tcPr>
            <w:tcW w:w="1487" w:type="dxa"/>
            <w:tcBorders>
              <w:top w:val="single" w:sz="12" w:space="0" w:color="auto"/>
            </w:tcBorders>
            <w:shd w:val="clear" w:color="auto" w:fill="auto"/>
          </w:tcPr>
          <w:p w14:paraId="23B07F66" w14:textId="77777777" w:rsidR="00371E65" w:rsidRPr="00371E65" w:rsidRDefault="00371E65" w:rsidP="00371E65">
            <w:pPr>
              <w:spacing w:before="40" w:after="120"/>
              <w:ind w:right="113"/>
              <w:rPr>
                <w:lang w:val="en-US" w:eastAsia="fr-BE"/>
              </w:rPr>
            </w:pPr>
          </w:p>
        </w:tc>
        <w:tc>
          <w:tcPr>
            <w:tcW w:w="612" w:type="dxa"/>
            <w:tcBorders>
              <w:top w:val="single" w:sz="12" w:space="0" w:color="auto"/>
            </w:tcBorders>
            <w:shd w:val="clear" w:color="auto" w:fill="auto"/>
          </w:tcPr>
          <w:p w14:paraId="45142513" w14:textId="77777777" w:rsidR="00371E65" w:rsidRPr="00371E65" w:rsidRDefault="00371E65" w:rsidP="00371E65">
            <w:pPr>
              <w:spacing w:before="40" w:after="120"/>
              <w:ind w:right="113"/>
              <w:rPr>
                <w:lang w:val="en-US" w:eastAsia="fr-BE"/>
              </w:rPr>
            </w:pPr>
          </w:p>
        </w:tc>
        <w:tc>
          <w:tcPr>
            <w:tcW w:w="1165" w:type="dxa"/>
            <w:tcBorders>
              <w:top w:val="single" w:sz="12" w:space="0" w:color="auto"/>
            </w:tcBorders>
            <w:shd w:val="clear" w:color="auto" w:fill="auto"/>
          </w:tcPr>
          <w:p w14:paraId="30DF2C82" w14:textId="77777777" w:rsidR="00371E65" w:rsidRPr="00371E65" w:rsidRDefault="00371E65" w:rsidP="00371E65">
            <w:pPr>
              <w:spacing w:before="40" w:after="120"/>
              <w:ind w:right="113"/>
              <w:rPr>
                <w:lang w:val="en-US" w:eastAsia="fr-BE"/>
              </w:rPr>
            </w:pPr>
          </w:p>
        </w:tc>
        <w:tc>
          <w:tcPr>
            <w:tcW w:w="741" w:type="dxa"/>
            <w:tcBorders>
              <w:top w:val="single" w:sz="12" w:space="0" w:color="auto"/>
            </w:tcBorders>
            <w:shd w:val="clear" w:color="auto" w:fill="auto"/>
          </w:tcPr>
          <w:p w14:paraId="7CBB5290" w14:textId="77777777" w:rsidR="00371E65" w:rsidRPr="00371E65" w:rsidRDefault="00371E65" w:rsidP="00371E65">
            <w:pPr>
              <w:spacing w:before="40" w:after="120"/>
              <w:ind w:right="113"/>
              <w:rPr>
                <w:lang w:val="en-US" w:eastAsia="fr-BE"/>
              </w:rPr>
            </w:pPr>
          </w:p>
        </w:tc>
        <w:tc>
          <w:tcPr>
            <w:tcW w:w="1034" w:type="dxa"/>
            <w:tcBorders>
              <w:top w:val="single" w:sz="12" w:space="0" w:color="auto"/>
            </w:tcBorders>
            <w:shd w:val="clear" w:color="auto" w:fill="auto"/>
          </w:tcPr>
          <w:p w14:paraId="395B4843" w14:textId="77777777" w:rsidR="00371E65" w:rsidRPr="00371E65" w:rsidRDefault="00371E65" w:rsidP="00371E65">
            <w:pPr>
              <w:spacing w:before="40" w:after="120"/>
              <w:ind w:right="113"/>
              <w:rPr>
                <w:lang w:val="en-US" w:eastAsia="fr-BE"/>
              </w:rPr>
            </w:pPr>
          </w:p>
        </w:tc>
        <w:tc>
          <w:tcPr>
            <w:tcW w:w="1156" w:type="dxa"/>
            <w:tcBorders>
              <w:top w:val="single" w:sz="12" w:space="0" w:color="auto"/>
            </w:tcBorders>
            <w:shd w:val="clear" w:color="auto" w:fill="auto"/>
          </w:tcPr>
          <w:p w14:paraId="7DF0062E" w14:textId="77777777" w:rsidR="00371E65" w:rsidRPr="00371E65" w:rsidRDefault="00371E65" w:rsidP="00371E65">
            <w:pPr>
              <w:spacing w:before="40" w:after="120"/>
              <w:ind w:right="113"/>
              <w:rPr>
                <w:lang w:val="en-US" w:eastAsia="fr-BE"/>
              </w:rPr>
            </w:pPr>
          </w:p>
        </w:tc>
        <w:tc>
          <w:tcPr>
            <w:tcW w:w="1175" w:type="dxa"/>
            <w:tcBorders>
              <w:top w:val="single" w:sz="12" w:space="0" w:color="auto"/>
            </w:tcBorders>
            <w:shd w:val="clear" w:color="auto" w:fill="auto"/>
          </w:tcPr>
          <w:p w14:paraId="7C2A1CBA" w14:textId="77777777" w:rsidR="00371E65" w:rsidRPr="00371E65" w:rsidRDefault="00371E65" w:rsidP="00371E65">
            <w:pPr>
              <w:spacing w:before="40" w:after="120"/>
              <w:ind w:right="113"/>
              <w:rPr>
                <w:lang w:val="en-US" w:eastAsia="fr-BE"/>
              </w:rPr>
            </w:pPr>
          </w:p>
        </w:tc>
      </w:tr>
      <w:tr w:rsidR="00371E65" w:rsidRPr="00371E65" w14:paraId="50BB0510" w14:textId="77777777" w:rsidTr="00371E65">
        <w:tc>
          <w:tcPr>
            <w:tcW w:w="1487" w:type="dxa"/>
            <w:shd w:val="clear" w:color="auto" w:fill="auto"/>
            <w:hideMark/>
          </w:tcPr>
          <w:p w14:paraId="19A6BA78" w14:textId="77777777" w:rsidR="00371E65" w:rsidRPr="00371E65" w:rsidRDefault="00371E65" w:rsidP="00371E65">
            <w:pPr>
              <w:spacing w:before="40" w:after="120"/>
              <w:ind w:right="113"/>
              <w:rPr>
                <w:lang w:val="en-US" w:eastAsia="fr-BE"/>
              </w:rPr>
            </w:pPr>
            <w:r w:rsidRPr="00371E65">
              <w:rPr>
                <w:lang w:val="en-US" w:eastAsia="fr-BE"/>
              </w:rPr>
              <w:t> </w:t>
            </w:r>
          </w:p>
        </w:tc>
        <w:tc>
          <w:tcPr>
            <w:tcW w:w="612" w:type="dxa"/>
            <w:shd w:val="clear" w:color="auto" w:fill="auto"/>
            <w:hideMark/>
          </w:tcPr>
          <w:p w14:paraId="2C4C4232" w14:textId="77777777" w:rsidR="00371E65" w:rsidRPr="00371E65" w:rsidRDefault="00371E65" w:rsidP="00371E65">
            <w:pPr>
              <w:spacing w:before="40" w:after="120"/>
              <w:ind w:right="113"/>
              <w:rPr>
                <w:lang w:val="en-US" w:eastAsia="fr-BE"/>
              </w:rPr>
            </w:pPr>
            <w:r w:rsidRPr="00371E65">
              <w:rPr>
                <w:lang w:val="en-US" w:eastAsia="fr-BE"/>
              </w:rPr>
              <w:t> </w:t>
            </w:r>
          </w:p>
        </w:tc>
        <w:tc>
          <w:tcPr>
            <w:tcW w:w="1165" w:type="dxa"/>
            <w:shd w:val="clear" w:color="auto" w:fill="auto"/>
            <w:hideMark/>
          </w:tcPr>
          <w:p w14:paraId="04943F46" w14:textId="77777777" w:rsidR="00371E65" w:rsidRPr="00371E65" w:rsidRDefault="00371E65" w:rsidP="00371E65">
            <w:pPr>
              <w:spacing w:before="40" w:after="120"/>
              <w:ind w:right="113"/>
              <w:rPr>
                <w:lang w:val="en-US" w:eastAsia="fr-BE"/>
              </w:rPr>
            </w:pPr>
            <w:r w:rsidRPr="00371E65">
              <w:rPr>
                <w:lang w:val="en-US" w:eastAsia="fr-BE"/>
              </w:rPr>
              <w:t> </w:t>
            </w:r>
          </w:p>
        </w:tc>
        <w:tc>
          <w:tcPr>
            <w:tcW w:w="741" w:type="dxa"/>
            <w:shd w:val="clear" w:color="auto" w:fill="auto"/>
            <w:hideMark/>
          </w:tcPr>
          <w:p w14:paraId="464C225E" w14:textId="77777777" w:rsidR="00371E65" w:rsidRPr="00371E65" w:rsidRDefault="00371E65" w:rsidP="00371E65">
            <w:pPr>
              <w:spacing w:before="40" w:after="120"/>
              <w:ind w:right="113"/>
              <w:rPr>
                <w:lang w:val="en-US" w:eastAsia="fr-BE"/>
              </w:rPr>
            </w:pPr>
            <w:r w:rsidRPr="00371E65">
              <w:rPr>
                <w:lang w:val="en-US" w:eastAsia="fr-BE"/>
              </w:rPr>
              <w:t> </w:t>
            </w:r>
          </w:p>
        </w:tc>
        <w:tc>
          <w:tcPr>
            <w:tcW w:w="1034" w:type="dxa"/>
            <w:shd w:val="clear" w:color="auto" w:fill="auto"/>
            <w:hideMark/>
          </w:tcPr>
          <w:p w14:paraId="71CF43FE" w14:textId="77777777" w:rsidR="00371E65" w:rsidRPr="00371E65" w:rsidRDefault="00371E65" w:rsidP="00371E65">
            <w:pPr>
              <w:spacing w:before="40" w:after="120"/>
              <w:ind w:right="113"/>
              <w:rPr>
                <w:lang w:val="en-US" w:eastAsia="fr-BE"/>
              </w:rPr>
            </w:pPr>
            <w:r w:rsidRPr="00371E65">
              <w:rPr>
                <w:lang w:val="en-US" w:eastAsia="fr-BE"/>
              </w:rPr>
              <w:t> </w:t>
            </w:r>
          </w:p>
        </w:tc>
        <w:tc>
          <w:tcPr>
            <w:tcW w:w="1156" w:type="dxa"/>
            <w:shd w:val="clear" w:color="auto" w:fill="auto"/>
            <w:hideMark/>
          </w:tcPr>
          <w:p w14:paraId="37704AEE" w14:textId="77777777" w:rsidR="00371E65" w:rsidRPr="00371E65" w:rsidRDefault="00371E65" w:rsidP="00371E65">
            <w:pPr>
              <w:spacing w:before="40" w:after="120"/>
              <w:ind w:right="113"/>
              <w:rPr>
                <w:lang w:val="en-US" w:eastAsia="fr-BE"/>
              </w:rPr>
            </w:pPr>
            <w:r w:rsidRPr="00371E65">
              <w:rPr>
                <w:lang w:val="en-US" w:eastAsia="fr-BE"/>
              </w:rPr>
              <w:t> </w:t>
            </w:r>
          </w:p>
        </w:tc>
        <w:tc>
          <w:tcPr>
            <w:tcW w:w="1175" w:type="dxa"/>
            <w:shd w:val="clear" w:color="auto" w:fill="auto"/>
            <w:hideMark/>
          </w:tcPr>
          <w:p w14:paraId="69F7566A" w14:textId="77777777" w:rsidR="00371E65" w:rsidRPr="00371E65" w:rsidRDefault="00371E65" w:rsidP="00371E65">
            <w:pPr>
              <w:spacing w:before="40" w:after="120"/>
              <w:ind w:right="113"/>
              <w:rPr>
                <w:lang w:val="en-US" w:eastAsia="fr-BE"/>
              </w:rPr>
            </w:pPr>
            <w:r w:rsidRPr="00371E65">
              <w:rPr>
                <w:lang w:val="en-US" w:eastAsia="fr-BE"/>
              </w:rPr>
              <w:t> </w:t>
            </w:r>
          </w:p>
        </w:tc>
      </w:tr>
      <w:tr w:rsidR="00371E65" w:rsidRPr="00371E65" w14:paraId="46071849" w14:textId="77777777" w:rsidTr="00371E65">
        <w:tc>
          <w:tcPr>
            <w:tcW w:w="1487" w:type="dxa"/>
            <w:tcBorders>
              <w:bottom w:val="single" w:sz="12" w:space="0" w:color="auto"/>
            </w:tcBorders>
            <w:shd w:val="clear" w:color="auto" w:fill="auto"/>
            <w:hideMark/>
          </w:tcPr>
          <w:p w14:paraId="31BE0783" w14:textId="77777777" w:rsidR="00371E65" w:rsidRPr="00371E65" w:rsidRDefault="00371E65" w:rsidP="00371E65">
            <w:pPr>
              <w:spacing w:before="40" w:after="120"/>
              <w:ind w:right="113"/>
              <w:rPr>
                <w:lang w:val="en-US" w:eastAsia="fr-BE"/>
              </w:rPr>
            </w:pPr>
            <w:r w:rsidRPr="00371E65">
              <w:rPr>
                <w:lang w:val="en-US" w:eastAsia="fr-BE"/>
              </w:rPr>
              <w:t>Meetings of the Implementation Committee</w:t>
            </w:r>
          </w:p>
          <w:p w14:paraId="6232F81E" w14:textId="77777777" w:rsidR="00371E65" w:rsidRPr="00371E65" w:rsidRDefault="00371E65" w:rsidP="00371E65">
            <w:pPr>
              <w:spacing w:before="40" w:after="120"/>
              <w:ind w:right="113"/>
              <w:rPr>
                <w:lang w:val="en-US" w:eastAsia="fr-BE"/>
              </w:rPr>
            </w:pPr>
            <w:r w:rsidRPr="00371E65">
              <w:rPr>
                <w:lang w:val="en-US" w:eastAsia="fr-BE"/>
              </w:rPr>
              <w:t xml:space="preserve">(3 sessions of 4 days  per year for 3 years, plus up to 4 days of possible online meetings in between the scheduled sessions per year </w:t>
            </w:r>
          </w:p>
          <w:p w14:paraId="58657455" w14:textId="77777777" w:rsidR="00371E65" w:rsidRPr="00371E65" w:rsidRDefault="00371E65" w:rsidP="00371E65">
            <w:pPr>
              <w:spacing w:before="40" w:after="120"/>
              <w:ind w:right="113"/>
              <w:rPr>
                <w:lang w:val="en-US" w:eastAsia="fr-BE"/>
              </w:rPr>
            </w:pPr>
            <w:r w:rsidRPr="00371E65">
              <w:rPr>
                <w:lang w:val="en-US" w:eastAsia="fr-BE"/>
              </w:rPr>
              <w:t>Total for 2021-2023 intersessional period</w:t>
            </w:r>
          </w:p>
          <w:p w14:paraId="472CCE20" w14:textId="77777777" w:rsidR="00371E65" w:rsidRPr="00371E65" w:rsidRDefault="00371E65" w:rsidP="00371E65">
            <w:pPr>
              <w:spacing w:before="40" w:after="120"/>
              <w:ind w:right="113"/>
              <w:rPr>
                <w:lang w:val="en-US" w:eastAsia="fr-BE"/>
              </w:rPr>
            </w:pPr>
            <w:r w:rsidRPr="00371E65">
              <w:rPr>
                <w:lang w:val="en-US" w:eastAsia="fr-BE"/>
              </w:rPr>
              <w:t>9 session of 4 days + up to 12 days for possible online meeting)</w:t>
            </w:r>
          </w:p>
        </w:tc>
        <w:tc>
          <w:tcPr>
            <w:tcW w:w="612" w:type="dxa"/>
            <w:tcBorders>
              <w:bottom w:val="single" w:sz="12" w:space="0" w:color="auto"/>
            </w:tcBorders>
            <w:shd w:val="clear" w:color="auto" w:fill="auto"/>
            <w:hideMark/>
          </w:tcPr>
          <w:p w14:paraId="1CEC7506" w14:textId="77777777" w:rsidR="00371E65" w:rsidRPr="00371E65" w:rsidRDefault="00371E65" w:rsidP="00371E65">
            <w:pPr>
              <w:spacing w:before="40" w:after="120"/>
              <w:ind w:right="113"/>
              <w:rPr>
                <w:lang w:val="en-US" w:eastAsia="fr-BE"/>
              </w:rPr>
            </w:pPr>
            <w:r w:rsidRPr="00371E65">
              <w:rPr>
                <w:lang w:val="en-US" w:eastAsia="fr-BE"/>
              </w:rPr>
              <w:t>1</w:t>
            </w:r>
          </w:p>
        </w:tc>
        <w:tc>
          <w:tcPr>
            <w:tcW w:w="1165" w:type="dxa"/>
            <w:tcBorders>
              <w:bottom w:val="single" w:sz="12" w:space="0" w:color="auto"/>
            </w:tcBorders>
            <w:shd w:val="clear" w:color="auto" w:fill="auto"/>
            <w:hideMark/>
          </w:tcPr>
          <w:p w14:paraId="36522106" w14:textId="77777777" w:rsidR="00371E65" w:rsidRPr="00371E65" w:rsidRDefault="00371E65" w:rsidP="00371E65">
            <w:pPr>
              <w:spacing w:before="40" w:after="120"/>
              <w:ind w:right="113"/>
              <w:rPr>
                <w:lang w:val="en-US" w:eastAsia="fr-BE"/>
              </w:rPr>
            </w:pPr>
            <w:r w:rsidRPr="00371E65">
              <w:rPr>
                <w:lang w:val="en-US" w:eastAsia="fr-BE"/>
              </w:rPr>
              <w:t>Preparation to the Committee sessions by the Committee Members</w:t>
            </w:r>
          </w:p>
          <w:p w14:paraId="07C9C5B7" w14:textId="77777777" w:rsidR="00371E65" w:rsidRPr="00371E65" w:rsidRDefault="00371E65" w:rsidP="00371E65">
            <w:pPr>
              <w:spacing w:before="40" w:after="120"/>
              <w:ind w:right="113"/>
              <w:rPr>
                <w:lang w:val="en-US" w:eastAsia="fr-BE"/>
              </w:rPr>
            </w:pPr>
          </w:p>
          <w:p w14:paraId="1E7D2C39" w14:textId="77777777" w:rsidR="00371E65" w:rsidRPr="00371E65" w:rsidRDefault="00371E65" w:rsidP="00371E65">
            <w:pPr>
              <w:spacing w:before="40" w:after="120"/>
              <w:ind w:right="113"/>
              <w:rPr>
                <w:lang w:val="en-US" w:eastAsia="fr-BE"/>
              </w:rPr>
            </w:pPr>
            <w:r w:rsidRPr="00371E65">
              <w:rPr>
                <w:lang w:val="en-US" w:eastAsia="fr-BE"/>
              </w:rPr>
              <w:t>Participation of the Committee Members in the Committee sessions</w:t>
            </w:r>
          </w:p>
          <w:p w14:paraId="43163995" w14:textId="77777777" w:rsidR="00371E65" w:rsidRPr="00371E65" w:rsidRDefault="00371E65" w:rsidP="00371E65">
            <w:pPr>
              <w:spacing w:before="40" w:after="120"/>
              <w:ind w:right="113"/>
              <w:rPr>
                <w:lang w:val="en-US" w:eastAsia="fr-BE"/>
              </w:rPr>
            </w:pPr>
          </w:p>
          <w:p w14:paraId="46ABEFC8" w14:textId="77777777" w:rsidR="00371E65" w:rsidRPr="00371E65" w:rsidRDefault="00371E65" w:rsidP="00371E65">
            <w:pPr>
              <w:spacing w:before="40" w:after="120"/>
              <w:ind w:right="113"/>
              <w:rPr>
                <w:lang w:val="en-US" w:eastAsia="fr-BE"/>
              </w:rPr>
            </w:pPr>
            <w:r w:rsidRPr="00371E65">
              <w:rPr>
                <w:lang w:val="en-US" w:eastAsia="fr-BE"/>
              </w:rPr>
              <w:t>Follow-up to the Committee’s sessions</w:t>
            </w:r>
          </w:p>
          <w:p w14:paraId="4D1A9FA7" w14:textId="77777777" w:rsidR="00371E65" w:rsidRPr="00371E65" w:rsidRDefault="00371E65" w:rsidP="00371E65">
            <w:pPr>
              <w:spacing w:before="40" w:after="120"/>
              <w:ind w:right="113"/>
              <w:rPr>
                <w:lang w:val="en-US" w:eastAsia="fr-BE"/>
              </w:rPr>
            </w:pPr>
          </w:p>
          <w:p w14:paraId="036A3F45" w14:textId="77777777" w:rsidR="00371E65" w:rsidRPr="00371E65" w:rsidRDefault="00371E65" w:rsidP="00371E65">
            <w:pPr>
              <w:spacing w:before="40" w:after="120"/>
              <w:ind w:right="113"/>
              <w:rPr>
                <w:lang w:val="en-US" w:eastAsia="fr-BE"/>
              </w:rPr>
            </w:pPr>
            <w:r w:rsidRPr="00371E65">
              <w:rPr>
                <w:lang w:val="en-US" w:eastAsia="fr-BE"/>
              </w:rPr>
              <w:t>Participation in on-line meeting in between the official sessions of the Committee</w:t>
            </w:r>
          </w:p>
        </w:tc>
        <w:tc>
          <w:tcPr>
            <w:tcW w:w="741" w:type="dxa"/>
            <w:tcBorders>
              <w:bottom w:val="single" w:sz="12" w:space="0" w:color="auto"/>
            </w:tcBorders>
            <w:shd w:val="clear" w:color="auto" w:fill="auto"/>
            <w:hideMark/>
          </w:tcPr>
          <w:p w14:paraId="1E09E59A" w14:textId="77777777" w:rsidR="00371E65" w:rsidRPr="00371E65" w:rsidRDefault="00371E65" w:rsidP="00371E65">
            <w:pPr>
              <w:spacing w:before="40" w:after="120"/>
              <w:ind w:right="113"/>
              <w:rPr>
                <w:lang w:val="en-US" w:eastAsia="fr-BE"/>
              </w:rPr>
            </w:pPr>
            <w:r w:rsidRPr="00371E65">
              <w:rPr>
                <w:lang w:val="en-US" w:eastAsia="fr-BE"/>
              </w:rPr>
              <w:t>Dates of the sessions to be included</w:t>
            </w:r>
          </w:p>
          <w:p w14:paraId="7CBA0CE0" w14:textId="77777777" w:rsidR="00371E65" w:rsidRPr="00371E65" w:rsidRDefault="00371E65" w:rsidP="00371E65">
            <w:pPr>
              <w:spacing w:before="40" w:after="120"/>
              <w:ind w:right="113"/>
              <w:rPr>
                <w:lang w:val="en-US" w:eastAsia="fr-BE"/>
              </w:rPr>
            </w:pPr>
          </w:p>
        </w:tc>
        <w:tc>
          <w:tcPr>
            <w:tcW w:w="1034" w:type="dxa"/>
            <w:tcBorders>
              <w:bottom w:val="single" w:sz="12" w:space="0" w:color="auto"/>
            </w:tcBorders>
            <w:shd w:val="clear" w:color="auto" w:fill="auto"/>
            <w:hideMark/>
          </w:tcPr>
          <w:p w14:paraId="088CD59B" w14:textId="77777777" w:rsidR="00371E65" w:rsidRPr="00371E65" w:rsidRDefault="00371E65" w:rsidP="00371E65">
            <w:pPr>
              <w:spacing w:before="40" w:after="120"/>
              <w:ind w:right="113"/>
              <w:rPr>
                <w:lang w:val="en-US" w:eastAsia="fr-BE"/>
              </w:rPr>
            </w:pPr>
            <w:r w:rsidRPr="00371E65">
              <w:rPr>
                <w:lang w:val="en-US" w:eastAsia="fr-BE"/>
              </w:rPr>
              <w:t>Austria</w:t>
            </w:r>
          </w:p>
          <w:p w14:paraId="1DEB41E6" w14:textId="77777777" w:rsidR="00371E65" w:rsidRPr="00371E65" w:rsidRDefault="00371E65" w:rsidP="00371E65">
            <w:pPr>
              <w:spacing w:before="40" w:after="120"/>
              <w:ind w:right="113"/>
              <w:rPr>
                <w:lang w:val="en-US" w:eastAsia="fr-BE"/>
              </w:rPr>
            </w:pPr>
            <w:r w:rsidRPr="00371E65">
              <w:rPr>
                <w:lang w:val="en-US" w:eastAsia="fr-BE"/>
              </w:rPr>
              <w:t>Azerbaijan</w:t>
            </w:r>
          </w:p>
          <w:p w14:paraId="654BDCEF" w14:textId="77777777" w:rsidR="00371E65" w:rsidRPr="00371E65" w:rsidRDefault="00371E65" w:rsidP="00371E65">
            <w:pPr>
              <w:spacing w:before="40" w:after="120"/>
              <w:ind w:right="113"/>
              <w:rPr>
                <w:lang w:val="en-US" w:eastAsia="fr-BE"/>
              </w:rPr>
            </w:pPr>
            <w:r w:rsidRPr="00371E65">
              <w:rPr>
                <w:lang w:val="en-US" w:eastAsia="fr-BE"/>
              </w:rPr>
              <w:t>Finland</w:t>
            </w:r>
          </w:p>
          <w:p w14:paraId="2A67A87F" w14:textId="77777777" w:rsidR="00371E65" w:rsidRPr="00371E65" w:rsidRDefault="00371E65" w:rsidP="00371E65">
            <w:pPr>
              <w:spacing w:before="40" w:after="120"/>
              <w:ind w:right="113"/>
              <w:rPr>
                <w:lang w:val="en-US" w:eastAsia="fr-BE"/>
              </w:rPr>
            </w:pPr>
            <w:r w:rsidRPr="00371E65">
              <w:rPr>
                <w:lang w:val="en-US" w:eastAsia="fr-BE"/>
              </w:rPr>
              <w:t>Germany</w:t>
            </w:r>
          </w:p>
          <w:p w14:paraId="65B7EAA6" w14:textId="77777777" w:rsidR="00371E65" w:rsidRPr="00371E65" w:rsidRDefault="00371E65" w:rsidP="00371E65">
            <w:pPr>
              <w:spacing w:before="40" w:after="120"/>
              <w:ind w:right="113"/>
              <w:rPr>
                <w:lang w:val="en-US" w:eastAsia="fr-BE"/>
              </w:rPr>
            </w:pPr>
            <w:r w:rsidRPr="00371E65">
              <w:rPr>
                <w:lang w:val="en-US" w:eastAsia="fr-BE"/>
              </w:rPr>
              <w:t>Hungary</w:t>
            </w:r>
          </w:p>
          <w:p w14:paraId="5BB1CC54" w14:textId="77777777" w:rsidR="00371E65" w:rsidRPr="00371E65" w:rsidRDefault="00371E65" w:rsidP="00371E65">
            <w:pPr>
              <w:spacing w:before="40" w:after="120"/>
              <w:ind w:right="113"/>
              <w:rPr>
                <w:lang w:val="en-US" w:eastAsia="fr-BE"/>
              </w:rPr>
            </w:pPr>
            <w:r w:rsidRPr="00371E65">
              <w:rPr>
                <w:lang w:val="en-US" w:eastAsia="fr-BE"/>
              </w:rPr>
              <w:t>Luxembourg</w:t>
            </w:r>
          </w:p>
          <w:p w14:paraId="4EF88D2E" w14:textId="77777777" w:rsidR="00371E65" w:rsidRPr="00371E65" w:rsidRDefault="00371E65" w:rsidP="00371E65">
            <w:pPr>
              <w:spacing w:before="40" w:after="120"/>
              <w:ind w:right="113"/>
              <w:rPr>
                <w:lang w:val="en-US" w:eastAsia="fr-BE"/>
              </w:rPr>
            </w:pPr>
            <w:r w:rsidRPr="00371E65">
              <w:rPr>
                <w:lang w:val="en-US" w:eastAsia="fr-BE"/>
              </w:rPr>
              <w:t>Portugal</w:t>
            </w:r>
          </w:p>
          <w:p w14:paraId="304CEF4F" w14:textId="77777777" w:rsidR="00371E65" w:rsidRPr="00371E65" w:rsidRDefault="00371E65" w:rsidP="00371E65">
            <w:pPr>
              <w:spacing w:before="40" w:after="120"/>
              <w:ind w:right="113"/>
              <w:rPr>
                <w:lang w:val="en-US" w:eastAsia="fr-BE"/>
              </w:rPr>
            </w:pPr>
            <w:r w:rsidRPr="00371E65">
              <w:rPr>
                <w:lang w:val="en-US" w:eastAsia="fr-BE"/>
              </w:rPr>
              <w:t>Slovakia</w:t>
            </w:r>
          </w:p>
          <w:p w14:paraId="12857C20" w14:textId="77777777" w:rsidR="00371E65" w:rsidRPr="00371E65" w:rsidRDefault="00371E65" w:rsidP="00371E65">
            <w:pPr>
              <w:spacing w:before="40" w:after="120"/>
              <w:ind w:right="113"/>
              <w:rPr>
                <w:lang w:val="en-US" w:eastAsia="fr-BE"/>
              </w:rPr>
            </w:pPr>
            <w:r w:rsidRPr="00371E65">
              <w:rPr>
                <w:lang w:val="en-US" w:eastAsia="fr-BE"/>
              </w:rPr>
              <w:t xml:space="preserve">Sweden  </w:t>
            </w:r>
          </w:p>
        </w:tc>
        <w:tc>
          <w:tcPr>
            <w:tcW w:w="1156" w:type="dxa"/>
            <w:tcBorders>
              <w:bottom w:val="single" w:sz="12" w:space="0" w:color="auto"/>
            </w:tcBorders>
            <w:shd w:val="clear" w:color="auto" w:fill="auto"/>
            <w:hideMark/>
          </w:tcPr>
          <w:p w14:paraId="25F7839C" w14:textId="77777777" w:rsidR="00371E65" w:rsidRPr="00371E65" w:rsidRDefault="00371E65" w:rsidP="00371E65">
            <w:pPr>
              <w:spacing w:before="40" w:after="120"/>
              <w:ind w:right="113"/>
              <w:rPr>
                <w:lang w:val="en-US" w:eastAsia="fr-BE"/>
              </w:rPr>
            </w:pPr>
            <w:r w:rsidRPr="00371E65">
              <w:rPr>
                <w:lang w:val="en-US" w:eastAsia="fr-BE"/>
              </w:rPr>
              <w:t>Unknown</w:t>
            </w:r>
          </w:p>
          <w:p w14:paraId="2380C30D" w14:textId="77777777" w:rsidR="00371E65" w:rsidRPr="00371E65" w:rsidRDefault="00371E65" w:rsidP="00371E65">
            <w:pPr>
              <w:spacing w:before="40" w:after="120"/>
              <w:ind w:right="113"/>
              <w:rPr>
                <w:lang w:val="en-US" w:eastAsia="fr-BE"/>
              </w:rPr>
            </w:pPr>
            <w:r w:rsidRPr="00371E65">
              <w:rPr>
                <w:lang w:val="en-US" w:eastAsia="fr-BE"/>
              </w:rPr>
              <w:t>Or to be requested from the Parties and them recalculated  in USD taking into account purchasing power index.</w:t>
            </w:r>
          </w:p>
        </w:tc>
        <w:tc>
          <w:tcPr>
            <w:tcW w:w="1175" w:type="dxa"/>
            <w:tcBorders>
              <w:bottom w:val="single" w:sz="12" w:space="0" w:color="auto"/>
            </w:tcBorders>
            <w:shd w:val="clear" w:color="auto" w:fill="auto"/>
            <w:hideMark/>
          </w:tcPr>
          <w:p w14:paraId="1DC79939" w14:textId="77777777" w:rsidR="00371E65" w:rsidRPr="00371E65" w:rsidRDefault="00371E65" w:rsidP="00371E65">
            <w:pPr>
              <w:spacing w:before="40" w:after="120"/>
              <w:ind w:right="113"/>
              <w:rPr>
                <w:lang w:val="en-US" w:eastAsia="fr-BE"/>
              </w:rPr>
            </w:pPr>
            <w:r w:rsidRPr="00371E65">
              <w:rPr>
                <w:lang w:val="en-US" w:eastAsia="fr-BE"/>
              </w:rPr>
              <w:t>Up to 5 days per session per member</w:t>
            </w:r>
          </w:p>
          <w:p w14:paraId="0D4DEED6" w14:textId="77777777" w:rsidR="00371E65" w:rsidRPr="00371E65" w:rsidRDefault="00371E65" w:rsidP="00371E65">
            <w:pPr>
              <w:spacing w:before="40" w:after="120"/>
              <w:ind w:right="113"/>
              <w:rPr>
                <w:lang w:val="en-US" w:eastAsia="fr-BE"/>
              </w:rPr>
            </w:pPr>
          </w:p>
          <w:p w14:paraId="6A6BAE57" w14:textId="77777777" w:rsidR="00371E65" w:rsidRPr="00371E65" w:rsidRDefault="00371E65" w:rsidP="00371E65">
            <w:pPr>
              <w:spacing w:before="40" w:after="120"/>
              <w:ind w:right="113"/>
              <w:rPr>
                <w:lang w:val="en-US" w:eastAsia="fr-BE"/>
              </w:rPr>
            </w:pPr>
            <w:r w:rsidRPr="00371E65">
              <w:rPr>
                <w:lang w:val="en-US" w:eastAsia="fr-BE"/>
              </w:rPr>
              <w:t>4 days per session per member + 1 day for travel</w:t>
            </w:r>
          </w:p>
          <w:p w14:paraId="400C273B" w14:textId="77777777" w:rsidR="00371E65" w:rsidRPr="00371E65" w:rsidRDefault="00371E65" w:rsidP="00371E65">
            <w:pPr>
              <w:spacing w:before="40" w:after="120"/>
              <w:ind w:right="113"/>
              <w:rPr>
                <w:lang w:val="en-US" w:eastAsia="fr-BE"/>
              </w:rPr>
            </w:pPr>
          </w:p>
          <w:p w14:paraId="2D49E44B" w14:textId="77777777" w:rsidR="00371E65" w:rsidRPr="00371E65" w:rsidRDefault="00371E65" w:rsidP="00371E65">
            <w:pPr>
              <w:spacing w:before="40" w:after="120"/>
              <w:ind w:right="113"/>
              <w:rPr>
                <w:lang w:val="en-US" w:eastAsia="fr-BE"/>
              </w:rPr>
            </w:pPr>
            <w:r w:rsidRPr="00371E65">
              <w:rPr>
                <w:lang w:val="en-US" w:eastAsia="fr-BE"/>
              </w:rPr>
              <w:t>Up to 1 day per session per member</w:t>
            </w:r>
          </w:p>
          <w:p w14:paraId="06C7CD44" w14:textId="77777777" w:rsidR="00371E65" w:rsidRPr="00371E65" w:rsidRDefault="00371E65" w:rsidP="00371E65">
            <w:pPr>
              <w:spacing w:before="40" w:after="120"/>
              <w:ind w:right="113"/>
              <w:rPr>
                <w:lang w:val="en-US" w:eastAsia="fr-BE"/>
              </w:rPr>
            </w:pPr>
            <w:r w:rsidRPr="00371E65">
              <w:rPr>
                <w:lang w:val="en-US" w:eastAsia="fr-BE"/>
              </w:rPr>
              <w:t>and up to 3 days for the Chair of the Committee</w:t>
            </w:r>
          </w:p>
          <w:p w14:paraId="3A1A7023" w14:textId="77777777" w:rsidR="00371E65" w:rsidRPr="00371E65" w:rsidRDefault="00371E65" w:rsidP="00371E65">
            <w:pPr>
              <w:spacing w:before="40" w:after="120"/>
              <w:ind w:right="113"/>
              <w:rPr>
                <w:lang w:val="en-US" w:eastAsia="fr-BE"/>
              </w:rPr>
            </w:pPr>
          </w:p>
          <w:p w14:paraId="234CBEAA" w14:textId="77777777" w:rsidR="00371E65" w:rsidRPr="00371E65" w:rsidRDefault="00371E65" w:rsidP="00371E65">
            <w:pPr>
              <w:spacing w:before="40" w:after="120"/>
              <w:ind w:right="113"/>
              <w:rPr>
                <w:lang w:val="en-US" w:eastAsia="fr-BE"/>
              </w:rPr>
            </w:pPr>
            <w:r w:rsidRPr="00371E65">
              <w:rPr>
                <w:lang w:val="en-US" w:eastAsia="fr-BE"/>
              </w:rPr>
              <w:t>Up to 4 days per year per member</w:t>
            </w:r>
          </w:p>
          <w:p w14:paraId="523B5254" w14:textId="77777777" w:rsidR="00371E65" w:rsidRPr="00371E65" w:rsidRDefault="00371E65" w:rsidP="00371E65">
            <w:pPr>
              <w:spacing w:before="40" w:after="120"/>
              <w:ind w:right="113"/>
              <w:rPr>
                <w:lang w:val="en-US" w:eastAsia="fr-BE"/>
              </w:rPr>
            </w:pPr>
            <w:r w:rsidRPr="00371E65">
              <w:rPr>
                <w:lang w:val="en-US" w:eastAsia="fr-BE"/>
              </w:rPr>
              <w:t>Up to 6 days per year for the Chair</w:t>
            </w:r>
          </w:p>
          <w:p w14:paraId="48D240CC" w14:textId="77777777" w:rsidR="00371E65" w:rsidRPr="00371E65" w:rsidRDefault="00371E65" w:rsidP="00371E65">
            <w:pPr>
              <w:spacing w:before="40" w:after="120"/>
              <w:ind w:right="113"/>
              <w:rPr>
                <w:lang w:val="en-US" w:eastAsia="fr-BE"/>
              </w:rPr>
            </w:pPr>
            <w:r w:rsidRPr="00371E65">
              <w:rPr>
                <w:lang w:val="en-US" w:eastAsia="fr-BE"/>
              </w:rPr>
              <w:t>Total per year</w:t>
            </w:r>
          </w:p>
          <w:p w14:paraId="450CBB9C" w14:textId="77777777" w:rsidR="00371E65" w:rsidRPr="00371E65" w:rsidRDefault="00371E65" w:rsidP="00371E65">
            <w:pPr>
              <w:spacing w:before="40" w:after="120"/>
              <w:ind w:right="113"/>
              <w:rPr>
                <w:lang w:val="en-US" w:eastAsia="fr-BE"/>
              </w:rPr>
            </w:pPr>
            <w:r w:rsidRPr="00371E65">
              <w:rPr>
                <w:lang w:val="en-US" w:eastAsia="fr-BE"/>
              </w:rPr>
              <w:t>Up to 37 days per year per member</w:t>
            </w:r>
          </w:p>
          <w:p w14:paraId="14861FEC" w14:textId="77777777" w:rsidR="00371E65" w:rsidRPr="00371E65" w:rsidRDefault="00371E65" w:rsidP="00371E65">
            <w:pPr>
              <w:spacing w:before="40" w:after="120"/>
              <w:ind w:right="113"/>
              <w:rPr>
                <w:lang w:val="en-US" w:eastAsia="fr-BE"/>
              </w:rPr>
            </w:pPr>
            <w:r w:rsidRPr="00371E65">
              <w:rPr>
                <w:lang w:val="en-US" w:eastAsia="fr-BE"/>
              </w:rPr>
              <w:t>Up to 45 days per year for the Chair</w:t>
            </w:r>
          </w:p>
          <w:p w14:paraId="788368D0" w14:textId="77777777" w:rsidR="00371E65" w:rsidRPr="00371E65" w:rsidRDefault="00371E65" w:rsidP="00371E65">
            <w:pPr>
              <w:spacing w:before="40" w:after="120"/>
              <w:ind w:right="113"/>
              <w:rPr>
                <w:lang w:val="en-US" w:eastAsia="fr-BE"/>
              </w:rPr>
            </w:pPr>
          </w:p>
          <w:p w14:paraId="6458E9B9" w14:textId="77777777" w:rsidR="00371E65" w:rsidRPr="00371E65" w:rsidRDefault="00371E65" w:rsidP="00371E65">
            <w:pPr>
              <w:spacing w:before="40" w:after="120"/>
              <w:ind w:right="113"/>
              <w:rPr>
                <w:lang w:val="en-US" w:eastAsia="fr-BE"/>
              </w:rPr>
            </w:pPr>
            <w:r w:rsidRPr="00371E65">
              <w:rPr>
                <w:lang w:val="en-US" w:eastAsia="fr-BE"/>
              </w:rPr>
              <w:t xml:space="preserve">Total for 2021-2023 intersessional period </w:t>
            </w:r>
            <w:r w:rsidRPr="00371E65">
              <w:rPr>
                <w:lang w:val="en-US" w:eastAsia="fr-BE"/>
              </w:rPr>
              <w:br/>
              <w:t>up to 1025 working days  for 9 members of the Committee</w:t>
            </w:r>
          </w:p>
          <w:p w14:paraId="420B4948" w14:textId="77777777" w:rsidR="00371E65" w:rsidRPr="00371E65" w:rsidRDefault="00371E65" w:rsidP="00371E65">
            <w:pPr>
              <w:spacing w:before="40" w:after="120"/>
              <w:ind w:right="113"/>
              <w:rPr>
                <w:lang w:val="en-US" w:eastAsia="fr-BE"/>
              </w:rPr>
            </w:pPr>
          </w:p>
        </w:tc>
      </w:tr>
    </w:tbl>
    <w:bookmarkEnd w:id="17"/>
    <w:p w14:paraId="04FBEE50" w14:textId="0348E4D3" w:rsidR="005217A6" w:rsidRPr="007B290D" w:rsidRDefault="007B290D" w:rsidP="007B290D">
      <w:pPr>
        <w:spacing w:before="240"/>
        <w:jc w:val="center"/>
        <w:rPr>
          <w:u w:val="single"/>
        </w:rPr>
      </w:pPr>
      <w:r>
        <w:rPr>
          <w:u w:val="single"/>
        </w:rPr>
        <w:lastRenderedPageBreak/>
        <w:tab/>
      </w:r>
      <w:r>
        <w:rPr>
          <w:u w:val="single"/>
        </w:rPr>
        <w:tab/>
      </w:r>
      <w:r>
        <w:rPr>
          <w:u w:val="single"/>
        </w:rPr>
        <w:tab/>
      </w:r>
    </w:p>
    <w:sectPr w:rsidR="005217A6" w:rsidRPr="007B290D" w:rsidSect="007B290D">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851"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09CEC" w14:textId="77777777" w:rsidR="005B0D03" w:rsidRDefault="005B0D03"/>
  </w:endnote>
  <w:endnote w:type="continuationSeparator" w:id="0">
    <w:p w14:paraId="75ED9258" w14:textId="77777777" w:rsidR="005B0D03" w:rsidRDefault="005B0D03"/>
  </w:endnote>
  <w:endnote w:type="continuationNotice" w:id="1">
    <w:p w14:paraId="3DE95FAF" w14:textId="77777777" w:rsidR="005B0D03" w:rsidRDefault="005B0D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02A16" w14:textId="06B506DA" w:rsidR="005009ED" w:rsidRPr="005009ED" w:rsidRDefault="005009ED" w:rsidP="005009ED">
    <w:pPr>
      <w:pStyle w:val="Footer"/>
      <w:tabs>
        <w:tab w:val="right" w:pos="9638"/>
      </w:tabs>
      <w:rPr>
        <w:sz w:val="18"/>
      </w:rPr>
    </w:pPr>
    <w:r w:rsidRPr="005009ED">
      <w:rPr>
        <w:b/>
        <w:sz w:val="18"/>
      </w:rPr>
      <w:fldChar w:fldCharType="begin"/>
    </w:r>
    <w:r w:rsidRPr="005009ED">
      <w:rPr>
        <w:b/>
        <w:sz w:val="18"/>
      </w:rPr>
      <w:instrText xml:space="preserve"> PAGE  \* MERGEFORMAT </w:instrText>
    </w:r>
    <w:r w:rsidRPr="005009ED">
      <w:rPr>
        <w:b/>
        <w:sz w:val="18"/>
      </w:rPr>
      <w:fldChar w:fldCharType="separate"/>
    </w:r>
    <w:r w:rsidRPr="005009ED">
      <w:rPr>
        <w:b/>
        <w:noProof/>
        <w:sz w:val="18"/>
      </w:rPr>
      <w:t>2</w:t>
    </w:r>
    <w:r w:rsidRPr="005009E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59E6E" w14:textId="5C49FC58" w:rsidR="005009ED" w:rsidRPr="005009ED" w:rsidRDefault="005009ED" w:rsidP="005009ED">
    <w:pPr>
      <w:pStyle w:val="Footer"/>
      <w:tabs>
        <w:tab w:val="right" w:pos="9638"/>
      </w:tabs>
      <w:rPr>
        <w:b/>
        <w:sz w:val="18"/>
      </w:rPr>
    </w:pPr>
    <w:r>
      <w:tab/>
    </w:r>
    <w:r w:rsidRPr="005009ED">
      <w:rPr>
        <w:b/>
        <w:sz w:val="18"/>
      </w:rPr>
      <w:fldChar w:fldCharType="begin"/>
    </w:r>
    <w:r w:rsidRPr="005009ED">
      <w:rPr>
        <w:b/>
        <w:sz w:val="18"/>
      </w:rPr>
      <w:instrText xml:space="preserve"> PAGE  \* MERGEFORMAT </w:instrText>
    </w:r>
    <w:r w:rsidRPr="005009ED">
      <w:rPr>
        <w:b/>
        <w:sz w:val="18"/>
      </w:rPr>
      <w:fldChar w:fldCharType="separate"/>
    </w:r>
    <w:r w:rsidRPr="005009ED">
      <w:rPr>
        <w:b/>
        <w:noProof/>
        <w:sz w:val="18"/>
      </w:rPr>
      <w:t>3</w:t>
    </w:r>
    <w:r w:rsidRPr="005009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3628C" w14:textId="77777777" w:rsidR="0035223F" w:rsidRPr="005009ED" w:rsidRDefault="00686A48">
    <w:pPr>
      <w:pStyle w:val="Footer"/>
      <w:rPr>
        <w:sz w:val="20"/>
      </w:rPr>
    </w:pPr>
    <w:r>
      <w:rPr>
        <w:noProof/>
        <w:lang w:val="fr-CH" w:eastAsia="fr-CH"/>
      </w:rPr>
      <w:drawing>
        <wp:anchor distT="0" distB="0" distL="114300" distR="114300" simplePos="0" relativeHeight="251658240" behindDoc="0" locked="1" layoutInCell="1" allowOverlap="1" wp14:anchorId="7DA96DE5" wp14:editId="67E9D94F">
          <wp:simplePos x="0" y="0"/>
          <wp:positionH relativeFrom="margin">
            <wp:posOffset>5147945</wp:posOffset>
          </wp:positionH>
          <wp:positionV relativeFrom="margin">
            <wp:posOffset>9071610</wp:posOffset>
          </wp:positionV>
          <wp:extent cx="933450" cy="228600"/>
          <wp:effectExtent l="0" t="0" r="0" b="0"/>
          <wp:wrapNone/>
          <wp:docPr id="4"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A5299" w14:textId="77777777" w:rsidR="005B0D03" w:rsidRPr="000B175B" w:rsidRDefault="005B0D03" w:rsidP="000B175B">
      <w:pPr>
        <w:tabs>
          <w:tab w:val="right" w:pos="2155"/>
        </w:tabs>
        <w:spacing w:after="80"/>
        <w:ind w:left="680"/>
        <w:rPr>
          <w:u w:val="single"/>
        </w:rPr>
      </w:pPr>
      <w:r>
        <w:rPr>
          <w:u w:val="single"/>
        </w:rPr>
        <w:tab/>
      </w:r>
    </w:p>
  </w:footnote>
  <w:footnote w:type="continuationSeparator" w:id="0">
    <w:p w14:paraId="672D7D39" w14:textId="77777777" w:rsidR="005B0D03" w:rsidRPr="00FC68B7" w:rsidRDefault="005B0D03" w:rsidP="00FC68B7">
      <w:pPr>
        <w:tabs>
          <w:tab w:val="left" w:pos="2155"/>
        </w:tabs>
        <w:spacing w:after="80"/>
        <w:ind w:left="680"/>
        <w:rPr>
          <w:u w:val="single"/>
        </w:rPr>
      </w:pPr>
      <w:r>
        <w:rPr>
          <w:u w:val="single"/>
        </w:rPr>
        <w:tab/>
      </w:r>
    </w:p>
  </w:footnote>
  <w:footnote w:type="continuationNotice" w:id="1">
    <w:p w14:paraId="7A7FDCDD" w14:textId="77777777" w:rsidR="005B0D03" w:rsidRDefault="005B0D03"/>
  </w:footnote>
  <w:footnote w:id="2">
    <w:p w14:paraId="05C60917" w14:textId="77777777" w:rsidR="00B9521A" w:rsidRPr="006845BF" w:rsidRDefault="00B9521A" w:rsidP="00B9521A">
      <w:pPr>
        <w:pStyle w:val="FootnoteText"/>
        <w:rPr>
          <w:lang w:val="es-ES"/>
        </w:rPr>
      </w:pPr>
      <w:r w:rsidRPr="006845BF">
        <w:tab/>
      </w:r>
      <w:r w:rsidRPr="006845BF">
        <w:rPr>
          <w:rStyle w:val="FootnoteReference"/>
        </w:rPr>
        <w:footnoteRef/>
      </w:r>
      <w:bookmarkStart w:id="1" w:name="_Hlk69983182"/>
      <w:r w:rsidRPr="006845BF">
        <w:rPr>
          <w:lang w:val="es-ES"/>
        </w:rPr>
        <w:tab/>
        <w:t>Decision VIII/2–IV/2, para. 12, ECE/MP.EIA/30/Add.1–ECE/</w:t>
      </w:r>
      <w:r w:rsidRPr="00B9521A">
        <w:t>MP</w:t>
      </w:r>
      <w:r w:rsidRPr="006845BF">
        <w:rPr>
          <w:lang w:val="es-ES"/>
        </w:rPr>
        <w:t>.EIA/SEA/13/Add.1</w:t>
      </w:r>
      <w:bookmarkEnd w:id="1"/>
      <w:r w:rsidRPr="006845BF">
        <w:rPr>
          <w:lang w:val="es-ES"/>
        </w:rPr>
        <w:t>.</w:t>
      </w:r>
    </w:p>
  </w:footnote>
  <w:footnote w:id="3">
    <w:p w14:paraId="1957661D" w14:textId="05940434" w:rsidR="00B9521A" w:rsidRPr="00095108" w:rsidRDefault="00B9521A" w:rsidP="00B9521A">
      <w:pPr>
        <w:pStyle w:val="FootnoteText"/>
      </w:pPr>
      <w:r w:rsidRPr="008A6CC3">
        <w:rPr>
          <w:lang w:val="es-ES"/>
        </w:rPr>
        <w:tab/>
      </w:r>
      <w:r>
        <w:rPr>
          <w:rStyle w:val="FootnoteReference"/>
        </w:rPr>
        <w:footnoteRef/>
      </w:r>
      <w:r>
        <w:rPr>
          <w:lang w:val="es-ES"/>
        </w:rPr>
        <w:tab/>
      </w:r>
      <w:r>
        <w:t xml:space="preserve">See also </w:t>
      </w:r>
      <w:r w:rsidRPr="00B9521A">
        <w:t>informal</w:t>
      </w:r>
      <w:r>
        <w:t xml:space="preserve"> notes of the meeting of the Bureau, paras. 19–23, available at:  </w:t>
      </w:r>
      <w:hyperlink r:id="rId1" w:history="1">
        <w:r w:rsidRPr="003A6162">
          <w:rPr>
            <w:rStyle w:val="Hyperlink"/>
          </w:rPr>
          <w:t>https://unece.org/environmental-policy/events/bureau-espoo-convention</w:t>
        </w:r>
      </w:hyperlink>
      <w:r>
        <w:t>.</w:t>
      </w:r>
    </w:p>
  </w:footnote>
  <w:footnote w:id="4">
    <w:p w14:paraId="48F52733" w14:textId="77777777" w:rsidR="00B9521A" w:rsidRPr="006845BF" w:rsidRDefault="00B9521A" w:rsidP="00B9521A">
      <w:pPr>
        <w:pStyle w:val="FootnoteText"/>
        <w:jc w:val="both"/>
        <w:rPr>
          <w:lang w:val="es-ES_tradnl"/>
        </w:rPr>
      </w:pPr>
      <w:r w:rsidRPr="00095108">
        <w:tab/>
      </w:r>
      <w:r w:rsidRPr="006845BF">
        <w:rPr>
          <w:rStyle w:val="FootnoteReference"/>
        </w:rPr>
        <w:footnoteRef/>
      </w:r>
      <w:r w:rsidRPr="006845BF">
        <w:rPr>
          <w:lang w:val="es-ES"/>
        </w:rPr>
        <w:t xml:space="preserve"> </w:t>
      </w:r>
      <w:r w:rsidRPr="006845BF">
        <w:rPr>
          <w:lang w:val="es-ES"/>
        </w:rPr>
        <w:tab/>
        <w:t xml:space="preserve">Decision VII/4-III/4, para. </w:t>
      </w:r>
      <w:r w:rsidRPr="006845BF">
        <w:rPr>
          <w:lang w:val="es-ES_tradnl"/>
        </w:rPr>
        <w:t xml:space="preserve">14,  </w:t>
      </w:r>
      <w:bookmarkStart w:id="2" w:name="_Hlk74257613"/>
      <w:r w:rsidRPr="006845BF">
        <w:rPr>
          <w:lang w:val="es-ES_tradnl"/>
        </w:rPr>
        <w:t>ECE/MP.EIA/23</w:t>
      </w:r>
      <w:r>
        <w:rPr>
          <w:lang w:val="es-ES_tradnl"/>
        </w:rPr>
        <w:t>/</w:t>
      </w:r>
      <w:r w:rsidRPr="006845BF">
        <w:rPr>
          <w:lang w:val="es-ES_tradnl"/>
        </w:rPr>
        <w:t>Add.1–ECE/MP.EIA/SEA/7</w:t>
      </w:r>
      <w:r>
        <w:rPr>
          <w:lang w:val="es-ES_tradnl"/>
        </w:rPr>
        <w:t>/</w:t>
      </w:r>
      <w:r w:rsidRPr="006845BF">
        <w:rPr>
          <w:lang w:val="es-ES_tradnl"/>
        </w:rPr>
        <w:t>Add.1</w:t>
      </w:r>
      <w:bookmarkEnd w:id="2"/>
      <w:r w:rsidRPr="006845BF">
        <w:rPr>
          <w:lang w:val="es-ES_tradnl"/>
        </w:rPr>
        <w:t>; Decision VIII/1-IV/1, para. 14, ECE/MP.EIA/30/Add.1-ECE/MP.EIA/SEA/13/Add.1.</w:t>
      </w:r>
    </w:p>
  </w:footnote>
  <w:footnote w:id="5">
    <w:p w14:paraId="7FED9FFF" w14:textId="6303046A" w:rsidR="00B9521A" w:rsidRPr="006845BF" w:rsidRDefault="00B9521A" w:rsidP="00B9521A">
      <w:pPr>
        <w:pStyle w:val="FootnoteText"/>
        <w:rPr>
          <w:lang w:val="es-ES"/>
        </w:rPr>
      </w:pPr>
      <w:r w:rsidRPr="00796FE8">
        <w:rPr>
          <w:lang w:val="es-ES"/>
        </w:rPr>
        <w:tab/>
      </w:r>
      <w:r w:rsidRPr="006845BF">
        <w:rPr>
          <w:rStyle w:val="FootnoteReference"/>
        </w:rPr>
        <w:footnoteRef/>
      </w:r>
      <w:r>
        <w:rPr>
          <w:lang w:val="es-ES"/>
        </w:rPr>
        <w:tab/>
      </w:r>
      <w:r w:rsidRPr="006845BF">
        <w:rPr>
          <w:lang w:val="es-ES"/>
        </w:rPr>
        <w:t xml:space="preserve">Decision VI/4–II/4, para. 8., ECE/MP.EIA/20.Add.3–ECE/MP.EIA/SEA/4.Add.3, annex </w:t>
      </w:r>
      <w:bookmarkStart w:id="3" w:name="_Hlk74257749"/>
    </w:p>
    <w:bookmarkEnd w:id="3"/>
  </w:footnote>
  <w:footnote w:id="6">
    <w:p w14:paraId="5A1FFCFC" w14:textId="77777777" w:rsidR="00B9521A" w:rsidRPr="006845BF" w:rsidRDefault="00B9521A" w:rsidP="00B9521A">
      <w:pPr>
        <w:pStyle w:val="FootnoteText"/>
        <w:rPr>
          <w:lang w:val="en-US"/>
        </w:rPr>
      </w:pPr>
      <w:r w:rsidRPr="006845BF">
        <w:rPr>
          <w:lang w:val="es-ES"/>
        </w:rPr>
        <w:tab/>
      </w:r>
      <w:r w:rsidRPr="006845BF">
        <w:rPr>
          <w:rStyle w:val="FootnoteReference"/>
        </w:rPr>
        <w:footnoteRef/>
      </w:r>
      <w:r w:rsidRPr="006845BF">
        <w:t xml:space="preserve"> </w:t>
      </w:r>
      <w:r w:rsidRPr="006845BF">
        <w:tab/>
        <w:t xml:space="preserve">“Services in kind” are services provided to the United Nations in a non-exchange transaction. See “United Nations Corporate Guidance for International Public Sector Accounting Standards”, Funding Arrangements, p. </w:t>
      </w:r>
    </w:p>
  </w:footnote>
  <w:footnote w:id="7">
    <w:p w14:paraId="1839396C" w14:textId="01409759" w:rsidR="00B9521A" w:rsidRPr="008A6CC3" w:rsidRDefault="00B9521A" w:rsidP="00B9521A">
      <w:pPr>
        <w:pStyle w:val="FootnoteText"/>
      </w:pPr>
      <w:r>
        <w:tab/>
      </w:r>
      <w:r>
        <w:rPr>
          <w:rStyle w:val="FootnoteReference"/>
        </w:rPr>
        <w:footnoteRef/>
      </w:r>
      <w:r>
        <w:tab/>
      </w:r>
      <w:r w:rsidRPr="00B0441F">
        <w:t>See the extract from the draft financial report for 2017 – 2020 ECE/MP.EIA/2020/2–ECE/MP.EIA/SEA/2020/2, para. 23 in annex to the present document</w:t>
      </w:r>
      <w:r>
        <w:t>.</w:t>
      </w:r>
    </w:p>
  </w:footnote>
  <w:footnote w:id="8">
    <w:p w14:paraId="665CB0F5" w14:textId="1364EDB7" w:rsidR="00B9521A" w:rsidRPr="000C263E" w:rsidRDefault="00B9521A" w:rsidP="009445D3">
      <w:pPr>
        <w:pStyle w:val="FootnoteText"/>
      </w:pPr>
      <w:r>
        <w:tab/>
      </w:r>
      <w:r>
        <w:rPr>
          <w:rStyle w:val="FootnoteReference"/>
        </w:rPr>
        <w:footnoteRef/>
      </w:r>
      <w:r w:rsidR="009445D3">
        <w:tab/>
      </w:r>
      <w:r w:rsidRPr="000C263E">
        <w:t>See in annex</w:t>
      </w:r>
      <w:r>
        <w:t xml:space="preserve"> of the present document</w:t>
      </w:r>
      <w:r w:rsidRPr="000C263E">
        <w:t xml:space="preserve">, </w:t>
      </w:r>
      <w:r>
        <w:t xml:space="preserve">an </w:t>
      </w:r>
      <w:r w:rsidRPr="000C263E">
        <w:t>extract from the draft financial report for 2017 – 2020, para. 13</w:t>
      </w:r>
      <w:r>
        <w:t>-</w:t>
      </w:r>
    </w:p>
  </w:footnote>
  <w:footnote w:id="9">
    <w:p w14:paraId="0CFDA736" w14:textId="77777777" w:rsidR="00B9521A" w:rsidRPr="009445D3" w:rsidRDefault="00B9521A" w:rsidP="00B9521A">
      <w:pPr>
        <w:pStyle w:val="FootnoteText"/>
      </w:pPr>
      <w:r w:rsidRPr="00796FE8">
        <w:tab/>
      </w:r>
      <w:r w:rsidRPr="006845BF">
        <w:rPr>
          <w:rStyle w:val="FootnoteReference"/>
        </w:rPr>
        <w:footnoteRef/>
      </w:r>
      <w:r w:rsidRPr="00796FE8">
        <w:t xml:space="preserve"> </w:t>
      </w:r>
      <w:r w:rsidRPr="00796FE8">
        <w:tab/>
      </w:r>
      <w:r>
        <w:t xml:space="preserve">See extracts from the financial reports: </w:t>
      </w:r>
      <w:r w:rsidRPr="00B9521A">
        <w:rPr>
          <w:lang w:eastAsia="en-US"/>
        </w:rPr>
        <w:t>ECE/MP.EIA/2011/1–ECE/MP.EIA/SEA/2011/1</w:t>
      </w:r>
      <w:r w:rsidRPr="00A83F8A">
        <w:t xml:space="preserve"> </w:t>
      </w:r>
      <w:r w:rsidRPr="00796FE8">
        <w:t xml:space="preserve">ECE/MP.EIA/2014/1–ECE/MP.EIA/SEA/2014/1, table A.7; available from: </w:t>
      </w:r>
      <w:hyperlink r:id="rId2" w:history="1">
        <w:r w:rsidRPr="009445D3">
          <w:rPr>
            <w:rStyle w:val="Hyperlink"/>
            <w:color w:val="auto"/>
          </w:rPr>
          <w:t>http://staging2.unece.org.net4all.ch/fileadmin/DAM/env/documents/2014/EIA/MOP/ECE.MP.EIA.2014.1%E2%88%92ECE.MP.EIA.SEA.2014.1_E.pdf</w:t>
        </w:r>
      </w:hyperlink>
      <w:r w:rsidRPr="009445D3">
        <w:t xml:space="preserve"> </w:t>
      </w:r>
    </w:p>
    <w:p w14:paraId="7A046DEC" w14:textId="7E8A35AE" w:rsidR="00B9521A" w:rsidRPr="006845BF" w:rsidRDefault="009445D3" w:rsidP="00B9521A">
      <w:pPr>
        <w:pStyle w:val="FootnoteText"/>
      </w:pPr>
      <w:r>
        <w:tab/>
      </w:r>
      <w:r w:rsidR="00B9521A" w:rsidRPr="00796FE8">
        <w:tab/>
      </w:r>
      <w:r w:rsidR="00B9521A" w:rsidRPr="006845BF">
        <w:rPr>
          <w:lang w:val="es-ES_tradnl"/>
        </w:rPr>
        <w:t xml:space="preserve">ECE/MP.EIA/2017/3 ECE/MP.EIA/SEA/2017/3, table A.7. </w:t>
      </w:r>
      <w:r w:rsidR="00B9521A" w:rsidRPr="006845BF">
        <w:t xml:space="preserve">Available from </w:t>
      </w:r>
      <w:hyperlink r:id="rId3" w:history="1">
        <w:r w:rsidR="00B9521A" w:rsidRPr="009445D3">
          <w:rPr>
            <w:rStyle w:val="Hyperlink"/>
            <w:color w:val="auto"/>
          </w:rPr>
          <w:t>http://staging2.unece.org.net4all.ch/fileadmin/DAM/env/documents/2017/EIA/MOP7/28_04_17__ece_mp.eia_2017_3_ece_mp.eia_sea_2017_3_eng.pdf</w:t>
        </w:r>
      </w:hyperlink>
      <w:r w:rsidR="00B9521A" w:rsidRPr="009445D3">
        <w:t>;</w:t>
      </w:r>
      <w:r w:rsidR="00B9521A" w:rsidRPr="006845BF">
        <w:t xml:space="preserve"> </w:t>
      </w:r>
    </w:p>
  </w:footnote>
  <w:footnote w:id="10">
    <w:p w14:paraId="16F9F67D" w14:textId="200F2123" w:rsidR="00B9521A" w:rsidRPr="001011D3" w:rsidRDefault="00B9521A" w:rsidP="00B9521A">
      <w:pPr>
        <w:pStyle w:val="FootnoteText"/>
      </w:pPr>
      <w:r>
        <w:tab/>
      </w:r>
      <w:r>
        <w:rPr>
          <w:rStyle w:val="FootnoteReference"/>
        </w:rPr>
        <w:footnoteRef/>
      </w:r>
      <w:r w:rsidR="009445D3">
        <w:tab/>
      </w:r>
      <w:r>
        <w:t xml:space="preserve">In 2020, some Parties (the delegation of the EU) had initial reservations towards the inclusion of wishlisted activities. </w:t>
      </w:r>
    </w:p>
  </w:footnote>
  <w:footnote w:id="11">
    <w:p w14:paraId="24BF6025" w14:textId="3C38DB53" w:rsidR="009445D3" w:rsidRPr="006845BF" w:rsidRDefault="009445D3" w:rsidP="007C6089">
      <w:pPr>
        <w:pStyle w:val="FootnoteText"/>
      </w:pPr>
      <w:r w:rsidRPr="001011D3">
        <w:tab/>
      </w:r>
      <w:r w:rsidRPr="006845BF">
        <w:rPr>
          <w:rStyle w:val="FootnoteReference"/>
        </w:rPr>
        <w:footnoteRef/>
      </w:r>
      <w:r w:rsidR="007C6089">
        <w:tab/>
      </w:r>
      <w:r w:rsidRPr="006845BF">
        <w:t xml:space="preserve">See for example </w:t>
      </w:r>
      <w:r w:rsidRPr="007C6089">
        <w:t>decision</w:t>
      </w:r>
      <w:r w:rsidRPr="006845BF">
        <w:t xml:space="preserve"> VI/3–II/3 on the adoption of 2011-2014 workplan annex where in may instances the costs of the in-kind contributions are estimated in some instances, and Report on the budget and financial arrangements in the 2011-2014 inter-sessional period, paras.13, 17, 20, tables 2, and A.7.).</w:t>
      </w:r>
    </w:p>
  </w:footnote>
  <w:footnote w:id="12">
    <w:p w14:paraId="5CD82F66" w14:textId="38717563" w:rsidR="009445D3" w:rsidRPr="008645AF" w:rsidRDefault="007C6089" w:rsidP="007C6089">
      <w:pPr>
        <w:pStyle w:val="FootnoteText"/>
      </w:pPr>
      <w:r>
        <w:tab/>
      </w:r>
      <w:r w:rsidR="009445D3" w:rsidRPr="006845BF">
        <w:rPr>
          <w:rStyle w:val="FootnoteReference"/>
        </w:rPr>
        <w:footnoteRef/>
      </w:r>
      <w:r>
        <w:tab/>
      </w:r>
      <w:r w:rsidR="009445D3" w:rsidRPr="006845BF">
        <w:t>The “United Nations Corporate Guidance for International Public Sector Accounting Standards” specify that [t]he United Nations does not recognize services in kind. However, the disclosure of the nature and type of services in kind received during the reporting period is required if they are material. The disclosure to the financial statements should include information about services in kind with a value above USD 20,000 for Volumes I and II (USD 5,000 for other United Nations reporting entities), per discrete contribution, measured at fair value. The recommended classes of ‘services in kind’ for note disclosures are: a) Technical assistance/expert services; b) Administrative support; c) Participation in training; d) Other services in kind.”</w:t>
      </w:r>
    </w:p>
  </w:footnote>
  <w:footnote w:id="13">
    <w:p w14:paraId="316ABEFA" w14:textId="77777777" w:rsidR="007C6089" w:rsidRPr="004D0613" w:rsidRDefault="007C6089" w:rsidP="007C6089">
      <w:pPr>
        <w:pStyle w:val="FootnoteText"/>
        <w:widowControl w:val="0"/>
        <w:tabs>
          <w:tab w:val="clear" w:pos="1021"/>
          <w:tab w:val="right" w:pos="1020"/>
        </w:tabs>
      </w:pPr>
      <w:r>
        <w:tab/>
      </w:r>
      <w:r>
        <w:rPr>
          <w:rStyle w:val="FootnoteReference"/>
        </w:rPr>
        <w:footnoteRef/>
      </w:r>
      <w:r>
        <w:tab/>
        <w:t xml:space="preserve">The EaP GREEN programme extended from January 2013 until the end of April 2018. The total funding for the activities implemented by ECE during that period was €2,108,544 or some </w:t>
      </w:r>
      <w:r w:rsidRPr="00FF69DC">
        <w:t>$</w:t>
      </w:r>
      <w:r>
        <w:t xml:space="preserve">2,608,378. </w:t>
      </w:r>
    </w:p>
  </w:footnote>
  <w:footnote w:id="14">
    <w:p w14:paraId="672D5828" w14:textId="77777777" w:rsidR="007C6089" w:rsidRPr="004D0613" w:rsidRDefault="007C6089" w:rsidP="007C6089">
      <w:pPr>
        <w:pStyle w:val="FootnoteText"/>
        <w:widowControl w:val="0"/>
        <w:tabs>
          <w:tab w:val="clear" w:pos="1021"/>
          <w:tab w:val="right" w:pos="1020"/>
        </w:tabs>
      </w:pPr>
      <w:r>
        <w:tab/>
      </w:r>
      <w:r>
        <w:rPr>
          <w:rStyle w:val="FootnoteReference"/>
        </w:rPr>
        <w:footnoteRef/>
      </w:r>
      <w:r>
        <w:tab/>
        <w:t xml:space="preserve">The European Union funded large regional programme “EU4Environment” is implemented in 2019–2022 by ECE and </w:t>
      </w:r>
      <w:r w:rsidRPr="00EE565F">
        <w:t>the United Nations Industrial Development Organization, the United Nations Environment Programme, the Organization for Economic Cooperation and Development and the World Bank,</w:t>
      </w:r>
      <w:r>
        <w:t xml:space="preserve"> with a total European Union funding of $19.5 million. It builds on the previous European Union programmes, such as EaP GREEN.  </w:t>
      </w:r>
    </w:p>
  </w:footnote>
  <w:footnote w:id="15">
    <w:p w14:paraId="519BE07B" w14:textId="77777777" w:rsidR="007C6089" w:rsidRPr="004D0613" w:rsidRDefault="007C6089" w:rsidP="007C6089">
      <w:pPr>
        <w:pStyle w:val="FootnoteText"/>
        <w:widowControl w:val="0"/>
        <w:tabs>
          <w:tab w:val="clear" w:pos="1021"/>
          <w:tab w:val="right" w:pos="1020"/>
        </w:tabs>
      </w:pPr>
      <w:r>
        <w:tab/>
      </w:r>
      <w:r>
        <w:rPr>
          <w:rStyle w:val="FootnoteReference"/>
        </w:rPr>
        <w:footnoteRef/>
      </w:r>
      <w:r>
        <w:tab/>
      </w:r>
      <w:r w:rsidRPr="00763890">
        <w:t xml:space="preserve">The total budget of the component implemented by ECE for the </w:t>
      </w:r>
      <w:r>
        <w:t xml:space="preserve">four-year </w:t>
      </w:r>
      <w:r w:rsidRPr="00763890">
        <w:t xml:space="preserve">period is $2,579,670.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25F09" w14:textId="3F68683F" w:rsidR="005009ED" w:rsidRPr="005009ED" w:rsidRDefault="005B0D03">
    <w:pPr>
      <w:pStyle w:val="Header"/>
    </w:pPr>
    <w:r>
      <w:fldChar w:fldCharType="begin"/>
    </w:r>
    <w:r>
      <w:instrText xml:space="preserve"> TITLE  \* MERGEFORMAT </w:instrText>
    </w:r>
    <w:r>
      <w:fldChar w:fldCharType="separate"/>
    </w:r>
    <w:r w:rsidR="00371E65">
      <w:t>ECE/MP.EIA/WG.2/2021/INF.11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C0D3F" w14:textId="36EDFC05" w:rsidR="005009ED" w:rsidRPr="005009ED" w:rsidRDefault="005B0D03" w:rsidP="005009ED">
    <w:pPr>
      <w:pStyle w:val="Header"/>
      <w:jc w:val="right"/>
    </w:pPr>
    <w:r>
      <w:fldChar w:fldCharType="begin"/>
    </w:r>
    <w:r>
      <w:instrText xml:space="preserve"> TITLE  \* MERGEFORMAT </w:instrText>
    </w:r>
    <w:r>
      <w:fldChar w:fldCharType="separate"/>
    </w:r>
    <w:r w:rsidR="00371E65">
      <w:t>ECE/MP.EIA/WG.2/2021/INF.11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fr-BE"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5009ED"/>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2159"/>
    <w:rsid w:val="00166124"/>
    <w:rsid w:val="00184DDA"/>
    <w:rsid w:val="001900CD"/>
    <w:rsid w:val="001A0452"/>
    <w:rsid w:val="001B4B04"/>
    <w:rsid w:val="001B5875"/>
    <w:rsid w:val="001C4B9C"/>
    <w:rsid w:val="001C6663"/>
    <w:rsid w:val="001C7895"/>
    <w:rsid w:val="001D26DF"/>
    <w:rsid w:val="001F1599"/>
    <w:rsid w:val="001F19C4"/>
    <w:rsid w:val="001F2992"/>
    <w:rsid w:val="002043F0"/>
    <w:rsid w:val="00211E0B"/>
    <w:rsid w:val="00232575"/>
    <w:rsid w:val="00247258"/>
    <w:rsid w:val="00257CAC"/>
    <w:rsid w:val="0027237A"/>
    <w:rsid w:val="002971D0"/>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71E65"/>
    <w:rsid w:val="003A46BB"/>
    <w:rsid w:val="003A4EC7"/>
    <w:rsid w:val="003A7295"/>
    <w:rsid w:val="003B1F60"/>
    <w:rsid w:val="003C2CC4"/>
    <w:rsid w:val="003D22CC"/>
    <w:rsid w:val="003D4B23"/>
    <w:rsid w:val="003E278A"/>
    <w:rsid w:val="00413520"/>
    <w:rsid w:val="004325CB"/>
    <w:rsid w:val="00440A07"/>
    <w:rsid w:val="00462880"/>
    <w:rsid w:val="004675A1"/>
    <w:rsid w:val="00476F24"/>
    <w:rsid w:val="004C55B0"/>
    <w:rsid w:val="004F6BA0"/>
    <w:rsid w:val="005009ED"/>
    <w:rsid w:val="00503BEA"/>
    <w:rsid w:val="005217A6"/>
    <w:rsid w:val="00533616"/>
    <w:rsid w:val="00535ABA"/>
    <w:rsid w:val="0053768B"/>
    <w:rsid w:val="005420F2"/>
    <w:rsid w:val="0054285C"/>
    <w:rsid w:val="00584173"/>
    <w:rsid w:val="00595520"/>
    <w:rsid w:val="005A44B9"/>
    <w:rsid w:val="005B0D03"/>
    <w:rsid w:val="005B1BA0"/>
    <w:rsid w:val="005B3DB3"/>
    <w:rsid w:val="005D15CA"/>
    <w:rsid w:val="005F08DF"/>
    <w:rsid w:val="005F3066"/>
    <w:rsid w:val="005F3E61"/>
    <w:rsid w:val="00604DDD"/>
    <w:rsid w:val="006115CC"/>
    <w:rsid w:val="00611FC4"/>
    <w:rsid w:val="006176FB"/>
    <w:rsid w:val="00630FCB"/>
    <w:rsid w:val="00640B26"/>
    <w:rsid w:val="0065766B"/>
    <w:rsid w:val="00666F2D"/>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4533B"/>
    <w:rsid w:val="007643BC"/>
    <w:rsid w:val="00780C68"/>
    <w:rsid w:val="00782629"/>
    <w:rsid w:val="007959FE"/>
    <w:rsid w:val="007A0CF1"/>
    <w:rsid w:val="007B290D"/>
    <w:rsid w:val="007B5D81"/>
    <w:rsid w:val="007B6BA5"/>
    <w:rsid w:val="007C3390"/>
    <w:rsid w:val="007C42D8"/>
    <w:rsid w:val="007C4F4B"/>
    <w:rsid w:val="007C6089"/>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109F"/>
    <w:rsid w:val="009445D3"/>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10F4F"/>
    <w:rsid w:val="00A11067"/>
    <w:rsid w:val="00A1704A"/>
    <w:rsid w:val="00A425EB"/>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9521A"/>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5C34"/>
    <w:rsid w:val="00C745C3"/>
    <w:rsid w:val="00C978F5"/>
    <w:rsid w:val="00CA24A4"/>
    <w:rsid w:val="00CB348D"/>
    <w:rsid w:val="00CD46F5"/>
    <w:rsid w:val="00CE4602"/>
    <w:rsid w:val="00CE4A8F"/>
    <w:rsid w:val="00CF071D"/>
    <w:rsid w:val="00D0123D"/>
    <w:rsid w:val="00D15B04"/>
    <w:rsid w:val="00D2031B"/>
    <w:rsid w:val="00D25FE2"/>
    <w:rsid w:val="00D30C27"/>
    <w:rsid w:val="00D37DA9"/>
    <w:rsid w:val="00D406A7"/>
    <w:rsid w:val="00D43252"/>
    <w:rsid w:val="00D44D86"/>
    <w:rsid w:val="00D50B7D"/>
    <w:rsid w:val="00D52012"/>
    <w:rsid w:val="00D704E5"/>
    <w:rsid w:val="00D72727"/>
    <w:rsid w:val="00D978C6"/>
    <w:rsid w:val="00DA0956"/>
    <w:rsid w:val="00DA357F"/>
    <w:rsid w:val="00DA3E12"/>
    <w:rsid w:val="00DB69F5"/>
    <w:rsid w:val="00DC18AD"/>
    <w:rsid w:val="00DD49B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977"/>
    <w:rsid w:val="00F21786"/>
    <w:rsid w:val="00F3742B"/>
    <w:rsid w:val="00F41FDB"/>
    <w:rsid w:val="00F56D63"/>
    <w:rsid w:val="00F609A9"/>
    <w:rsid w:val="00F80C99"/>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1B7F9"/>
  <w15:docId w15:val="{D25EAF65-BEFB-4E1A-A67C-BA7C2C89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paragraph" w:styleId="ListParagraph">
    <w:name w:val="List Paragraph"/>
    <w:basedOn w:val="Normal"/>
    <w:uiPriority w:val="34"/>
    <w:semiHidden/>
    <w:qFormat/>
    <w:rsid w:val="009445D3"/>
    <w:pPr>
      <w:ind w:left="720"/>
      <w:contextualSpacing/>
    </w:pPr>
  </w:style>
  <w:style w:type="table" w:customStyle="1" w:styleId="TableGrid1">
    <w:name w:val="Table Grid1"/>
    <w:basedOn w:val="TableNormal"/>
    <w:next w:val="TableGrid"/>
    <w:rsid w:val="00DB69F5"/>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Normal"/>
    <w:next w:val="TableGrid"/>
    <w:rsid w:val="00DB69F5"/>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
    <w:name w:val="Table Grid3"/>
    <w:basedOn w:val="TableNormal"/>
    <w:next w:val="TableGrid"/>
    <w:rsid w:val="007B5D81"/>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taging2.unece.org.net4all.ch/fileadmin/DAM/env/documents/2017/EIA/MOP7/28_04_17__ece_mp.eia_2017_3_ece_mp.eia_sea_2017_3_eng.pdf" TargetMode="External"/><Relationship Id="rId2" Type="http://schemas.openxmlformats.org/officeDocument/2006/relationships/hyperlink" Target="http://staging2.unece.org.net4all.ch/fileadmin/DAM/env/documents/2014/EIA/MOP/ECE.MP.EIA.2014.1%E2%88%92ECE.MP.EIA.SEA.2014.1_E.pdf" TargetMode="External"/><Relationship Id="rId1" Type="http://schemas.openxmlformats.org/officeDocument/2006/relationships/hyperlink" Target="https://unece.org/environmental-policy/events/bureau-espoo-conven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4" ma:contentTypeDescription="Create a new document." ma:contentTypeScope="" ma:versionID="f0c03c5628846417021adc0d19f78fd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81a24dde98626d1d660fde7121c7e81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Props1.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2.xml><?xml version="1.0" encoding="utf-8"?>
<ds:datastoreItem xmlns:ds="http://schemas.openxmlformats.org/officeDocument/2006/customXml" ds:itemID="{66EFD989-8189-407C-8032-3CEFCF3CD8BE}">
  <ds:schemaRefs>
    <ds:schemaRef ds:uri="http://schemas.microsoft.com/sharepoint/v3/contenttype/forms"/>
  </ds:schemaRefs>
</ds:datastoreItem>
</file>

<file path=customXml/itemProps3.xml><?xml version="1.0" encoding="utf-8"?>
<ds:datastoreItem xmlns:ds="http://schemas.openxmlformats.org/officeDocument/2006/customXml" ds:itemID="{69611AE2-D4F6-4893-B84F-8434C0FDD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4129EF-D085-4B07-909A-532D208E93A0}">
  <ds:schemaRefs>
    <ds:schemaRef ds:uri="http://schemas.microsoft.com/office/2006/metadata/properties"/>
    <ds:schemaRef ds:uri="http://schemas.microsoft.com/office/infopath/2007/PartnerControls"/>
    <ds:schemaRef ds:uri="99a2c2c3-fdcf-4e63-9c12-39b3de610a76"/>
  </ds:schemaRefs>
</ds:datastoreItem>
</file>

<file path=docProps/app.xml><?xml version="1.0" encoding="utf-8"?>
<Properties xmlns="http://schemas.openxmlformats.org/officeDocument/2006/extended-properties" xmlns:vt="http://schemas.openxmlformats.org/officeDocument/2006/docPropsVTypes">
  <Template>MPEIA_E.dotm</Template>
  <TotalTime>7</TotalTime>
  <Pages>16</Pages>
  <Words>4695</Words>
  <Characters>26762</Characters>
  <Application>Microsoft Office Word</Application>
  <DocSecurity>0</DocSecurity>
  <Lines>223</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ECE/MP.EIA/WG.2/2021/INF.11</vt:lpstr>
      <vt:lpstr/>
    </vt:vector>
  </TitlesOfParts>
  <Company>CSD</Company>
  <LinksUpToDate>false</LinksUpToDate>
  <CharactersWithSpaces>31395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ECE/MP.EIA/WG.2/2021/INF.11</dc:title>
  <dc:creator>Maricar De_La_Cruz</dc:creator>
  <cp:lastModifiedBy>Maricar De_La_Cruz</cp:lastModifiedBy>
  <cp:revision>7</cp:revision>
  <cp:lastPrinted>2009-02-18T09:36:00Z</cp:lastPrinted>
  <dcterms:created xsi:type="dcterms:W3CDTF">2021-10-27T10:34:00Z</dcterms:created>
  <dcterms:modified xsi:type="dcterms:W3CDTF">2021-10-27T10:53:00Z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