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EF7B6C">
        <w:trPr>
          <w:cantSplit/>
          <w:trHeight w:hRule="exact" w:val="851"/>
        </w:trPr>
        <w:tc>
          <w:tcPr>
            <w:tcW w:w="9781" w:type="dxa"/>
            <w:tcBorders>
              <w:bottom w:val="single" w:sz="4" w:space="0" w:color="auto"/>
            </w:tcBorders>
            <w:vAlign w:val="bottom"/>
          </w:tcPr>
          <w:p w14:paraId="146774F5" w14:textId="08614D4C" w:rsidR="000C2B80" w:rsidRPr="00663883" w:rsidRDefault="007C31F9" w:rsidP="000C2B80">
            <w:pPr>
              <w:ind w:firstLine="284"/>
              <w:jc w:val="right"/>
              <w:rPr>
                <w:b/>
                <w:bCs/>
                <w:color w:val="000000"/>
                <w:spacing w:val="-3"/>
                <w:sz w:val="40"/>
                <w:szCs w:val="40"/>
              </w:rPr>
            </w:pPr>
            <w:r w:rsidRPr="00663883">
              <w:rPr>
                <w:b/>
                <w:bCs/>
                <w:color w:val="000000"/>
                <w:spacing w:val="-3"/>
                <w:sz w:val="40"/>
                <w:szCs w:val="40"/>
              </w:rPr>
              <w:t>INF.</w:t>
            </w:r>
            <w:r w:rsidR="00D41E2B" w:rsidRPr="00663883">
              <w:rPr>
                <w:b/>
                <w:bCs/>
                <w:color w:val="000000"/>
                <w:spacing w:val="-3"/>
                <w:sz w:val="40"/>
                <w:szCs w:val="40"/>
              </w:rPr>
              <w:t>5</w:t>
            </w:r>
          </w:p>
        </w:tc>
      </w:tr>
      <w:tr w:rsidR="000C2B80" w:rsidRPr="00A92B1E" w14:paraId="4C011641"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F7B6C">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77777777" w:rsidR="00B11CBD" w:rsidRPr="00B11CBD" w:rsidRDefault="00B11CBD" w:rsidP="00B11CBD">
                  <w:pPr>
                    <w:spacing w:before="120"/>
                    <w:rPr>
                      <w:b/>
                      <w:lang w:eastAsia="fr-FR"/>
                    </w:rPr>
                  </w:pPr>
                  <w:r w:rsidRPr="00B11CBD">
                    <w:rPr>
                      <w:b/>
                      <w:lang w:eastAsia="fr-FR"/>
                    </w:rPr>
                    <w:t>Seventy-seventh session</w:t>
                  </w:r>
                </w:p>
                <w:p w14:paraId="7F27C3C4" w14:textId="77777777" w:rsidR="00B11CBD" w:rsidRPr="00B11CBD" w:rsidRDefault="00B11CBD" w:rsidP="00B11CBD">
                  <w:pPr>
                    <w:rPr>
                      <w:lang w:eastAsia="fr-FR"/>
                    </w:rPr>
                  </w:pPr>
                  <w:r w:rsidRPr="00B11CBD">
                    <w:rPr>
                      <w:lang w:eastAsia="fr-FR"/>
                    </w:rPr>
                    <w:t>Geneva, 26-29 October 2021</w:t>
                  </w:r>
                </w:p>
                <w:p w14:paraId="338E4039" w14:textId="325E154F" w:rsidR="00B11CBD" w:rsidRPr="00B11CBD" w:rsidRDefault="00B11CBD" w:rsidP="00B11CBD">
                  <w:pPr>
                    <w:rPr>
                      <w:lang w:eastAsia="fr-FR"/>
                    </w:rPr>
                  </w:pPr>
                  <w:r w:rsidRPr="00B11CBD">
                    <w:rPr>
                      <w:lang w:eastAsia="fr-FR"/>
                    </w:rPr>
                    <w:t xml:space="preserve">Item </w:t>
                  </w:r>
                  <w:r w:rsidR="002F56B7">
                    <w:rPr>
                      <w:lang w:eastAsia="fr-FR"/>
                    </w:rPr>
                    <w:t>5</w:t>
                  </w:r>
                  <w:r w:rsidRPr="00B11CBD">
                    <w:rPr>
                      <w:lang w:eastAsia="fr-FR"/>
                    </w:rPr>
                    <w:t xml:space="preserve"> (b) of the provisional agenda</w:t>
                  </w:r>
                </w:p>
                <w:p w14:paraId="734294A9" w14:textId="77777777" w:rsidR="00B11CBD" w:rsidRPr="00B11CBD" w:rsidRDefault="00B11CBD" w:rsidP="00B11CBD">
                  <w:pPr>
                    <w:spacing w:line="276" w:lineRule="auto"/>
                    <w:rPr>
                      <w:b/>
                      <w:lang w:eastAsia="fr-FR"/>
                    </w:rPr>
                  </w:pPr>
                  <w:r w:rsidRPr="00B11CBD">
                    <w:rPr>
                      <w:b/>
                      <w:lang w:eastAsia="fr-FR"/>
                    </w:rPr>
                    <w:t>Proposals of amendments to ATP:</w:t>
                  </w:r>
                </w:p>
                <w:p w14:paraId="4AF4284B" w14:textId="6917A7AD" w:rsidR="000C2B80" w:rsidRPr="00A92B1E" w:rsidRDefault="007D735A" w:rsidP="00B11CBD">
                  <w:pPr>
                    <w:rPr>
                      <w:b/>
                    </w:rPr>
                  </w:pPr>
                  <w:r>
                    <w:rPr>
                      <w:b/>
                      <w:lang w:eastAsia="fr-FR"/>
                    </w:rPr>
                    <w:t>n</w:t>
                  </w:r>
                  <w:r w:rsidR="00B11CBD" w:rsidRPr="00B11CBD">
                    <w:rPr>
                      <w:b/>
                      <w:lang w:eastAsia="fr-FR"/>
                    </w:rPr>
                    <w:t>ew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7FC1222E" w:rsidR="000C2B80" w:rsidRPr="00A92B1E" w:rsidRDefault="00810595" w:rsidP="000C2B80">
                  <w:pPr>
                    <w:spacing w:after="120"/>
                    <w:rPr>
                      <w:bCs/>
                    </w:rPr>
                  </w:pPr>
                  <w:r>
                    <w:t>19</w:t>
                  </w:r>
                  <w:r w:rsidR="00E7067E">
                    <w:t xml:space="preserve"> </w:t>
                  </w:r>
                  <w:r>
                    <w:t>October</w:t>
                  </w:r>
                  <w:r w:rsidR="00E7067E">
                    <w:t xml:space="preserve"> </w:t>
                  </w:r>
                  <w:r w:rsidR="000C2B80" w:rsidRPr="00A92B1E">
                    <w:rPr>
                      <w:bCs/>
                    </w:rPr>
                    <w:t>202</w:t>
                  </w:r>
                  <w:r w:rsidR="00E7067E">
                    <w:rPr>
                      <w:bCs/>
                    </w:rPr>
                    <w:t>1</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1EDCBF79" w14:textId="779A3E03" w:rsidR="004F11B1" w:rsidRDefault="004F11B1" w:rsidP="004F11B1">
      <w:pPr>
        <w:pStyle w:val="HChG"/>
      </w:pPr>
      <w:r>
        <w:tab/>
      </w:r>
      <w:r>
        <w:tab/>
        <w:t>Comments and proposal on declaration of conformity</w:t>
      </w:r>
      <w:r w:rsidR="006404D6">
        <w:t xml:space="preserve"> </w:t>
      </w:r>
      <w:r>
        <w:t>(Annex</w:t>
      </w:r>
      <w:r w:rsidR="006404D6">
        <w:t> </w:t>
      </w:r>
      <w:r>
        <w:t>1, Appendix 2 paragraph 7.3.6) and the dimensioning of Multi-Compartment, Multi-Temperature equipment (MTMC).</w:t>
      </w:r>
    </w:p>
    <w:p w14:paraId="15AA4F10" w14:textId="77777777" w:rsidR="004F11B1" w:rsidRDefault="004F11B1" w:rsidP="006404D6">
      <w:pPr>
        <w:pStyle w:val="H1G"/>
      </w:pPr>
      <w:r>
        <w:tab/>
      </w:r>
      <w:r>
        <w:tab/>
        <w:t xml:space="preserve">Transmitted by </w:t>
      </w:r>
      <w:proofErr w:type="spellStart"/>
      <w:r>
        <w:t>Transfrigoroute</w:t>
      </w:r>
      <w:proofErr w:type="spellEnd"/>
      <w:r>
        <w:t xml:space="preserve"> International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F11B1" w14:paraId="6106BA01" w14:textId="77777777" w:rsidTr="001503B1">
        <w:trPr>
          <w:jc w:val="center"/>
        </w:trPr>
        <w:tc>
          <w:tcPr>
            <w:tcW w:w="9637" w:type="dxa"/>
            <w:shd w:val="clear" w:color="auto" w:fill="auto"/>
          </w:tcPr>
          <w:p w14:paraId="41A7E4F1" w14:textId="77777777" w:rsidR="004F11B1" w:rsidRPr="0026588E" w:rsidRDefault="004F11B1" w:rsidP="001503B1">
            <w:pPr>
              <w:spacing w:before="240" w:after="120"/>
              <w:ind w:left="255"/>
              <w:rPr>
                <w:i/>
                <w:sz w:val="24"/>
              </w:rPr>
            </w:pPr>
            <w:r w:rsidRPr="0026588E">
              <w:rPr>
                <w:i/>
                <w:sz w:val="24"/>
              </w:rPr>
              <w:t>Summary</w:t>
            </w:r>
          </w:p>
        </w:tc>
      </w:tr>
      <w:tr w:rsidR="004F11B1" w:rsidRPr="00155F12" w14:paraId="334F0E4A" w14:textId="77777777" w:rsidTr="001503B1">
        <w:trPr>
          <w:jc w:val="center"/>
        </w:trPr>
        <w:tc>
          <w:tcPr>
            <w:tcW w:w="9637" w:type="dxa"/>
            <w:shd w:val="clear" w:color="auto" w:fill="auto"/>
          </w:tcPr>
          <w:p w14:paraId="5A1AAB01" w14:textId="5965A86F" w:rsidR="004F11B1" w:rsidRDefault="004F11B1" w:rsidP="001503B1">
            <w:pPr>
              <w:pStyle w:val="SingleTxtG"/>
              <w:ind w:left="1418" w:hanging="1134"/>
            </w:pPr>
            <w:r w:rsidRPr="0026588E">
              <w:rPr>
                <w:b/>
                <w:iCs/>
              </w:rPr>
              <w:t>Executive summary</w:t>
            </w:r>
            <w:r w:rsidRPr="0026588E">
              <w:rPr>
                <w:bCs/>
              </w:rPr>
              <w:t>:</w:t>
            </w:r>
            <w:r w:rsidRPr="0026588E">
              <w:rPr>
                <w:bCs/>
              </w:rPr>
              <w:tab/>
            </w:r>
            <w:r>
              <w:t>Comments and proposal on declaration of conformity</w:t>
            </w:r>
            <w:r w:rsidR="001E3D50">
              <w:t xml:space="preserve"> </w:t>
            </w:r>
            <w:r>
              <w:t>(Annex 1, Appendix 2 paragraph 7.3.6) and the dimensioning of Multi-Compartment, Multi-Temperature equipment (MTMC).</w:t>
            </w:r>
          </w:p>
          <w:p w14:paraId="4C1F1BC1" w14:textId="3A327A10" w:rsidR="004F11B1" w:rsidRDefault="004F11B1" w:rsidP="001503B1">
            <w:pPr>
              <w:pStyle w:val="SingleTxtG"/>
              <w:ind w:left="1418" w:hanging="1134"/>
            </w:pPr>
            <w:r w:rsidRPr="0026588E">
              <w:rPr>
                <w:b/>
                <w:iCs/>
              </w:rPr>
              <w:t>Action to be taken</w:t>
            </w:r>
            <w:r w:rsidRPr="0026588E">
              <w:rPr>
                <w:b/>
              </w:rPr>
              <w:t>:</w:t>
            </w:r>
            <w:r w:rsidRPr="0026588E">
              <w:rPr>
                <w:b/>
              </w:rPr>
              <w:tab/>
            </w:r>
            <w:r w:rsidRPr="00510DA1">
              <w:t>Annex 1. Model No. 14 Declaration of conformity for Multi Temperature – Multi compartment equipment Supplementary document to the Certificate of Compliance as per Annex 1, appendix 2 paragraph 7.3.6</w:t>
            </w:r>
            <w:r>
              <w:t>.</w:t>
            </w:r>
          </w:p>
          <w:p w14:paraId="0F7269BC" w14:textId="7B14266B" w:rsidR="004F11B1" w:rsidRPr="00155F12" w:rsidRDefault="004F11B1" w:rsidP="001E3D50">
            <w:pPr>
              <w:pStyle w:val="SingleTxtG"/>
              <w:ind w:left="1418" w:hanging="1134"/>
              <w:rPr>
                <w:lang w:val="en-US"/>
              </w:rPr>
            </w:pPr>
            <w:proofErr w:type="spellStart"/>
            <w:r w:rsidRPr="00990E85">
              <w:rPr>
                <w:b/>
                <w:iCs/>
                <w:lang w:val="fr-FR"/>
              </w:rPr>
              <w:t>Related</w:t>
            </w:r>
            <w:proofErr w:type="spellEnd"/>
            <w:r w:rsidRPr="00990E85">
              <w:rPr>
                <w:b/>
                <w:iCs/>
                <w:lang w:val="fr-FR"/>
              </w:rPr>
              <w:t xml:space="preserve"> </w:t>
            </w:r>
            <w:proofErr w:type="gramStart"/>
            <w:r w:rsidRPr="00990E85">
              <w:rPr>
                <w:b/>
                <w:iCs/>
                <w:lang w:val="fr-FR"/>
              </w:rPr>
              <w:t>documents</w:t>
            </w:r>
            <w:r w:rsidRPr="00990E85">
              <w:rPr>
                <w:bCs/>
                <w:lang w:val="fr-FR"/>
              </w:rPr>
              <w:t>:</w:t>
            </w:r>
            <w:proofErr w:type="gramEnd"/>
            <w:r w:rsidRPr="00990E85">
              <w:rPr>
                <w:lang w:val="fr-FR"/>
              </w:rPr>
              <w:tab/>
              <w:t>Guidance document MTMC - Version 5.3</w:t>
            </w:r>
            <w:r w:rsidR="0058228E">
              <w:rPr>
                <w:lang w:val="fr-FR"/>
              </w:rPr>
              <w:t xml:space="preserve"> </w:t>
            </w:r>
            <w:r w:rsidRPr="00155F12">
              <w:rPr>
                <w:lang w:val="en-US"/>
              </w:rPr>
              <w:t>ECE/</w:t>
            </w:r>
            <w:r w:rsidRPr="001E3D50">
              <w:t>TRANS</w:t>
            </w:r>
            <w:r w:rsidRPr="00155F12">
              <w:rPr>
                <w:lang w:val="en-US"/>
              </w:rPr>
              <w:t xml:space="preserve">/WP.11/2021/11 (France) - Treatment of specific application cases for the multi-temperature </w:t>
            </w:r>
            <w:r>
              <w:t xml:space="preserve">equipment dimensioning </w:t>
            </w:r>
            <w:r w:rsidRPr="00155F12">
              <w:rPr>
                <w:lang w:val="en-US"/>
              </w:rPr>
              <w:t>tool</w:t>
            </w:r>
          </w:p>
        </w:tc>
      </w:tr>
      <w:tr w:rsidR="004F11B1" w:rsidRPr="00155F12" w14:paraId="180E0274" w14:textId="77777777" w:rsidTr="001503B1">
        <w:trPr>
          <w:jc w:val="center"/>
        </w:trPr>
        <w:tc>
          <w:tcPr>
            <w:tcW w:w="9637" w:type="dxa"/>
            <w:shd w:val="clear" w:color="auto" w:fill="auto"/>
          </w:tcPr>
          <w:p w14:paraId="7AE4012D" w14:textId="77777777" w:rsidR="004F11B1" w:rsidRPr="00155F12" w:rsidRDefault="004F11B1" w:rsidP="001503B1">
            <w:pPr>
              <w:rPr>
                <w:lang w:val="en-US"/>
              </w:rPr>
            </w:pPr>
          </w:p>
        </w:tc>
      </w:tr>
    </w:tbl>
    <w:p w14:paraId="244DB636" w14:textId="131C3D54" w:rsidR="004F11B1" w:rsidRPr="00B43058" w:rsidRDefault="00B43058" w:rsidP="00B43058">
      <w:pPr>
        <w:pStyle w:val="HChG"/>
      </w:pPr>
      <w:r>
        <w:rPr>
          <w:rStyle w:val="HChGChar"/>
        </w:rPr>
        <w:tab/>
      </w:r>
      <w:r>
        <w:rPr>
          <w:rStyle w:val="HChGChar"/>
        </w:rPr>
        <w:tab/>
      </w:r>
      <w:r w:rsidR="004F11B1" w:rsidRPr="00B43058">
        <w:rPr>
          <w:rStyle w:val="HChGChar"/>
          <w:b/>
        </w:rPr>
        <w:t>Introduction</w:t>
      </w:r>
    </w:p>
    <w:p w14:paraId="5453F994" w14:textId="13532D18" w:rsidR="004F11B1" w:rsidRPr="00B43058" w:rsidRDefault="004F11B1" w:rsidP="00B43058">
      <w:pPr>
        <w:pStyle w:val="SingleTxtG"/>
      </w:pPr>
      <w:r w:rsidRPr="00B43058">
        <w:t>1.</w:t>
      </w:r>
      <w:r w:rsidR="00B43058">
        <w:tab/>
      </w:r>
      <w:r w:rsidRPr="00B43058">
        <w:t>Under the new provisions of the ATP as of July 6, 2020, all applications for ATP certifications for multi-temperature equipment manufactured after October 1, 2020, must include a declaration of conformity to be attached to the certification.</w:t>
      </w:r>
    </w:p>
    <w:p w14:paraId="349A72F1" w14:textId="063ED944" w:rsidR="004F11B1" w:rsidRPr="00B43058" w:rsidRDefault="004F11B1" w:rsidP="00B43058">
      <w:pPr>
        <w:pStyle w:val="SingleTxtG"/>
      </w:pPr>
      <w:r w:rsidRPr="00B43058">
        <w:t>2.</w:t>
      </w:r>
      <w:r w:rsidR="00B43058">
        <w:tab/>
      </w:r>
      <w:r w:rsidRPr="00B43058">
        <w:t xml:space="preserve">Guidance document MTMC - Version 5.3 has been published to provide explanation intended to help with a harmonized procedure to improve acceptance of equipment in the country of registration. </w:t>
      </w:r>
    </w:p>
    <w:p w14:paraId="243848AA" w14:textId="77777777" w:rsidR="004F11B1" w:rsidRDefault="004F11B1" w:rsidP="00B43058">
      <w:pPr>
        <w:pStyle w:val="HChG"/>
      </w:pPr>
      <w:r w:rsidRPr="005913BD">
        <w:rPr>
          <w:lang w:val="en-US"/>
        </w:rPr>
        <w:tab/>
      </w:r>
      <w:r w:rsidRPr="005913BD">
        <w:rPr>
          <w:lang w:val="en-US"/>
        </w:rPr>
        <w:tab/>
      </w:r>
      <w:r>
        <w:t>Proposal n°1</w:t>
      </w:r>
    </w:p>
    <w:p w14:paraId="1E4875AE" w14:textId="5A1F7782" w:rsidR="004F11B1" w:rsidRPr="00B43058" w:rsidRDefault="004F11B1" w:rsidP="00B43058">
      <w:pPr>
        <w:pStyle w:val="SingleTxtG"/>
      </w:pPr>
      <w:r w:rsidRPr="00B43058">
        <w:t xml:space="preserve">In the Guidance document MTMC </w:t>
      </w:r>
      <w:r w:rsidR="00674A7E">
        <w:rPr>
          <w:lang w:val="fr-CH"/>
        </w:rPr>
        <w:t>—</w:t>
      </w:r>
      <w:r w:rsidRPr="00B43058">
        <w:t xml:space="preserve"> Version 5.3, there is a proposal of lay-out for the declaration of conformity:</w:t>
      </w:r>
    </w:p>
    <w:p w14:paraId="5CD75878" w14:textId="01B0DB33" w:rsidR="004F11B1" w:rsidRPr="00B43058" w:rsidRDefault="004F11B1" w:rsidP="00EC308B">
      <w:pPr>
        <w:pStyle w:val="SingleTxtG"/>
        <w:ind w:left="1701"/>
      </w:pPr>
      <w:r w:rsidRPr="00B43058">
        <w:t xml:space="preserve">Annex 1. Model No. 14 Declaration of conformity for Multi Temperature </w:t>
      </w:r>
      <w:r w:rsidR="00EC308B">
        <w:t>—</w:t>
      </w:r>
      <w:r w:rsidRPr="00B43058">
        <w:t xml:space="preserve"> Multi compartment equipment Supplementary document to the Certificate of Compliance as per Annex 1, appendix 2 paragraph 7.3.6</w:t>
      </w:r>
    </w:p>
    <w:p w14:paraId="4C69DFA4" w14:textId="77777777" w:rsidR="004F11B1" w:rsidRPr="00B43058" w:rsidRDefault="004F11B1" w:rsidP="00B43058">
      <w:pPr>
        <w:pStyle w:val="SingleTxtG"/>
      </w:pPr>
      <w:r w:rsidRPr="00B43058">
        <w:t>In this Model No. 14, we propose to remove the information of Serial Number both for Insulated body and for Host unit.</w:t>
      </w:r>
    </w:p>
    <w:p w14:paraId="14B56D93" w14:textId="77777777" w:rsidR="004F11B1" w:rsidRDefault="004F11B1" w:rsidP="004F11B1">
      <w:pPr>
        <w:pStyle w:val="HChG"/>
      </w:pPr>
      <w:r>
        <w:lastRenderedPageBreak/>
        <w:tab/>
      </w:r>
      <w:r>
        <w:tab/>
      </w:r>
      <w:r w:rsidRPr="00E32A3B">
        <w:t>Justification</w:t>
      </w:r>
      <w:r>
        <w:t xml:space="preserve"> n°1</w:t>
      </w:r>
    </w:p>
    <w:p w14:paraId="0F394F76" w14:textId="77777777" w:rsidR="004F11B1" w:rsidRPr="00E6016A" w:rsidRDefault="004F11B1" w:rsidP="00E6016A">
      <w:pPr>
        <w:pStyle w:val="SingleTxtG"/>
      </w:pPr>
      <w:r w:rsidRPr="00E6016A">
        <w:t>This information is not relevant for the dimensioning of the equipment.</w:t>
      </w:r>
    </w:p>
    <w:p w14:paraId="24AA180B" w14:textId="77777777" w:rsidR="004F11B1" w:rsidRPr="00E6016A" w:rsidRDefault="004F11B1" w:rsidP="00E6016A">
      <w:pPr>
        <w:pStyle w:val="SingleTxtG"/>
      </w:pPr>
      <w:r w:rsidRPr="00E6016A">
        <w:t>The purpose of the declaration of conformity is to attest if an equipment is suitable for a particular transport operation. Therefore, the dimensioning is based only on technical data (dimensions, technical characteristics).</w:t>
      </w:r>
    </w:p>
    <w:p w14:paraId="2C691DFD" w14:textId="77777777" w:rsidR="004F11B1" w:rsidRPr="00E6016A" w:rsidRDefault="004F11B1" w:rsidP="00E6016A">
      <w:pPr>
        <w:pStyle w:val="SingleTxtG"/>
      </w:pPr>
      <w:r w:rsidRPr="00E6016A">
        <w:t>The risk of keeping the information “Serial Number” as part of the Model No. 14 is to increase administrative work by duplicating Certificate of Conformity for equipment with exact same specifications.</w:t>
      </w:r>
    </w:p>
    <w:p w14:paraId="1C6FAD9F" w14:textId="77777777" w:rsidR="004F11B1" w:rsidRPr="005913BD" w:rsidRDefault="004F11B1" w:rsidP="004F11B1">
      <w:pPr>
        <w:pStyle w:val="HChG"/>
      </w:pPr>
      <w:r>
        <w:tab/>
      </w:r>
      <w:r>
        <w:tab/>
      </w:r>
      <w:r w:rsidRPr="005913BD">
        <w:t>Proposal n°</w:t>
      </w:r>
      <w:r>
        <w:t>2</w:t>
      </w:r>
    </w:p>
    <w:p w14:paraId="03646CD4" w14:textId="6A547B92" w:rsidR="004F11B1" w:rsidRPr="00E6016A" w:rsidRDefault="004F11B1" w:rsidP="00E6016A">
      <w:pPr>
        <w:pStyle w:val="SingleTxtG"/>
      </w:pPr>
      <w:r w:rsidRPr="00E6016A">
        <w:t>1.</w:t>
      </w:r>
      <w:r w:rsidR="00E45DB2">
        <w:tab/>
      </w:r>
      <w:r w:rsidRPr="00E6016A">
        <w:t>Equipment manufacturers use an automated multi-temperature equipment dimensioning tool to demonstrate proper equipment dimensioning</w:t>
      </w:r>
    </w:p>
    <w:p w14:paraId="3EAFC01B" w14:textId="40887785" w:rsidR="004F11B1" w:rsidRPr="00E6016A" w:rsidRDefault="004F11B1" w:rsidP="00E6016A">
      <w:pPr>
        <w:pStyle w:val="SingleTxtG"/>
      </w:pPr>
      <w:r w:rsidRPr="00E6016A">
        <w:t>2.</w:t>
      </w:r>
      <w:r w:rsidR="00E45DB2">
        <w:tab/>
      </w:r>
      <w:r w:rsidRPr="00E6016A">
        <w:t xml:space="preserve">Back in 2013, </w:t>
      </w:r>
      <w:proofErr w:type="spellStart"/>
      <w:r w:rsidRPr="00E6016A">
        <w:t>Transfrigoroute</w:t>
      </w:r>
      <w:proofErr w:type="spellEnd"/>
      <w:r w:rsidRPr="00E6016A">
        <w:t xml:space="preserve"> International has developed such dimensioning tool with the intention to make it available to everyone who need it.</w:t>
      </w:r>
    </w:p>
    <w:p w14:paraId="7769A366" w14:textId="078688E3" w:rsidR="004F11B1" w:rsidRPr="004C5239" w:rsidRDefault="004F11B1" w:rsidP="00E6016A">
      <w:pPr>
        <w:pStyle w:val="SingleTxtG"/>
        <w:rPr>
          <w:b/>
          <w:bCs/>
        </w:rPr>
      </w:pPr>
      <w:r w:rsidRPr="00E6016A">
        <w:t>3.</w:t>
      </w:r>
      <w:r w:rsidR="00E45DB2">
        <w:tab/>
      </w:r>
      <w:r w:rsidRPr="00E6016A">
        <w:t xml:space="preserve">The main objective of this initiative was to have only one tool used to ensure consistency across all users and therefor all contracting parties. Thus, </w:t>
      </w:r>
      <w:r w:rsidRPr="004C5239">
        <w:rPr>
          <w:b/>
          <w:bCs/>
        </w:rPr>
        <w:t>avoiding distortion of decision from one authority to the other.</w:t>
      </w:r>
    </w:p>
    <w:p w14:paraId="2AAE66DC" w14:textId="1527C552" w:rsidR="004F11B1" w:rsidRPr="00E6016A" w:rsidRDefault="004F11B1" w:rsidP="00E6016A">
      <w:pPr>
        <w:pStyle w:val="SingleTxtG"/>
      </w:pPr>
      <w:r w:rsidRPr="00E6016A">
        <w:t>4.</w:t>
      </w:r>
      <w:r w:rsidR="00EC2A56">
        <w:tab/>
      </w:r>
      <w:r w:rsidRPr="00E6016A">
        <w:t>During discussion with Informal Working Group and 76th session of WP 11, it has been made clear that:</w:t>
      </w:r>
    </w:p>
    <w:p w14:paraId="7FACC17C" w14:textId="77777777" w:rsidR="004F11B1" w:rsidRPr="00E6016A" w:rsidRDefault="004F11B1" w:rsidP="008249EC">
      <w:pPr>
        <w:pStyle w:val="Bullet1G"/>
      </w:pPr>
      <w:r w:rsidRPr="00E6016A">
        <w:t>Any calculation tool can be used (assuming it’s been validated as described in Guidance document MTMC - Version 5.3)</w:t>
      </w:r>
    </w:p>
    <w:p w14:paraId="2187C1C3" w14:textId="77777777" w:rsidR="004F11B1" w:rsidRPr="00E6016A" w:rsidRDefault="004F11B1" w:rsidP="008249EC">
      <w:pPr>
        <w:pStyle w:val="Bullet1G"/>
      </w:pPr>
      <w:r w:rsidRPr="00E6016A">
        <w:t>The tool proposed by TI cannot be used as a reference tool</w:t>
      </w:r>
    </w:p>
    <w:p w14:paraId="7021184C" w14:textId="20012EBC" w:rsidR="004F11B1" w:rsidRPr="00E6016A" w:rsidRDefault="004F11B1" w:rsidP="00E6016A">
      <w:pPr>
        <w:pStyle w:val="SingleTxtG"/>
      </w:pPr>
      <w:r w:rsidRPr="00E6016A">
        <w:t>5.</w:t>
      </w:r>
      <w:r w:rsidR="00EC2A56">
        <w:tab/>
      </w:r>
      <w:r w:rsidRPr="00E6016A">
        <w:t>Nevertheless, our questions remain open:</w:t>
      </w:r>
    </w:p>
    <w:p w14:paraId="40AE203C" w14:textId="028277EB" w:rsidR="004F11B1" w:rsidRPr="00E6016A" w:rsidRDefault="004F11B1" w:rsidP="00E6016A">
      <w:pPr>
        <w:pStyle w:val="SingleTxtG"/>
      </w:pPr>
      <w:r w:rsidRPr="00E6016A">
        <w:tab/>
        <w:t>5.1</w:t>
      </w:r>
      <w:r w:rsidR="00C4392C">
        <w:t>.</w:t>
      </w:r>
      <w:r w:rsidR="00C4392C">
        <w:tab/>
      </w:r>
      <w:r w:rsidRPr="00E6016A">
        <w:t>How to avoid distortion of decision from one authority to the other?</w:t>
      </w:r>
    </w:p>
    <w:p w14:paraId="731764C0" w14:textId="623F1476" w:rsidR="004F11B1" w:rsidRPr="00E6016A" w:rsidRDefault="004F11B1" w:rsidP="00E6016A">
      <w:pPr>
        <w:pStyle w:val="SingleTxtG"/>
      </w:pPr>
      <w:r w:rsidRPr="00E6016A">
        <w:tab/>
        <w:t>5.2</w:t>
      </w:r>
      <w:r w:rsidR="00C4392C">
        <w:t>.</w:t>
      </w:r>
      <w:r w:rsidR="00C4392C">
        <w:tab/>
      </w:r>
      <w:r w:rsidRPr="00E6016A">
        <w:t>What happen in case of distortion?</w:t>
      </w:r>
    </w:p>
    <w:p w14:paraId="63811A7A" w14:textId="227199A0" w:rsidR="004F11B1" w:rsidRPr="00E6016A" w:rsidRDefault="004F11B1" w:rsidP="00E6016A">
      <w:pPr>
        <w:pStyle w:val="SingleTxtG"/>
      </w:pPr>
      <w:bookmarkStart w:id="0" w:name="_Hlk83223514"/>
      <w:r w:rsidRPr="00E6016A">
        <w:t>6.</w:t>
      </w:r>
      <w:r w:rsidR="00C4392C">
        <w:tab/>
      </w:r>
      <w:r w:rsidRPr="00E6016A">
        <w:t xml:space="preserve">Concerning the point 5.1, TI </w:t>
      </w:r>
      <w:bookmarkEnd w:id="0"/>
      <w:r w:rsidRPr="00E6016A">
        <w:t>wants to remind here the Article 2 of ATP (extract below)</w:t>
      </w:r>
    </w:p>
    <w:p w14:paraId="6AE1968E" w14:textId="77777777" w:rsidR="004F11B1" w:rsidRPr="00E6016A" w:rsidRDefault="004F11B1" w:rsidP="00E6016A">
      <w:pPr>
        <w:pStyle w:val="SingleTxtG"/>
      </w:pPr>
      <w:r w:rsidRPr="00E6016A">
        <w:t>“Each Contracting Party shall recognize the validity of certificates of compliance issued in conformity with annex 1, appendix 1, paragraph 3 to this Agreement by the competent authority of another Contracting Party.”</w:t>
      </w:r>
    </w:p>
    <w:p w14:paraId="6B59B66D" w14:textId="77777777" w:rsidR="004F11B1" w:rsidRPr="00E6016A" w:rsidRDefault="004F11B1" w:rsidP="00E6016A">
      <w:pPr>
        <w:pStyle w:val="SingleTxtG"/>
      </w:pPr>
      <w:r w:rsidRPr="00E6016A">
        <w:t>One possibility could be to include the provision 7.3.6 and related Declaration of Conformity on the scope of the mandatory mutual recognition described in Article 2.</w:t>
      </w:r>
    </w:p>
    <w:p w14:paraId="6BB862B7" w14:textId="77777777" w:rsidR="004F11B1" w:rsidRPr="00E6016A" w:rsidRDefault="004F11B1" w:rsidP="00E6016A">
      <w:pPr>
        <w:pStyle w:val="SingleTxtG"/>
      </w:pPr>
      <w:r w:rsidRPr="00E6016A">
        <w:t>Another action could be inspired by the French proposal (ECE-TRANS-WP11-2021-11f). Indeed, French representatives of the WP 11 is proposing to share with all contracting parties all specific rules defined by French local authorities concerning their calculation tool.</w:t>
      </w:r>
    </w:p>
    <w:p w14:paraId="1BAFEEB5" w14:textId="77777777" w:rsidR="004F11B1" w:rsidRPr="00E6016A" w:rsidRDefault="004F11B1" w:rsidP="00E6016A">
      <w:pPr>
        <w:pStyle w:val="SingleTxtG"/>
      </w:pPr>
      <w:r w:rsidRPr="00E6016A">
        <w:t>TI support this initiative and agree this is a good step, but it might not be enough because those rules are proposed only in the handbook and there is no guarantee that other contracting parties will agree and apply same rules.</w:t>
      </w:r>
    </w:p>
    <w:p w14:paraId="476562B5" w14:textId="7A6A52AE" w:rsidR="004F11B1" w:rsidRPr="00E6016A" w:rsidRDefault="004F11B1" w:rsidP="00E6016A">
      <w:pPr>
        <w:pStyle w:val="SingleTxtG"/>
      </w:pPr>
      <w:r w:rsidRPr="00E6016A">
        <w:t>7.</w:t>
      </w:r>
      <w:r w:rsidR="00C4392C">
        <w:tab/>
      </w:r>
      <w:r w:rsidRPr="00E6016A">
        <w:t>Concerning the point 5.2, TI would like to see a procedure on how to solve a case of distortion of decision from one authority to the other.</w:t>
      </w:r>
    </w:p>
    <w:p w14:paraId="17888223" w14:textId="77777777" w:rsidR="004F11B1" w:rsidRPr="00E6016A" w:rsidRDefault="004F11B1" w:rsidP="00E6016A">
      <w:pPr>
        <w:pStyle w:val="SingleTxtG"/>
      </w:pPr>
      <w:r w:rsidRPr="00E6016A">
        <w:t xml:space="preserve">Maybe the Informal Working Group with contribution of any interested member could establish an arbitration committee that can take quick action when a distortion of competition arises. </w:t>
      </w:r>
    </w:p>
    <w:p w14:paraId="6AF53E05" w14:textId="77777777" w:rsidR="004F11B1" w:rsidRPr="00E6016A" w:rsidRDefault="004F11B1" w:rsidP="00E6016A">
      <w:pPr>
        <w:pStyle w:val="SingleTxtG"/>
      </w:pPr>
    </w:p>
    <w:p w14:paraId="5D5946B1" w14:textId="77777777" w:rsidR="004F11B1" w:rsidRDefault="004F11B1" w:rsidP="004F11B1">
      <w:pPr>
        <w:pStyle w:val="HChG"/>
      </w:pPr>
      <w:r>
        <w:lastRenderedPageBreak/>
        <w:tab/>
      </w:r>
      <w:r>
        <w:tab/>
      </w:r>
      <w:bookmarkStart w:id="1" w:name="_Hlk83221143"/>
      <w:r>
        <w:t>Justification</w:t>
      </w:r>
      <w:bookmarkEnd w:id="1"/>
    </w:p>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4F11B1" w14:paraId="382A0E1A" w14:textId="77777777" w:rsidTr="001503B1">
        <w:tc>
          <w:tcPr>
            <w:tcW w:w="1421" w:type="dxa"/>
            <w:shd w:val="clear" w:color="auto" w:fill="auto"/>
          </w:tcPr>
          <w:p w14:paraId="44F9DE53" w14:textId="77777777" w:rsidR="004F11B1" w:rsidRDefault="004F11B1" w:rsidP="001503B1">
            <w:pPr>
              <w:pStyle w:val="SingleTxtG"/>
              <w:ind w:left="0" w:right="0"/>
            </w:pPr>
            <w:r>
              <w:t>Cost</w:t>
            </w:r>
            <w:r w:rsidRPr="00204779">
              <w:t>:</w:t>
            </w:r>
          </w:p>
        </w:tc>
        <w:tc>
          <w:tcPr>
            <w:tcW w:w="5700" w:type="dxa"/>
            <w:shd w:val="clear" w:color="auto" w:fill="auto"/>
          </w:tcPr>
          <w:p w14:paraId="40D2F0D1" w14:textId="77777777" w:rsidR="004F11B1" w:rsidRDefault="004F11B1" w:rsidP="001503B1">
            <w:pPr>
              <w:pStyle w:val="SingleTxtG"/>
              <w:ind w:left="0"/>
              <w:rPr>
                <w:lang w:val="en-US"/>
              </w:rPr>
            </w:pPr>
            <w:r>
              <w:t xml:space="preserve">In case of </w:t>
            </w:r>
            <w:r w:rsidRPr="005B75B1">
              <w:rPr>
                <w:lang w:val="en-US"/>
              </w:rPr>
              <w:t>distortion of decision from one authority to the other</w:t>
            </w:r>
            <w:r>
              <w:rPr>
                <w:lang w:val="en-US"/>
              </w:rPr>
              <w:t xml:space="preserve">, one or several equipment could be blocked and not useable by the customer (i.e. transport </w:t>
            </w:r>
            <w:proofErr w:type="spellStart"/>
            <w:r>
              <w:rPr>
                <w:lang w:val="en-US"/>
              </w:rPr>
              <w:t>Cie</w:t>
            </w:r>
            <w:proofErr w:type="spellEnd"/>
            <w:r>
              <w:rPr>
                <w:lang w:val="en-US"/>
              </w:rPr>
              <w:t>).</w:t>
            </w:r>
          </w:p>
          <w:p w14:paraId="776D5385" w14:textId="77777777" w:rsidR="004F11B1" w:rsidRDefault="004F11B1" w:rsidP="001503B1">
            <w:pPr>
              <w:pStyle w:val="SingleTxtG"/>
              <w:ind w:left="0"/>
            </w:pPr>
            <w:r>
              <w:rPr>
                <w:lang w:val="en-US"/>
              </w:rPr>
              <w:t xml:space="preserve">This situation will be at the disfavor of customer and could stay for a long time if no </w:t>
            </w:r>
            <w:r w:rsidRPr="0086687B">
              <w:rPr>
                <w:lang w:val="en-US"/>
              </w:rPr>
              <w:t>arbitration process</w:t>
            </w:r>
            <w:r>
              <w:rPr>
                <w:lang w:val="en-US"/>
              </w:rPr>
              <w:t xml:space="preserve"> is in place. </w:t>
            </w:r>
          </w:p>
        </w:tc>
      </w:tr>
    </w:tbl>
    <w:p w14:paraId="406BCDCB" w14:textId="77777777" w:rsidR="004F11B1" w:rsidRPr="00E03281" w:rsidRDefault="004F11B1" w:rsidP="004F11B1">
      <w:pPr>
        <w:pStyle w:val="SingleTxtG"/>
        <w:spacing w:before="240" w:after="0"/>
        <w:jc w:val="center"/>
        <w:rPr>
          <w:u w:val="single"/>
        </w:rPr>
      </w:pPr>
      <w:r>
        <w:rPr>
          <w:u w:val="single"/>
        </w:rPr>
        <w:tab/>
      </w:r>
      <w:r>
        <w:rPr>
          <w:u w:val="single"/>
        </w:rPr>
        <w:tab/>
      </w:r>
      <w:r>
        <w:rPr>
          <w:u w:val="single"/>
        </w:rPr>
        <w:tab/>
      </w:r>
    </w:p>
    <w:sectPr w:rsidR="004F11B1" w:rsidRPr="00E03281" w:rsidSect="002340E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0CBA3" w14:textId="77777777" w:rsidR="0017319E" w:rsidRPr="00FB1744" w:rsidRDefault="0017319E" w:rsidP="00FB1744">
      <w:pPr>
        <w:pStyle w:val="Footer"/>
      </w:pPr>
    </w:p>
  </w:endnote>
  <w:endnote w:type="continuationSeparator" w:id="0">
    <w:p w14:paraId="41A1411C" w14:textId="77777777" w:rsidR="0017319E" w:rsidRPr="00FB1744" w:rsidRDefault="0017319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874D" w14:textId="77777777" w:rsidR="0017319E" w:rsidRPr="00FB1744" w:rsidRDefault="0017319E" w:rsidP="00FB1744">
      <w:pPr>
        <w:tabs>
          <w:tab w:val="right" w:pos="2155"/>
        </w:tabs>
        <w:spacing w:after="80" w:line="240" w:lineRule="auto"/>
        <w:ind w:left="680"/>
      </w:pPr>
      <w:r>
        <w:rPr>
          <w:u w:val="single"/>
        </w:rPr>
        <w:tab/>
      </w:r>
    </w:p>
  </w:footnote>
  <w:footnote w:type="continuationSeparator" w:id="0">
    <w:p w14:paraId="3A05ACA8" w14:textId="77777777" w:rsidR="0017319E" w:rsidRPr="00FB1744" w:rsidRDefault="0017319E"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0DE" w14:textId="264CB7EB" w:rsidR="002D18CF" w:rsidRPr="000C2B80" w:rsidRDefault="000C2B80" w:rsidP="002D18CF">
    <w:pPr>
      <w:pStyle w:val="Header"/>
      <w:rPr>
        <w:lang w:val="fr-CH"/>
      </w:rPr>
    </w:pPr>
    <w:r>
      <w:rPr>
        <w:lang w:val="fr-CH"/>
      </w:rPr>
      <w:t>INF.</w:t>
    </w:r>
    <w:r w:rsidR="00C4392C">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DE9" w14:textId="75FBC6DF" w:rsidR="002D18CF" w:rsidRPr="000C2B80" w:rsidRDefault="000C2B80" w:rsidP="002D18CF">
    <w:pPr>
      <w:pStyle w:val="Header"/>
      <w:jc w:val="right"/>
      <w:rPr>
        <w:lang w:val="fr-CH"/>
      </w:rPr>
    </w:pPr>
    <w:r>
      <w:rPr>
        <w:lang w:val="fr-CH"/>
      </w:rPr>
      <w:t>INF.</w:t>
    </w:r>
    <w:r w:rsidR="00C4392C">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9103AA"/>
    <w:multiLevelType w:val="hybridMultilevel"/>
    <w:tmpl w:val="1F56854E"/>
    <w:lvl w:ilvl="0" w:tplc="F330FCB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3" w15:restartNumberingAfterBreak="0">
    <w:nsid w:val="56F37CDC"/>
    <w:multiLevelType w:val="hybridMultilevel"/>
    <w:tmpl w:val="E21A867A"/>
    <w:lvl w:ilvl="0" w:tplc="CD889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DE47AB"/>
    <w:multiLevelType w:val="hybridMultilevel"/>
    <w:tmpl w:val="169E33CA"/>
    <w:lvl w:ilvl="0" w:tplc="F6104950">
      <w:start w:val="1"/>
      <w:numFmt w:val="upperLetter"/>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4"/>
  </w:num>
  <w:num w:numId="5">
    <w:abstractNumId w:val="25"/>
  </w:num>
  <w:num w:numId="6">
    <w:abstractNumId w:val="33"/>
  </w:num>
  <w:num w:numId="7">
    <w:abstractNumId w:val="13"/>
  </w:num>
  <w:num w:numId="8">
    <w:abstractNumId w:val="1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9"/>
  </w:num>
  <w:num w:numId="21">
    <w:abstractNumId w:val="15"/>
  </w:num>
  <w:num w:numId="22">
    <w:abstractNumId w:val="26"/>
  </w:num>
  <w:num w:numId="23">
    <w:abstractNumId w:val="32"/>
  </w:num>
  <w:num w:numId="24">
    <w:abstractNumId w:val="12"/>
  </w:num>
  <w:num w:numId="25">
    <w:abstractNumId w:val="31"/>
  </w:num>
  <w:num w:numId="26">
    <w:abstractNumId w:val="22"/>
  </w:num>
  <w:num w:numId="27">
    <w:abstractNumId w:val="27"/>
  </w:num>
  <w:num w:numId="28">
    <w:abstractNumId w:val="11"/>
  </w:num>
  <w:num w:numId="29">
    <w:abstractNumId w:val="29"/>
  </w:num>
  <w:num w:numId="30">
    <w:abstractNumId w:val="21"/>
  </w:num>
  <w:num w:numId="31">
    <w:abstractNumId w:val="28"/>
  </w:num>
  <w:num w:numId="32">
    <w:abstractNumId w:val="30"/>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B4764"/>
    <w:rsid w:val="000C29EF"/>
    <w:rsid w:val="000C2B80"/>
    <w:rsid w:val="000C5388"/>
    <w:rsid w:val="000D1B89"/>
    <w:rsid w:val="001170DC"/>
    <w:rsid w:val="0017319E"/>
    <w:rsid w:val="001A09F4"/>
    <w:rsid w:val="001D4B01"/>
    <w:rsid w:val="001E3D50"/>
    <w:rsid w:val="00231E6A"/>
    <w:rsid w:val="002340E4"/>
    <w:rsid w:val="00247E2C"/>
    <w:rsid w:val="00277865"/>
    <w:rsid w:val="00282508"/>
    <w:rsid w:val="002D18CF"/>
    <w:rsid w:val="002D6C53"/>
    <w:rsid w:val="002F5595"/>
    <w:rsid w:val="002F56B7"/>
    <w:rsid w:val="00334F6A"/>
    <w:rsid w:val="00342AC8"/>
    <w:rsid w:val="003B4550"/>
    <w:rsid w:val="003C0A45"/>
    <w:rsid w:val="003F6885"/>
    <w:rsid w:val="004255FE"/>
    <w:rsid w:val="00426FA2"/>
    <w:rsid w:val="0043448D"/>
    <w:rsid w:val="00461253"/>
    <w:rsid w:val="00461F59"/>
    <w:rsid w:val="004934C6"/>
    <w:rsid w:val="004C5239"/>
    <w:rsid w:val="004F11B1"/>
    <w:rsid w:val="005042C2"/>
    <w:rsid w:val="00506C12"/>
    <w:rsid w:val="00517761"/>
    <w:rsid w:val="0056599A"/>
    <w:rsid w:val="0058228E"/>
    <w:rsid w:val="00587690"/>
    <w:rsid w:val="005C1032"/>
    <w:rsid w:val="005C70FF"/>
    <w:rsid w:val="005D024A"/>
    <w:rsid w:val="006404D6"/>
    <w:rsid w:val="00663883"/>
    <w:rsid w:val="00671529"/>
    <w:rsid w:val="00673AE6"/>
    <w:rsid w:val="00674A7E"/>
    <w:rsid w:val="00676B6A"/>
    <w:rsid w:val="00687DFE"/>
    <w:rsid w:val="006C0D53"/>
    <w:rsid w:val="006C3C01"/>
    <w:rsid w:val="00717266"/>
    <w:rsid w:val="00720DF7"/>
    <w:rsid w:val="007268F9"/>
    <w:rsid w:val="00746E88"/>
    <w:rsid w:val="00761D32"/>
    <w:rsid w:val="00770E69"/>
    <w:rsid w:val="007C31F9"/>
    <w:rsid w:val="007C52B0"/>
    <w:rsid w:val="007D735A"/>
    <w:rsid w:val="00810595"/>
    <w:rsid w:val="008249EC"/>
    <w:rsid w:val="009317DD"/>
    <w:rsid w:val="009411B4"/>
    <w:rsid w:val="00994049"/>
    <w:rsid w:val="009A63F6"/>
    <w:rsid w:val="009D0139"/>
    <w:rsid w:val="009F5CDC"/>
    <w:rsid w:val="00A068BC"/>
    <w:rsid w:val="00A429CD"/>
    <w:rsid w:val="00A649AD"/>
    <w:rsid w:val="00A7359C"/>
    <w:rsid w:val="00A775CF"/>
    <w:rsid w:val="00AB3C7E"/>
    <w:rsid w:val="00AC33BC"/>
    <w:rsid w:val="00AD0D0E"/>
    <w:rsid w:val="00B06045"/>
    <w:rsid w:val="00B11CBD"/>
    <w:rsid w:val="00B40A4A"/>
    <w:rsid w:val="00B43058"/>
    <w:rsid w:val="00B45CFD"/>
    <w:rsid w:val="00B83190"/>
    <w:rsid w:val="00BC792B"/>
    <w:rsid w:val="00BD263F"/>
    <w:rsid w:val="00C35A27"/>
    <w:rsid w:val="00C4392C"/>
    <w:rsid w:val="00C94CCC"/>
    <w:rsid w:val="00CB7AF4"/>
    <w:rsid w:val="00CF36F8"/>
    <w:rsid w:val="00D41E2B"/>
    <w:rsid w:val="00D56775"/>
    <w:rsid w:val="00DC306A"/>
    <w:rsid w:val="00E00163"/>
    <w:rsid w:val="00E02C2B"/>
    <w:rsid w:val="00E45DB2"/>
    <w:rsid w:val="00E6016A"/>
    <w:rsid w:val="00E7067E"/>
    <w:rsid w:val="00EB4157"/>
    <w:rsid w:val="00EC2A56"/>
    <w:rsid w:val="00EC308B"/>
    <w:rsid w:val="00ED6C48"/>
    <w:rsid w:val="00F65F5D"/>
    <w:rsid w:val="00F86A3A"/>
    <w:rsid w:val="00F90144"/>
    <w:rsid w:val="00FB0F72"/>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rsid w:val="001D4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3.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761</Words>
  <Characters>4338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subject>2009978</dc:subject>
  <dc:creator>cg</dc:creator>
  <cp:lastModifiedBy>Nadiya Dzyubynska</cp:lastModifiedBy>
  <cp:revision>19</cp:revision>
  <cp:lastPrinted>2021-10-19T09:18:00Z</cp:lastPrinted>
  <dcterms:created xsi:type="dcterms:W3CDTF">2021-10-19T09:21:00Z</dcterms:created>
  <dcterms:modified xsi:type="dcterms:W3CDTF">2021-10-19T11:07:00Z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