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781" w:type="dxa"/>
        <w:tblLayout w:type="fixed"/>
        <w:tblCellMar>
          <w:left w:w="0" w:type="dxa"/>
          <w:right w:w="0" w:type="dxa"/>
        </w:tblCellMar>
        <w:tblLook w:val="01E0" w:firstRow="1" w:lastRow="1" w:firstColumn="1" w:lastColumn="1" w:noHBand="0" w:noVBand="0"/>
      </w:tblPr>
      <w:tblGrid>
        <w:gridCol w:w="9781"/>
      </w:tblGrid>
      <w:tr w:rsidR="004D5D66" w:rsidRPr="00663883" w14:paraId="78AE350F" w14:textId="77777777" w:rsidTr="004E5F24">
        <w:trPr>
          <w:cantSplit/>
          <w:trHeight w:hRule="exact" w:val="851"/>
        </w:trPr>
        <w:tc>
          <w:tcPr>
            <w:tcW w:w="9781" w:type="dxa"/>
            <w:tcBorders>
              <w:bottom w:val="single" w:sz="4" w:space="0" w:color="auto"/>
            </w:tcBorders>
            <w:vAlign w:val="bottom"/>
          </w:tcPr>
          <w:p w14:paraId="3DA4DC8F" w14:textId="540D00A0" w:rsidR="004D5D66" w:rsidRPr="00663883" w:rsidRDefault="004D5D66" w:rsidP="004E5F24">
            <w:pPr>
              <w:ind w:firstLine="284"/>
              <w:jc w:val="right"/>
              <w:rPr>
                <w:b/>
                <w:bCs/>
                <w:color w:val="000000"/>
                <w:spacing w:val="-3"/>
                <w:sz w:val="40"/>
                <w:szCs w:val="40"/>
              </w:rPr>
            </w:pPr>
            <w:r w:rsidRPr="00663883">
              <w:rPr>
                <w:b/>
                <w:bCs/>
                <w:color w:val="000000"/>
                <w:spacing w:val="-3"/>
                <w:sz w:val="40"/>
                <w:szCs w:val="40"/>
              </w:rPr>
              <w:t>INF.</w:t>
            </w:r>
            <w:r>
              <w:rPr>
                <w:b/>
                <w:bCs/>
                <w:color w:val="000000"/>
                <w:spacing w:val="-3"/>
                <w:sz w:val="40"/>
                <w:szCs w:val="40"/>
              </w:rPr>
              <w:t>1</w:t>
            </w:r>
          </w:p>
        </w:tc>
      </w:tr>
    </w:tbl>
    <w:p w14:paraId="7BB521F7" w14:textId="1E940928" w:rsidR="00442A83" w:rsidRDefault="00C96DF2" w:rsidP="00A07948">
      <w:pPr>
        <w:spacing w:before="120"/>
        <w:jc w:val="both"/>
        <w:rPr>
          <w:b/>
          <w:sz w:val="28"/>
          <w:szCs w:val="28"/>
        </w:rPr>
      </w:pPr>
      <w:r w:rsidRPr="00832334">
        <w:rPr>
          <w:b/>
          <w:sz w:val="28"/>
          <w:szCs w:val="28"/>
        </w:rPr>
        <w:t>Economic Commission for Europe</w:t>
      </w:r>
    </w:p>
    <w:p w14:paraId="6EE4F3AB" w14:textId="77777777" w:rsidR="00C96DF2" w:rsidRPr="008F31D2" w:rsidRDefault="008F31D2" w:rsidP="00A07948">
      <w:pPr>
        <w:spacing w:before="120"/>
        <w:jc w:val="both"/>
        <w:rPr>
          <w:sz w:val="28"/>
          <w:szCs w:val="28"/>
        </w:rPr>
      </w:pPr>
      <w:r>
        <w:rPr>
          <w:sz w:val="28"/>
          <w:szCs w:val="28"/>
        </w:rPr>
        <w:t>Inland Transport Committee</w:t>
      </w:r>
    </w:p>
    <w:p w14:paraId="6064D989" w14:textId="77777777" w:rsidR="008F31D2" w:rsidRDefault="008F31D2" w:rsidP="00A07948">
      <w:pPr>
        <w:spacing w:before="120"/>
        <w:jc w:val="both"/>
        <w:rPr>
          <w:b/>
          <w:sz w:val="24"/>
          <w:szCs w:val="24"/>
        </w:rPr>
      </w:pPr>
      <w:r>
        <w:rPr>
          <w:b/>
          <w:sz w:val="24"/>
          <w:szCs w:val="24"/>
        </w:rPr>
        <w:t>Wor</w:t>
      </w:r>
      <w:r w:rsidR="00513010">
        <w:rPr>
          <w:b/>
          <w:sz w:val="24"/>
          <w:szCs w:val="24"/>
        </w:rPr>
        <w:t>king Party on the Transport of Perishable Foodstuffs</w:t>
      </w:r>
    </w:p>
    <w:p w14:paraId="6B652028" w14:textId="476D6D90" w:rsidR="008406E1" w:rsidRPr="008D7010" w:rsidRDefault="008406E1" w:rsidP="008406E1">
      <w:pPr>
        <w:spacing w:before="120"/>
        <w:rPr>
          <w:b/>
        </w:rPr>
      </w:pPr>
      <w:r w:rsidRPr="008D7010">
        <w:rPr>
          <w:b/>
        </w:rPr>
        <w:t>S</w:t>
      </w:r>
      <w:r>
        <w:rPr>
          <w:b/>
        </w:rPr>
        <w:t>eventy-</w:t>
      </w:r>
      <w:r w:rsidR="007E3546">
        <w:rPr>
          <w:b/>
        </w:rPr>
        <w:t>seventh</w:t>
      </w:r>
      <w:r w:rsidR="007E3546" w:rsidRPr="008D7010">
        <w:rPr>
          <w:b/>
        </w:rPr>
        <w:t xml:space="preserve"> </w:t>
      </w:r>
      <w:r w:rsidRPr="008D7010">
        <w:rPr>
          <w:b/>
        </w:rPr>
        <w:t>session</w:t>
      </w:r>
    </w:p>
    <w:p w14:paraId="218F8E7A" w14:textId="0D7F37DA" w:rsidR="008406E1" w:rsidRDefault="008406E1" w:rsidP="008406E1">
      <w:r w:rsidRPr="008D7010">
        <w:t xml:space="preserve">Geneva, </w:t>
      </w:r>
      <w:r w:rsidR="007E3546">
        <w:t>26</w:t>
      </w:r>
      <w:r w:rsidR="00BE6A13">
        <w:t>-</w:t>
      </w:r>
      <w:r w:rsidR="007E3546">
        <w:t xml:space="preserve">29 </w:t>
      </w:r>
      <w:r w:rsidR="00BE6A13">
        <w:t xml:space="preserve">October </w:t>
      </w:r>
      <w:r w:rsidR="007E3546">
        <w:t>2021</w:t>
      </w:r>
    </w:p>
    <w:p w14:paraId="1B59A02F" w14:textId="77777777" w:rsidR="008406E1" w:rsidRDefault="008406E1" w:rsidP="008406E1">
      <w:pPr>
        <w:rPr>
          <w:lang w:val="en-US"/>
        </w:rPr>
      </w:pPr>
      <w:r>
        <w:rPr>
          <w:lang w:val="en-US"/>
        </w:rPr>
        <w:t>Item 1 of the provisional agenda</w:t>
      </w:r>
    </w:p>
    <w:p w14:paraId="075912D9" w14:textId="40790619" w:rsidR="00B9477C" w:rsidRPr="0067090D" w:rsidRDefault="008406E1" w:rsidP="00A07948">
      <w:pPr>
        <w:jc w:val="both"/>
        <w:rPr>
          <w:b/>
        </w:rPr>
      </w:pPr>
      <w:r w:rsidRPr="00F31B24">
        <w:rPr>
          <w:b/>
          <w:lang w:val="en-US"/>
        </w:rPr>
        <w:t>Adoption of the agenda</w:t>
      </w:r>
    </w:p>
    <w:p w14:paraId="19A6536E" w14:textId="77777777" w:rsidR="000438D2" w:rsidRDefault="000438D2" w:rsidP="000438D2">
      <w:pPr>
        <w:pStyle w:val="HChG"/>
        <w:jc w:val="both"/>
      </w:pPr>
      <w:r>
        <w:tab/>
      </w:r>
      <w:r>
        <w:tab/>
        <w:t>List of documents by agenda item and annotations</w:t>
      </w:r>
    </w:p>
    <w:p w14:paraId="787780FC" w14:textId="02121A8C" w:rsidR="00262BF9" w:rsidRDefault="00934EB4" w:rsidP="00A07948">
      <w:pPr>
        <w:pStyle w:val="H1G"/>
        <w:jc w:val="both"/>
      </w:pPr>
      <w:r>
        <w:tab/>
      </w:r>
      <w:r w:rsidR="00230D7B">
        <w:t>1</w:t>
      </w:r>
      <w:r w:rsidR="001921F0">
        <w:t>.</w:t>
      </w:r>
      <w:r w:rsidR="001921F0">
        <w:tab/>
      </w:r>
      <w:r w:rsidR="00262BF9">
        <w:t>A</w:t>
      </w:r>
      <w:r w:rsidR="0026285E">
        <w:t>doption of the a</w:t>
      </w:r>
      <w:r w:rsidR="00262BF9">
        <w:t>genda</w:t>
      </w:r>
    </w:p>
    <w:p w14:paraId="1B9C2B53" w14:textId="7FC8ADB0" w:rsidR="00513010" w:rsidRDefault="00513010" w:rsidP="008406E1">
      <w:pPr>
        <w:pStyle w:val="SingleTxtG"/>
        <w:ind w:firstLine="567"/>
      </w:pPr>
      <w:r>
        <w:t xml:space="preserve">In accordance with </w:t>
      </w:r>
      <w:r w:rsidR="00CD2B0F">
        <w:t>WP.11's</w:t>
      </w:r>
      <w:r>
        <w:t xml:space="preserve"> rules of procedure, the first item on the provisional agenda is the adoption of the agenda</w:t>
      </w:r>
      <w:r w:rsidR="00C825F5">
        <w:t>.</w:t>
      </w:r>
    </w:p>
    <w:tbl>
      <w:tblPr>
        <w:tblW w:w="8505" w:type="dxa"/>
        <w:tblLayout w:type="fixed"/>
        <w:tblCellMar>
          <w:left w:w="0" w:type="dxa"/>
          <w:right w:w="0" w:type="dxa"/>
        </w:tblCellMar>
        <w:tblLook w:val="01E0" w:firstRow="1" w:lastRow="1" w:firstColumn="1" w:lastColumn="1" w:noHBand="0" w:noVBand="0"/>
      </w:tblPr>
      <w:tblGrid>
        <w:gridCol w:w="4676"/>
        <w:gridCol w:w="3829"/>
      </w:tblGrid>
      <w:tr w:rsidR="0059648E" w14:paraId="3A7CE863" w14:textId="77777777" w:rsidTr="004E5F24">
        <w:tc>
          <w:tcPr>
            <w:tcW w:w="4676" w:type="dxa"/>
            <w:shd w:val="clear" w:color="auto" w:fill="auto"/>
          </w:tcPr>
          <w:p w14:paraId="61058D55" w14:textId="0C5857B2" w:rsidR="0059648E" w:rsidRDefault="0059648E" w:rsidP="004E5F24">
            <w:pPr>
              <w:pStyle w:val="SingleTxtG"/>
              <w:spacing w:before="40"/>
              <w:ind w:right="0"/>
            </w:pPr>
            <w:r w:rsidRPr="00D92CAB">
              <w:t>ECE/TRANS/WP.11/</w:t>
            </w:r>
            <w:r w:rsidR="00EB54ED">
              <w:t>244</w:t>
            </w:r>
            <w:r>
              <w:t xml:space="preserve"> (Secretariat)</w:t>
            </w:r>
          </w:p>
        </w:tc>
        <w:tc>
          <w:tcPr>
            <w:tcW w:w="3829" w:type="dxa"/>
            <w:shd w:val="clear" w:color="auto" w:fill="auto"/>
          </w:tcPr>
          <w:p w14:paraId="2D0BD87C" w14:textId="77777777" w:rsidR="0059648E" w:rsidRDefault="0059648E" w:rsidP="004E5F24">
            <w:pPr>
              <w:pStyle w:val="SingleTxtG"/>
              <w:spacing w:before="40"/>
              <w:ind w:left="113"/>
            </w:pPr>
            <w:r>
              <w:t>Provisional agenda</w:t>
            </w:r>
          </w:p>
        </w:tc>
      </w:tr>
      <w:tr w:rsidR="0059648E" w14:paraId="420E5A17" w14:textId="77777777" w:rsidTr="004E5F24">
        <w:tc>
          <w:tcPr>
            <w:tcW w:w="4676" w:type="dxa"/>
            <w:shd w:val="clear" w:color="auto" w:fill="auto"/>
          </w:tcPr>
          <w:p w14:paraId="64EBE18C" w14:textId="24BDC21F" w:rsidR="0059648E" w:rsidRDefault="0059648E" w:rsidP="004E5F24">
            <w:pPr>
              <w:pStyle w:val="SingleTxtG"/>
              <w:spacing w:before="40"/>
              <w:ind w:right="0"/>
            </w:pPr>
            <w:r w:rsidRPr="00D92CAB">
              <w:t>ECE/TRANS/WP.11/24</w:t>
            </w:r>
            <w:r w:rsidR="00EB54ED">
              <w:t>4</w:t>
            </w:r>
            <w:r w:rsidRPr="00D92CAB">
              <w:t>/Add.1</w:t>
            </w:r>
            <w:r>
              <w:t xml:space="preserve"> (Secretariat)</w:t>
            </w:r>
          </w:p>
        </w:tc>
        <w:tc>
          <w:tcPr>
            <w:tcW w:w="3829" w:type="dxa"/>
            <w:shd w:val="clear" w:color="auto" w:fill="auto"/>
          </w:tcPr>
          <w:p w14:paraId="4838B1EB" w14:textId="77777777" w:rsidR="0059648E" w:rsidRDefault="0059648E" w:rsidP="004E5F24">
            <w:pPr>
              <w:pStyle w:val="SingleTxtG"/>
              <w:spacing w:before="40"/>
              <w:ind w:left="113" w:right="113"/>
            </w:pPr>
            <w:r>
              <w:t>List of documents by agenda item and annotations</w:t>
            </w:r>
          </w:p>
        </w:tc>
      </w:tr>
      <w:tr w:rsidR="0059648E" w14:paraId="532C0780" w14:textId="77777777" w:rsidTr="004E5F24">
        <w:tc>
          <w:tcPr>
            <w:tcW w:w="4676" w:type="dxa"/>
            <w:shd w:val="clear" w:color="auto" w:fill="auto"/>
          </w:tcPr>
          <w:p w14:paraId="3BA2F667" w14:textId="77777777" w:rsidR="0059648E" w:rsidRDefault="0059648E" w:rsidP="004E5F24">
            <w:pPr>
              <w:pStyle w:val="SingleTxtG"/>
              <w:spacing w:before="40"/>
              <w:ind w:right="0"/>
            </w:pPr>
            <w:r>
              <w:t>Informal document INF.1 (Secretariat)</w:t>
            </w:r>
          </w:p>
        </w:tc>
        <w:tc>
          <w:tcPr>
            <w:tcW w:w="3829" w:type="dxa"/>
            <w:shd w:val="clear" w:color="auto" w:fill="auto"/>
          </w:tcPr>
          <w:p w14:paraId="75D3A348" w14:textId="77777777" w:rsidR="0059648E" w:rsidRDefault="0059648E" w:rsidP="004E5F24">
            <w:pPr>
              <w:pStyle w:val="SingleTxtG"/>
              <w:spacing w:before="40"/>
              <w:ind w:left="113" w:right="113"/>
            </w:pPr>
            <w:r>
              <w:t>List of documents by agenda item</w:t>
            </w:r>
          </w:p>
        </w:tc>
      </w:tr>
      <w:tr w:rsidR="0059648E" w14:paraId="4611B9CD" w14:textId="77777777" w:rsidTr="004E5F24">
        <w:tc>
          <w:tcPr>
            <w:tcW w:w="4676" w:type="dxa"/>
            <w:shd w:val="clear" w:color="auto" w:fill="auto"/>
          </w:tcPr>
          <w:p w14:paraId="581EBB44" w14:textId="77777777" w:rsidR="0059648E" w:rsidRPr="00060C79" w:rsidRDefault="0059648E" w:rsidP="004E5F24">
            <w:pPr>
              <w:pStyle w:val="SingleTxtG"/>
              <w:spacing w:before="40"/>
              <w:ind w:right="0"/>
              <w:rPr>
                <w:b/>
                <w:bCs/>
              </w:rPr>
            </w:pPr>
            <w:r w:rsidRPr="00060C79">
              <w:rPr>
                <w:b/>
                <w:bCs/>
              </w:rPr>
              <w:t>Background documents</w:t>
            </w:r>
          </w:p>
        </w:tc>
        <w:tc>
          <w:tcPr>
            <w:tcW w:w="3829" w:type="dxa"/>
            <w:shd w:val="clear" w:color="auto" w:fill="auto"/>
          </w:tcPr>
          <w:p w14:paraId="2E030CE0" w14:textId="77777777" w:rsidR="0059648E" w:rsidRDefault="0059648E" w:rsidP="004E5F24">
            <w:pPr>
              <w:pStyle w:val="SingleTxtG"/>
              <w:spacing w:before="40"/>
              <w:ind w:left="113"/>
            </w:pPr>
          </w:p>
        </w:tc>
      </w:tr>
      <w:tr w:rsidR="0059648E" w14:paraId="10220362" w14:textId="77777777" w:rsidTr="004E5F24">
        <w:tc>
          <w:tcPr>
            <w:tcW w:w="4676" w:type="dxa"/>
            <w:shd w:val="clear" w:color="auto" w:fill="auto"/>
          </w:tcPr>
          <w:p w14:paraId="3111D1CE" w14:textId="77777777" w:rsidR="0059648E" w:rsidRDefault="0059648E" w:rsidP="004E5F24">
            <w:pPr>
              <w:pStyle w:val="SingleTxtG"/>
              <w:spacing w:before="40"/>
              <w:ind w:right="0"/>
            </w:pPr>
            <w:r>
              <w:t>ECE/TRANS/290</w:t>
            </w:r>
          </w:p>
        </w:tc>
        <w:tc>
          <w:tcPr>
            <w:tcW w:w="3829" w:type="dxa"/>
            <w:shd w:val="clear" w:color="auto" w:fill="auto"/>
          </w:tcPr>
          <w:p w14:paraId="13AA87A2" w14:textId="77777777" w:rsidR="0059648E" w:rsidRDefault="0059648E" w:rsidP="004E5F24">
            <w:pPr>
              <w:pStyle w:val="SingleTxtG"/>
              <w:spacing w:before="40"/>
              <w:ind w:left="113"/>
            </w:pPr>
            <w:r>
              <w:t>ATP 2020</w:t>
            </w:r>
          </w:p>
        </w:tc>
      </w:tr>
      <w:tr w:rsidR="0059648E" w14:paraId="397CD0F8" w14:textId="77777777" w:rsidTr="004E5F24">
        <w:tc>
          <w:tcPr>
            <w:tcW w:w="4676" w:type="dxa"/>
            <w:shd w:val="clear" w:color="auto" w:fill="auto"/>
          </w:tcPr>
          <w:p w14:paraId="03E87C8E" w14:textId="18A1E964" w:rsidR="0059648E" w:rsidRDefault="0059648E" w:rsidP="004E5F24">
            <w:pPr>
              <w:pStyle w:val="SingleTxtG"/>
              <w:spacing w:before="40"/>
              <w:ind w:right="0"/>
            </w:pPr>
            <w:r>
              <w:t>ECE/TRANS/WP.11/24</w:t>
            </w:r>
            <w:r w:rsidR="00313317">
              <w:t>3</w:t>
            </w:r>
          </w:p>
        </w:tc>
        <w:tc>
          <w:tcPr>
            <w:tcW w:w="3829" w:type="dxa"/>
            <w:shd w:val="clear" w:color="auto" w:fill="auto"/>
          </w:tcPr>
          <w:p w14:paraId="08FEFEAC" w14:textId="3E909066" w:rsidR="0059648E" w:rsidRDefault="0059648E" w:rsidP="004E5F24">
            <w:pPr>
              <w:pStyle w:val="SingleTxtG"/>
              <w:spacing w:before="40"/>
              <w:ind w:left="113" w:right="113"/>
            </w:pPr>
            <w:r>
              <w:t>Report of the seventy-</w:t>
            </w:r>
            <w:r w:rsidR="00313317">
              <w:t>six</w:t>
            </w:r>
            <w:r>
              <w:t>th session of WP.11</w:t>
            </w:r>
          </w:p>
        </w:tc>
      </w:tr>
    </w:tbl>
    <w:p w14:paraId="5136D8A8" w14:textId="17DD2281" w:rsidR="001D7539" w:rsidRDefault="00CB7DD8" w:rsidP="00A07948">
      <w:pPr>
        <w:pStyle w:val="H1G"/>
        <w:jc w:val="both"/>
      </w:pPr>
      <w:r>
        <w:tab/>
      </w:r>
      <w:r w:rsidR="00456312">
        <w:t>2</w:t>
      </w:r>
      <w:r>
        <w:t>.</w:t>
      </w:r>
      <w:r>
        <w:tab/>
      </w:r>
      <w:r w:rsidR="00CA77FE" w:rsidRPr="00CA77FE">
        <w:t xml:space="preserve">Activities of ECE bodies of </w:t>
      </w:r>
      <w:r w:rsidR="00CA77FE" w:rsidRPr="00D86A74">
        <w:t>interest</w:t>
      </w:r>
      <w:r w:rsidR="00CA77FE" w:rsidRPr="00CA77FE">
        <w:t xml:space="preserve"> to the Working Party</w:t>
      </w:r>
    </w:p>
    <w:p w14:paraId="40228623" w14:textId="77777777" w:rsidR="00CA77FE" w:rsidRDefault="007C2C1A" w:rsidP="00A07948">
      <w:pPr>
        <w:pStyle w:val="H23G"/>
        <w:jc w:val="both"/>
      </w:pPr>
      <w:r>
        <w:tab/>
      </w:r>
      <w:r w:rsidR="00CA77FE">
        <w:t>(a)</w:t>
      </w:r>
      <w:r w:rsidR="00CA77FE">
        <w:tab/>
        <w:t xml:space="preserve">Inland Transport </w:t>
      </w:r>
      <w:r w:rsidR="00CA77FE" w:rsidRPr="00D86A74">
        <w:t>Committee</w:t>
      </w:r>
    </w:p>
    <w:p w14:paraId="311F1B24" w14:textId="0E0303C0" w:rsidR="00E23FBD" w:rsidRDefault="00E23FBD" w:rsidP="00A07948">
      <w:pPr>
        <w:pStyle w:val="SingleTxtG"/>
        <w:ind w:firstLine="567"/>
      </w:pPr>
      <w:r>
        <w:rPr>
          <w:lang w:val="en-US"/>
        </w:rPr>
        <w:t xml:space="preserve">The </w:t>
      </w:r>
      <w:r w:rsidRPr="00807E02">
        <w:rPr>
          <w:lang w:val="en-US"/>
        </w:rPr>
        <w:t xml:space="preserve">Working Party </w:t>
      </w:r>
      <w:r>
        <w:rPr>
          <w:lang w:val="en-US"/>
        </w:rPr>
        <w:t>is invited</w:t>
      </w:r>
      <w:r w:rsidR="00DF27C3">
        <w:rPr>
          <w:lang w:val="en-US"/>
        </w:rPr>
        <w:t xml:space="preserve"> to note paragraphs </w:t>
      </w:r>
      <w:r w:rsidR="007D4C8D">
        <w:rPr>
          <w:lang w:val="en-US"/>
        </w:rPr>
        <w:t>91</w:t>
      </w:r>
      <w:r w:rsidR="00DF27C3">
        <w:rPr>
          <w:lang w:val="en-US"/>
        </w:rPr>
        <w:t>-</w:t>
      </w:r>
      <w:r w:rsidR="007D4C8D">
        <w:rPr>
          <w:lang w:val="en-US"/>
        </w:rPr>
        <w:t xml:space="preserve">94 </w:t>
      </w:r>
      <w:r w:rsidR="00DF27C3">
        <w:rPr>
          <w:lang w:val="en-US"/>
        </w:rPr>
        <w:t xml:space="preserve">from the report of </w:t>
      </w:r>
      <w:r w:rsidR="00DF27C3" w:rsidRPr="00807E02">
        <w:rPr>
          <w:lang w:val="en-US"/>
        </w:rPr>
        <w:t xml:space="preserve">the </w:t>
      </w:r>
      <w:r w:rsidR="00DF27C3">
        <w:t>eighty-second session of the Inland Transport Committee (ITC),</w:t>
      </w:r>
      <w:r w:rsidR="00DF27C3" w:rsidRPr="00807E02">
        <w:rPr>
          <w:lang w:val="en-US"/>
        </w:rPr>
        <w:t xml:space="preserve"> </w:t>
      </w:r>
      <w:r w:rsidR="00DF27C3">
        <w:t>(</w:t>
      </w:r>
      <w:r w:rsidR="00CC3B87">
        <w:t>23</w:t>
      </w:r>
      <w:r w:rsidR="00DF27C3">
        <w:t>-</w:t>
      </w:r>
      <w:r w:rsidR="00CC3B87">
        <w:t xml:space="preserve">26 </w:t>
      </w:r>
      <w:r w:rsidR="00DF27C3">
        <w:t xml:space="preserve">February </w:t>
      </w:r>
      <w:r w:rsidR="00CC3B87">
        <w:t>2021</w:t>
      </w:r>
      <w:r w:rsidR="00DF27C3">
        <w:t xml:space="preserve">) </w:t>
      </w:r>
      <w:r w:rsidR="00DF27C3">
        <w:rPr>
          <w:lang w:val="en-US"/>
        </w:rPr>
        <w:t>(ECE/TRANS/</w:t>
      </w:r>
      <w:r w:rsidR="00CC3B87">
        <w:rPr>
          <w:lang w:val="en-US"/>
        </w:rPr>
        <w:t>304</w:t>
      </w:r>
      <w:r w:rsidR="00DF27C3" w:rsidRPr="00807E02">
        <w:rPr>
          <w:lang w:val="en-US"/>
        </w:rPr>
        <w:t>)</w:t>
      </w:r>
      <w:r w:rsidR="00DF27C3">
        <w:t>.</w:t>
      </w:r>
    </w:p>
    <w:p w14:paraId="70C02553" w14:textId="74A326F5" w:rsidR="005F4274" w:rsidRDefault="005F4274" w:rsidP="00A07948">
      <w:pPr>
        <w:pStyle w:val="SingleTxtG"/>
        <w:ind w:firstLine="567"/>
      </w:pPr>
      <w:r>
        <w:t xml:space="preserve">The Working Party is also invited to note paragraphs </w:t>
      </w:r>
      <w:r w:rsidR="00E1562E">
        <w:t xml:space="preserve">11-14 and 15-18 of </w:t>
      </w:r>
      <w:r w:rsidR="00E1562E">
        <w:rPr>
          <w:lang w:val="en-US"/>
        </w:rPr>
        <w:t xml:space="preserve">ECE/TRANS/304 </w:t>
      </w:r>
      <w:r w:rsidR="001D1512">
        <w:rPr>
          <w:lang w:val="en-US"/>
        </w:rPr>
        <w:t xml:space="preserve">with </w:t>
      </w:r>
      <w:r w:rsidR="00106373">
        <w:rPr>
          <w:lang w:val="en-US"/>
        </w:rPr>
        <w:t xml:space="preserve">the outcomes of the </w:t>
      </w:r>
      <w:r w:rsidR="00106373">
        <w:t>policy segment titled “Back to a sustainable future: achieving resilient connectivity for post-COVID-19 sustained recovery and economic growth</w:t>
      </w:r>
      <w:r w:rsidR="00E43208">
        <w:t xml:space="preserve">” and </w:t>
      </w:r>
      <w:r w:rsidR="00AD6AED">
        <w:t>the Meeting on the implementation of the ITC strategy for Government Delegates only with the Participation of the Chairs of the Committee’s Subsidiary Bodies, respectively.</w:t>
      </w:r>
    </w:p>
    <w:p w14:paraId="33425CBD" w14:textId="1571F85F" w:rsidR="00BC4B4D" w:rsidRPr="009942DB" w:rsidRDefault="00220CD1" w:rsidP="00A07948">
      <w:pPr>
        <w:pStyle w:val="SingleTxtG"/>
        <w:ind w:firstLine="567"/>
      </w:pPr>
      <w:r w:rsidRPr="009942DB">
        <w:t xml:space="preserve">The Working Party is invited </w:t>
      </w:r>
      <w:r w:rsidR="00B97C29" w:rsidRPr="009942DB">
        <w:t xml:space="preserve">to note </w:t>
      </w:r>
      <w:r w:rsidR="009A4CF7" w:rsidRPr="009942DB">
        <w:t>the information provided in informal document INF.10, related to c</w:t>
      </w:r>
      <w:r w:rsidR="009A4CF7" w:rsidRPr="009942DB">
        <w:t>ircular economy and the sustainable use of natural resources</w:t>
      </w:r>
      <w:r w:rsidR="00DD5820" w:rsidRPr="009942DB">
        <w:t>, specially paragraphs 10-13</w:t>
      </w:r>
      <w:r w:rsidR="0018770C" w:rsidRPr="009942DB">
        <w:t xml:space="preserve"> and to discuss at a future session</w:t>
      </w:r>
      <w:r w:rsidR="00531D89" w:rsidRPr="009942DB">
        <w:t>:</w:t>
      </w:r>
    </w:p>
    <w:p w14:paraId="321A825C" w14:textId="01B8466A" w:rsidR="003614BD" w:rsidRPr="009942DB" w:rsidRDefault="00531D89" w:rsidP="00870B1C">
      <w:pPr>
        <w:pStyle w:val="SingleTxtG"/>
        <w:numPr>
          <w:ilvl w:val="0"/>
          <w:numId w:val="20"/>
        </w:numPr>
      </w:pPr>
      <w:r w:rsidRPr="009942DB">
        <w:t>how to</w:t>
      </w:r>
      <w:r w:rsidRPr="009942DB">
        <w:t xml:space="preserve"> </w:t>
      </w:r>
      <w:r w:rsidR="00BC4B4D" w:rsidRPr="009942DB">
        <w:t xml:space="preserve">enhance the impact of </w:t>
      </w:r>
      <w:r w:rsidR="002C6DC6" w:rsidRPr="009942DB">
        <w:t>ATP</w:t>
      </w:r>
      <w:r w:rsidR="00BC4B4D" w:rsidRPr="009942DB">
        <w:t xml:space="preserve">, in order to foster circular and more resource efficient approaches, including by proposing ways to identify, assess and fill gaps in governance and good </w:t>
      </w:r>
      <w:proofErr w:type="gramStart"/>
      <w:r w:rsidR="00BC4B4D" w:rsidRPr="009942DB">
        <w:t>practices;</w:t>
      </w:r>
      <w:proofErr w:type="gramEnd"/>
    </w:p>
    <w:p w14:paraId="29A8C32E" w14:textId="4E4C78A5" w:rsidR="002C6DC6" w:rsidRPr="009942DB" w:rsidRDefault="003C6BBE" w:rsidP="00870B1C">
      <w:pPr>
        <w:pStyle w:val="SingleTxtG"/>
        <w:numPr>
          <w:ilvl w:val="0"/>
          <w:numId w:val="20"/>
        </w:numPr>
      </w:pPr>
      <w:r w:rsidRPr="009942DB">
        <w:t xml:space="preserve">consider </w:t>
      </w:r>
      <w:r w:rsidR="00C567CD" w:rsidRPr="009942DB">
        <w:t>develop</w:t>
      </w:r>
      <w:r w:rsidR="004347DE" w:rsidRPr="009942DB">
        <w:t>ing</w:t>
      </w:r>
      <w:r w:rsidR="00E70AF0" w:rsidRPr="009942DB">
        <w:t xml:space="preserve"> proposals, including possible collaboration across subprogrammes, for impactful and measurable solutions that promote a circular economy and the sustainable use of natural resources and that can facilitate attaining the objectives of the 2030 Agenda for Sustainable </w:t>
      </w:r>
      <w:proofErr w:type="gramStart"/>
      <w:r w:rsidR="00E70AF0" w:rsidRPr="009942DB">
        <w:t>Development;</w:t>
      </w:r>
      <w:proofErr w:type="gramEnd"/>
    </w:p>
    <w:p w14:paraId="2544D4E6" w14:textId="77777777" w:rsidR="00CA77FE" w:rsidRPr="00803899" w:rsidRDefault="007C2C1A" w:rsidP="00A07948">
      <w:pPr>
        <w:pStyle w:val="H23G"/>
        <w:jc w:val="both"/>
      </w:pPr>
      <w:r>
        <w:lastRenderedPageBreak/>
        <w:tab/>
      </w:r>
      <w:r w:rsidR="00CA77FE" w:rsidRPr="00803899">
        <w:t>(b)</w:t>
      </w:r>
      <w:r w:rsidR="00CA77FE" w:rsidRPr="00803899">
        <w:tab/>
        <w:t xml:space="preserve">Working Party on Agricultural Quality </w:t>
      </w:r>
      <w:r w:rsidR="00CA77FE" w:rsidRPr="00D86A74">
        <w:t>Standards</w:t>
      </w:r>
    </w:p>
    <w:p w14:paraId="5CA83C71" w14:textId="77777777" w:rsidR="008472C2" w:rsidRPr="00BC6A91" w:rsidRDefault="008472C2" w:rsidP="00A07948">
      <w:pPr>
        <w:pStyle w:val="SingleTxtG"/>
      </w:pPr>
      <w:r w:rsidRPr="00BC6A91">
        <w:t>The</w:t>
      </w:r>
      <w:r w:rsidR="001934FB" w:rsidRPr="00BC6A91">
        <w:t xml:space="preserve"> </w:t>
      </w:r>
      <w:r w:rsidR="00CA77FE" w:rsidRPr="00BC6A91">
        <w:t>activities of the Working Party on Agricultural Quality Standards (WP.7)</w:t>
      </w:r>
      <w:r w:rsidRPr="00BC6A91">
        <w:t xml:space="preserve"> of interest to WP.11 are:</w:t>
      </w:r>
    </w:p>
    <w:p w14:paraId="0074D29C" w14:textId="1D6C6F25" w:rsidR="009E2F9E" w:rsidRPr="009E2F9E" w:rsidRDefault="00D42B3E" w:rsidP="009E2F9E">
      <w:pPr>
        <w:pStyle w:val="SingleTxtG"/>
        <w:numPr>
          <w:ilvl w:val="0"/>
          <w:numId w:val="20"/>
        </w:numPr>
      </w:pPr>
      <w:hyperlink r:id="rId11" w:history="1">
        <w:r w:rsidR="009E2F9E" w:rsidRPr="009E2F9E">
          <w:t>Twenty-ninth session of the Specialized Section on Standardization of Meat (GE.11)</w:t>
        </w:r>
      </w:hyperlink>
      <w:r w:rsidR="00C8154A">
        <w:t xml:space="preserve"> </w:t>
      </w:r>
      <w:r w:rsidR="009E2F9E" w:rsidRPr="009E2F9E">
        <w:t>07 - 08 September</w:t>
      </w:r>
      <w:r w:rsidR="00C8154A">
        <w:t xml:space="preserve"> 2021, </w:t>
      </w:r>
      <w:r w:rsidR="009E2F9E" w:rsidRPr="009E2F9E">
        <w:t>Geneva</w:t>
      </w:r>
      <w:r w:rsidR="00A121F2">
        <w:t>,</w:t>
      </w:r>
      <w:r w:rsidR="009E2F9E" w:rsidRPr="009E2F9E">
        <w:t> </w:t>
      </w:r>
      <w:proofErr w:type="gramStart"/>
      <w:r w:rsidR="009E2F9E" w:rsidRPr="009E2F9E">
        <w:t>Switzerland</w:t>
      </w:r>
      <w:r w:rsidR="00A121F2">
        <w:t>;</w:t>
      </w:r>
      <w:proofErr w:type="gramEnd"/>
    </w:p>
    <w:p w14:paraId="1CC05A8E" w14:textId="415D57FC" w:rsidR="009E2F9E" w:rsidRPr="009E2F9E" w:rsidRDefault="00D42B3E" w:rsidP="009E2F9E">
      <w:pPr>
        <w:pStyle w:val="SingleTxtG"/>
        <w:numPr>
          <w:ilvl w:val="0"/>
          <w:numId w:val="20"/>
        </w:numPr>
      </w:pPr>
      <w:hyperlink r:id="rId12" w:history="1">
        <w:r w:rsidR="009E2F9E" w:rsidRPr="009E2F9E">
          <w:t>Seventy-sixth session of the Working Party on Agricultural Quality Standards (WP.7)</w:t>
        </w:r>
      </w:hyperlink>
      <w:r w:rsidR="00A121F2">
        <w:t xml:space="preserve"> </w:t>
      </w:r>
      <w:r w:rsidR="009E2F9E" w:rsidRPr="009E2F9E">
        <w:t>15 - 17 November</w:t>
      </w:r>
      <w:r w:rsidR="00A121F2">
        <w:t xml:space="preserve"> 2021, </w:t>
      </w:r>
      <w:r w:rsidR="009E2F9E" w:rsidRPr="009E2F9E">
        <w:t>Geneva</w:t>
      </w:r>
      <w:r w:rsidR="00A121F2">
        <w:t>,</w:t>
      </w:r>
      <w:r w:rsidR="009E2F9E" w:rsidRPr="009E2F9E">
        <w:t> Switzerland</w:t>
      </w:r>
      <w:r w:rsidR="00A121F2">
        <w:t>.</w:t>
      </w:r>
    </w:p>
    <w:p w14:paraId="2A1CA7FB" w14:textId="3A1555FC" w:rsidR="000C2E20" w:rsidRPr="000C2E20" w:rsidRDefault="000C2E20" w:rsidP="000C2E20">
      <w:pPr>
        <w:pStyle w:val="SingleTxtG"/>
        <w:ind w:firstLine="567"/>
        <w:rPr>
          <w:spacing w:val="-3"/>
        </w:rPr>
      </w:pPr>
      <w:r w:rsidRPr="000C2E20">
        <w:rPr>
          <w:spacing w:val="-3"/>
        </w:rPr>
        <w:t xml:space="preserve">The latest UNECE tool to combat food loss and waste can be found at </w:t>
      </w:r>
      <w:r w:rsidR="00823979" w:rsidRPr="00823979">
        <w:t>https://unece.org/trade/wp7/food-loss-and-waste</w:t>
      </w:r>
    </w:p>
    <w:p w14:paraId="468A27D0" w14:textId="5F906476" w:rsidR="002A27B1" w:rsidRDefault="002A27B1" w:rsidP="000C2E20">
      <w:pPr>
        <w:pStyle w:val="SingleTxtG"/>
        <w:ind w:firstLine="567"/>
        <w:rPr>
          <w:spacing w:val="-3"/>
        </w:rPr>
      </w:pPr>
      <w:r>
        <w:rPr>
          <w:spacing w:val="-3"/>
        </w:rPr>
        <w:t xml:space="preserve">For more information on these and other activities, please </w:t>
      </w:r>
      <w:r w:rsidR="00FB3A29">
        <w:rPr>
          <w:spacing w:val="-3"/>
        </w:rPr>
        <w:t xml:space="preserve">visit WP.7 website at </w:t>
      </w:r>
      <w:r w:rsidR="00BB505B" w:rsidRPr="00BB505B">
        <w:t>https://unece.org/trade/working-party-agricultural-quality-standards-wp7</w:t>
      </w:r>
      <w:r w:rsidR="004F6A2D">
        <w:rPr>
          <w:spacing w:val="-3"/>
        </w:rPr>
        <w:t>.</w:t>
      </w:r>
    </w:p>
    <w:p w14:paraId="3D263B6B" w14:textId="416ADA62" w:rsidR="00911757" w:rsidRDefault="004C0A10" w:rsidP="00A07948">
      <w:pPr>
        <w:pStyle w:val="H1G"/>
        <w:jc w:val="both"/>
      </w:pPr>
      <w:r>
        <w:tab/>
      </w:r>
      <w:r w:rsidR="00456312">
        <w:t>3</w:t>
      </w:r>
      <w:r w:rsidRPr="004265B4">
        <w:t>.</w:t>
      </w:r>
      <w:r w:rsidR="00911757" w:rsidRPr="004265B4">
        <w:tab/>
        <w:t>Activities of other international organizations dealing with issues of interest to the Working Party</w:t>
      </w:r>
    </w:p>
    <w:p w14:paraId="7EC23E13" w14:textId="77777777" w:rsidR="00911757" w:rsidRDefault="007C2C1A" w:rsidP="00A07948">
      <w:pPr>
        <w:pStyle w:val="H23G"/>
        <w:jc w:val="both"/>
      </w:pPr>
      <w:r>
        <w:tab/>
      </w:r>
      <w:r w:rsidR="00911757">
        <w:t>(a)</w:t>
      </w:r>
      <w:r w:rsidR="00911757">
        <w:tab/>
        <w:t>International Institute of Refrigeration (IIR)</w:t>
      </w:r>
    </w:p>
    <w:p w14:paraId="7CD466AB" w14:textId="7131A560" w:rsidR="00911757" w:rsidRDefault="00B01616" w:rsidP="00887008">
      <w:pPr>
        <w:pStyle w:val="SingleTxtG"/>
        <w:ind w:firstLine="567"/>
      </w:pPr>
      <w:r>
        <w:t xml:space="preserve">The Working Party will be informed about the </w:t>
      </w:r>
      <w:r w:rsidRPr="00D86A74">
        <w:t>results</w:t>
      </w:r>
      <w:r>
        <w:t xml:space="preserve"> of the meeting of the IIR </w:t>
      </w:r>
      <w:r>
        <w:br/>
        <w:t xml:space="preserve">sub-commission on refrigerated transport held by video conference on </w:t>
      </w:r>
      <w:r w:rsidR="004D67BF">
        <w:t>28 April</w:t>
      </w:r>
      <w:r>
        <w:t xml:space="preserve"> </w:t>
      </w:r>
      <w:r w:rsidR="004D67BF">
        <w:t xml:space="preserve">2021 </w:t>
      </w:r>
      <w:r>
        <w:t>(informal document INF.3).</w:t>
      </w:r>
    </w:p>
    <w:p w14:paraId="7B73B36A" w14:textId="77777777" w:rsidR="00911757" w:rsidRDefault="007C2C1A" w:rsidP="00A07948">
      <w:pPr>
        <w:pStyle w:val="H23G"/>
        <w:jc w:val="both"/>
      </w:pPr>
      <w:r>
        <w:tab/>
      </w:r>
      <w:r w:rsidR="00911757">
        <w:t>(b)</w:t>
      </w:r>
      <w:r w:rsidR="00911757">
        <w:tab/>
        <w:t xml:space="preserve">Transfrigoroute </w:t>
      </w:r>
      <w:r w:rsidR="00911757" w:rsidRPr="00D86A74">
        <w:t>International</w:t>
      </w:r>
    </w:p>
    <w:p w14:paraId="20B6EF1B" w14:textId="5104AEF0" w:rsidR="00911757" w:rsidRDefault="00911757" w:rsidP="00353C45">
      <w:pPr>
        <w:pStyle w:val="SingleTxtG"/>
        <w:ind w:firstLine="567"/>
      </w:pPr>
      <w:r>
        <w:t>The representative of Transfrigoroute International is invited to present the recent activities of his organization</w:t>
      </w:r>
      <w:r w:rsidR="00F34ADE">
        <w:t xml:space="preserve"> as reflected in infor</w:t>
      </w:r>
      <w:r w:rsidR="004F4CD2">
        <w:t>mal document INF.4</w:t>
      </w:r>
      <w:r>
        <w:t>.</w:t>
      </w:r>
    </w:p>
    <w:p w14:paraId="24FFB38E" w14:textId="77777777" w:rsidR="00911757" w:rsidRDefault="007C2C1A" w:rsidP="00A07948">
      <w:pPr>
        <w:pStyle w:val="H23G"/>
        <w:jc w:val="both"/>
      </w:pPr>
      <w:r>
        <w:tab/>
      </w:r>
      <w:r w:rsidR="006D6648">
        <w:t>(c)</w:t>
      </w:r>
      <w:r w:rsidR="006D6648">
        <w:tab/>
      </w:r>
      <w:r w:rsidR="004E7007">
        <w:t>Standardization organizations</w:t>
      </w:r>
    </w:p>
    <w:p w14:paraId="009812C6" w14:textId="00D99193" w:rsidR="00911757" w:rsidRDefault="00F27D06" w:rsidP="00353C45">
      <w:pPr>
        <w:pStyle w:val="SingleTxtG"/>
        <w:ind w:firstLine="567"/>
      </w:pPr>
      <w:r>
        <w:t xml:space="preserve">Delegations participating in the work </w:t>
      </w:r>
      <w:r w:rsidR="003F4624">
        <w:t>of</w:t>
      </w:r>
      <w:r>
        <w:t xml:space="preserve"> </w:t>
      </w:r>
      <w:r w:rsidR="00D14328" w:rsidRPr="002D25F3">
        <w:t>standardization organizations</w:t>
      </w:r>
      <w:r w:rsidR="004448C4">
        <w:t xml:space="preserve"> </w:t>
      </w:r>
      <w:r>
        <w:t xml:space="preserve">are invited </w:t>
      </w:r>
      <w:r w:rsidRPr="00D86A74">
        <w:t>to</w:t>
      </w:r>
      <w:r w:rsidR="004448C4">
        <w:t xml:space="preserve"> inform the </w:t>
      </w:r>
      <w:r w:rsidR="00526723">
        <w:t>Working Party</w:t>
      </w:r>
      <w:r w:rsidR="004448C4">
        <w:t xml:space="preserve"> </w:t>
      </w:r>
      <w:r w:rsidR="00526723">
        <w:t xml:space="preserve">about </w:t>
      </w:r>
      <w:r w:rsidR="0029026F">
        <w:t>progress on the development of</w:t>
      </w:r>
      <w:r w:rsidR="00703261">
        <w:t xml:space="preserve"> </w:t>
      </w:r>
      <w:r w:rsidR="00703261">
        <w:rPr>
          <w:lang w:val="en-US"/>
        </w:rPr>
        <w:t>standard</w:t>
      </w:r>
      <w:r w:rsidR="00B113BE">
        <w:rPr>
          <w:lang w:val="en-US"/>
        </w:rPr>
        <w:t>s</w:t>
      </w:r>
      <w:r w:rsidR="00703261">
        <w:rPr>
          <w:lang w:val="en-US"/>
        </w:rPr>
        <w:t xml:space="preserve"> </w:t>
      </w:r>
      <w:r w:rsidR="0029026F">
        <w:rPr>
          <w:lang w:val="en-US"/>
        </w:rPr>
        <w:t>dealing with</w:t>
      </w:r>
      <w:r w:rsidR="00703261">
        <w:rPr>
          <w:lang w:val="en-US"/>
        </w:rPr>
        <w:t xml:space="preserve"> </w:t>
      </w:r>
      <w:r w:rsidR="000A1114">
        <w:rPr>
          <w:lang w:val="en-US"/>
        </w:rPr>
        <w:t>t</w:t>
      </w:r>
      <w:r w:rsidR="00CF7A38">
        <w:rPr>
          <w:lang w:val="en-US"/>
        </w:rPr>
        <w:t xml:space="preserve">ransport under controlled temperatures </w:t>
      </w:r>
      <w:r w:rsidR="001934FB">
        <w:rPr>
          <w:lang w:val="en-US"/>
        </w:rPr>
        <w:t xml:space="preserve">and </w:t>
      </w:r>
      <w:r w:rsidR="00FF3374">
        <w:rPr>
          <w:lang w:val="en-US"/>
        </w:rPr>
        <w:t xml:space="preserve">what impact </w:t>
      </w:r>
      <w:r w:rsidR="00A715C6">
        <w:rPr>
          <w:lang w:val="en-US"/>
        </w:rPr>
        <w:t>th</w:t>
      </w:r>
      <w:r w:rsidR="00FF3374">
        <w:rPr>
          <w:lang w:val="en-US"/>
        </w:rPr>
        <w:t xml:space="preserve">ese standards are expected to have on </w:t>
      </w:r>
      <w:r w:rsidR="00A715C6">
        <w:rPr>
          <w:lang w:val="en-US"/>
        </w:rPr>
        <w:t>the</w:t>
      </w:r>
      <w:r w:rsidR="00BD2F7F">
        <w:rPr>
          <w:lang w:val="en-US"/>
        </w:rPr>
        <w:t> </w:t>
      </w:r>
      <w:r w:rsidR="00A715C6">
        <w:rPr>
          <w:lang w:val="en-US"/>
        </w:rPr>
        <w:t>ATP</w:t>
      </w:r>
      <w:r w:rsidR="00703261">
        <w:rPr>
          <w:lang w:val="en-US"/>
        </w:rPr>
        <w:t>.</w:t>
      </w:r>
    </w:p>
    <w:p w14:paraId="6514F4A5" w14:textId="18A23CDA" w:rsidR="000D66A6" w:rsidRDefault="004C0A10" w:rsidP="00A07948">
      <w:pPr>
        <w:pStyle w:val="H1G"/>
        <w:jc w:val="both"/>
      </w:pPr>
      <w:r>
        <w:tab/>
      </w:r>
      <w:r w:rsidR="00456312">
        <w:t>4</w:t>
      </w:r>
      <w:r w:rsidRPr="003A5E25">
        <w:t>.</w:t>
      </w:r>
      <w:r w:rsidR="000D66A6" w:rsidRPr="003A5E25">
        <w:tab/>
        <w:t>Status and implementation of the Agreement on the International Carriage of Perishable Foodstuffs and on the Special Equipment to be Used for such Carriage</w:t>
      </w:r>
      <w:r w:rsidR="005A2CFE" w:rsidRPr="003A5E25">
        <w:t xml:space="preserve"> (ATP)</w:t>
      </w:r>
    </w:p>
    <w:p w14:paraId="6FFA390E" w14:textId="77777777" w:rsidR="000D66A6" w:rsidRDefault="007C2C1A" w:rsidP="00A07948">
      <w:pPr>
        <w:pStyle w:val="H23G"/>
        <w:jc w:val="both"/>
      </w:pPr>
      <w:r>
        <w:tab/>
      </w:r>
      <w:r w:rsidR="000D66A6">
        <w:t>(a)</w:t>
      </w:r>
      <w:r w:rsidR="000D66A6">
        <w:tab/>
        <w:t xml:space="preserve">Status of application of the </w:t>
      </w:r>
      <w:r w:rsidR="000D66A6" w:rsidRPr="00D86A74">
        <w:t>Agreement</w:t>
      </w:r>
    </w:p>
    <w:p w14:paraId="6D6BAE97" w14:textId="77777777" w:rsidR="00D076DD" w:rsidRPr="00D076DD" w:rsidRDefault="00D076DD" w:rsidP="00353C45">
      <w:pPr>
        <w:pStyle w:val="SingleTxtG"/>
        <w:ind w:firstLine="567"/>
      </w:pPr>
      <w:r w:rsidRPr="00D076DD">
        <w:t>There have been no new accessions to ATP since the last session and the number of Contracting Parties remains at 50</w:t>
      </w:r>
      <w:r>
        <w:t>.</w:t>
      </w:r>
    </w:p>
    <w:p w14:paraId="5715D542" w14:textId="77777777" w:rsidR="000D66A6" w:rsidRDefault="007C2C1A" w:rsidP="00A07948">
      <w:pPr>
        <w:pStyle w:val="H23G"/>
        <w:jc w:val="both"/>
      </w:pPr>
      <w:r>
        <w:tab/>
      </w:r>
      <w:r w:rsidR="000D66A6">
        <w:t>(b)</w:t>
      </w:r>
      <w:r w:rsidR="000D66A6">
        <w:tab/>
      </w:r>
      <w:r w:rsidR="000D66A6" w:rsidRPr="00D86A74">
        <w:t>Status</w:t>
      </w:r>
      <w:r w:rsidR="000D66A6">
        <w:t xml:space="preserve"> of amendments</w:t>
      </w:r>
    </w:p>
    <w:p w14:paraId="2471E829" w14:textId="08DE92D9" w:rsidR="002A1DD1" w:rsidRDefault="002A1DD1" w:rsidP="002A1DD1">
      <w:pPr>
        <w:pStyle w:val="SingleTxtG"/>
      </w:pPr>
      <w:r w:rsidRPr="008B3F7F">
        <w:rPr>
          <w:lang w:val="en-US"/>
        </w:rPr>
        <w:t xml:space="preserve">Proposed amendments to the ATP </w:t>
      </w:r>
      <w:r w:rsidRPr="008B3F7F">
        <w:t xml:space="preserve">adopted by WP.11 at its </w:t>
      </w:r>
      <w:r w:rsidR="001F5390">
        <w:t>seventy-fifth and seventy-sixth sessions held in Geneva from 8 to 11 October 2019 and from 13 to 16 October 2020, respectively</w:t>
      </w:r>
      <w:r w:rsidRPr="008B3F7F">
        <w:t xml:space="preserve">, and contained in </w:t>
      </w:r>
      <w:r w:rsidR="00E37A49">
        <w:t>Annex II to the report ECE/TRANS/WP.11/241 and Annex I to the report ECE/TRANS/WP.11/243</w:t>
      </w:r>
      <w:r>
        <w:t>, respectively</w:t>
      </w:r>
      <w:r w:rsidRPr="008B3F7F">
        <w:t xml:space="preserve">, </w:t>
      </w:r>
      <w:r w:rsidRPr="008B3F7F">
        <w:rPr>
          <w:lang w:val="en-US"/>
        </w:rPr>
        <w:t>(depositary notification C.N.</w:t>
      </w:r>
      <w:r w:rsidR="008D416E">
        <w:rPr>
          <w:lang w:val="en-US"/>
        </w:rPr>
        <w:t>79</w:t>
      </w:r>
      <w:r w:rsidRPr="008B3F7F">
        <w:rPr>
          <w:lang w:val="en-US"/>
        </w:rPr>
        <w:t>.</w:t>
      </w:r>
      <w:r w:rsidR="008D416E" w:rsidRPr="008B3F7F">
        <w:rPr>
          <w:lang w:val="en-US"/>
        </w:rPr>
        <w:t>20</w:t>
      </w:r>
      <w:r w:rsidR="008D416E">
        <w:rPr>
          <w:lang w:val="en-US"/>
        </w:rPr>
        <w:t>21</w:t>
      </w:r>
      <w:r w:rsidRPr="008B3F7F">
        <w:rPr>
          <w:lang w:val="en-US"/>
        </w:rPr>
        <w:t xml:space="preserve">.TREATIES-XI.B.22), </w:t>
      </w:r>
      <w:r w:rsidRPr="00C864AB">
        <w:t xml:space="preserve">were notified to ATP Contracting Parties by the United Nations Treaty Section on </w:t>
      </w:r>
      <w:r w:rsidR="008D416E">
        <w:t>4 March 2021</w:t>
      </w:r>
      <w:r>
        <w:t>.</w:t>
      </w:r>
    </w:p>
    <w:p w14:paraId="40E442C3" w14:textId="25823245" w:rsidR="002A1DD1" w:rsidRPr="008B3F7F" w:rsidRDefault="002A1DD1" w:rsidP="002A1DD1">
      <w:pPr>
        <w:pStyle w:val="SingleTxtG"/>
        <w:rPr>
          <w:lang w:val="en-US"/>
        </w:rPr>
      </w:pPr>
      <w:r w:rsidRPr="0075660B">
        <w:t xml:space="preserve">On </w:t>
      </w:r>
      <w:r w:rsidR="00F97E9D">
        <w:t>6 April 2021</w:t>
      </w:r>
      <w:r w:rsidRPr="0075660B">
        <w:t>, the Government of Germany, in accordance with Article 18 (2) (b) of the ATP, informed the Secretary-General that although it intended to accept the proposals, the conditions for such acceptance were not yet fulfilled</w:t>
      </w:r>
      <w:r w:rsidRPr="0075660B">
        <w:rPr>
          <w:bCs/>
        </w:rPr>
        <w:t xml:space="preserve"> </w:t>
      </w:r>
      <w:r w:rsidRPr="0075660B">
        <w:t>(</w:t>
      </w:r>
      <w:hyperlink r:id="rId13" w:tooltip="Opens internal link in current window" w:history="1">
        <w:r w:rsidRPr="0075660B">
          <w:t>C.N.</w:t>
        </w:r>
        <w:r w:rsidR="003604A8">
          <w:t>121</w:t>
        </w:r>
        <w:r>
          <w:t>.</w:t>
        </w:r>
        <w:r w:rsidR="006C3C45">
          <w:t>2021</w:t>
        </w:r>
        <w:r w:rsidRPr="0075660B">
          <w:t>.TREATIES-XI.B.22</w:t>
        </w:r>
      </w:hyperlink>
      <w:r w:rsidRPr="0075660B">
        <w:t xml:space="preserve">). Therefore, </w:t>
      </w:r>
      <w:r>
        <w:t>proposals of</w:t>
      </w:r>
      <w:r w:rsidRPr="0075660B">
        <w:t xml:space="preserve"> amendments adopted at the </w:t>
      </w:r>
      <w:r w:rsidR="006C3C45" w:rsidRPr="0075660B">
        <w:t>20</w:t>
      </w:r>
      <w:r w:rsidR="006C3C45">
        <w:t xml:space="preserve">19 </w:t>
      </w:r>
      <w:r>
        <w:t xml:space="preserve">and </w:t>
      </w:r>
      <w:r w:rsidR="006C3C45">
        <w:t>2020</w:t>
      </w:r>
      <w:r w:rsidR="006C3C45" w:rsidRPr="0075660B">
        <w:t xml:space="preserve"> </w:t>
      </w:r>
      <w:r w:rsidRPr="0075660B">
        <w:t>session</w:t>
      </w:r>
      <w:r>
        <w:t>s</w:t>
      </w:r>
      <w:r w:rsidRPr="0075660B">
        <w:t xml:space="preserve"> of WP.11 will be deemed accepted only if, before the expiry of a period of nine months following the initial notification period of six months, the Government of Germany does not notify an objection to the proposed amendments.</w:t>
      </w:r>
    </w:p>
    <w:p w14:paraId="3E5A6D25" w14:textId="6492F36F" w:rsidR="00F93B19" w:rsidRDefault="002A1DD1" w:rsidP="002A1DD1">
      <w:pPr>
        <w:pStyle w:val="SingleTxtG"/>
        <w:ind w:firstLine="567"/>
        <w:rPr>
          <w:color w:val="000000"/>
          <w:lang w:eastAsia="en-GB"/>
        </w:rPr>
      </w:pPr>
      <w:r w:rsidRPr="008B3F7F">
        <w:lastRenderedPageBreak/>
        <w:t>Proposed correction to the ATP adopted at the seventy-</w:t>
      </w:r>
      <w:r w:rsidR="00B931DA">
        <w:t>fifth</w:t>
      </w:r>
      <w:r w:rsidR="00B931DA" w:rsidRPr="008B3F7F">
        <w:t xml:space="preserve"> </w:t>
      </w:r>
      <w:r w:rsidRPr="008B3F7F">
        <w:t xml:space="preserve">session of WP.11 in </w:t>
      </w:r>
      <w:r w:rsidR="00B931DA" w:rsidRPr="008B3F7F">
        <w:t>201</w:t>
      </w:r>
      <w:r w:rsidR="00B931DA">
        <w:t>9</w:t>
      </w:r>
      <w:r w:rsidR="00B931DA" w:rsidRPr="008B3F7F">
        <w:t xml:space="preserve"> </w:t>
      </w:r>
      <w:r w:rsidRPr="008B3F7F">
        <w:t>(ECE/TRANS/WP.11/</w:t>
      </w:r>
      <w:r w:rsidR="00E8612A" w:rsidRPr="008B3F7F">
        <w:t>2</w:t>
      </w:r>
      <w:r w:rsidR="00E8612A">
        <w:t>41</w:t>
      </w:r>
      <w:r w:rsidRPr="008B3F7F">
        <w:t>, Annex II</w:t>
      </w:r>
      <w:r w:rsidR="00E8612A">
        <w:t>I</w:t>
      </w:r>
      <w:r w:rsidRPr="008B3F7F">
        <w:t xml:space="preserve">) </w:t>
      </w:r>
      <w:r w:rsidR="00270557">
        <w:t>was</w:t>
      </w:r>
      <w:r w:rsidR="00270557" w:rsidRPr="008B3F7F">
        <w:t xml:space="preserve"> </w:t>
      </w:r>
      <w:r w:rsidRPr="008B3F7F">
        <w:t xml:space="preserve">notified to ATP Contracting Parties by the United Nations Treaty Section on </w:t>
      </w:r>
      <w:r w:rsidR="00E8612A">
        <w:t xml:space="preserve">4 </w:t>
      </w:r>
      <w:r w:rsidR="00205ED0">
        <w:t>March 2021</w:t>
      </w:r>
      <w:r w:rsidRPr="008B3F7F">
        <w:t xml:space="preserve"> </w:t>
      </w:r>
      <w:r w:rsidRPr="008B3F7F">
        <w:rPr>
          <w:color w:val="000000"/>
          <w:lang w:eastAsia="en-GB"/>
        </w:rPr>
        <w:t>(C.N.</w:t>
      </w:r>
      <w:r w:rsidR="00205ED0">
        <w:rPr>
          <w:color w:val="000000"/>
          <w:lang w:eastAsia="en-GB"/>
        </w:rPr>
        <w:t>80</w:t>
      </w:r>
      <w:r w:rsidRPr="008B3F7F">
        <w:rPr>
          <w:color w:val="000000"/>
          <w:lang w:eastAsia="en-GB"/>
        </w:rPr>
        <w:t>.</w:t>
      </w:r>
      <w:r w:rsidR="00205ED0" w:rsidRPr="008B3F7F">
        <w:rPr>
          <w:color w:val="000000"/>
          <w:lang w:eastAsia="en-GB"/>
        </w:rPr>
        <w:t>20</w:t>
      </w:r>
      <w:r w:rsidR="00205ED0">
        <w:rPr>
          <w:color w:val="000000"/>
          <w:lang w:eastAsia="en-GB"/>
        </w:rPr>
        <w:t>21</w:t>
      </w:r>
      <w:r w:rsidRPr="008B3F7F">
        <w:rPr>
          <w:color w:val="000000"/>
          <w:lang w:eastAsia="en-GB"/>
        </w:rPr>
        <w:t xml:space="preserve">.TREATIES-XI.B.22). Correction </w:t>
      </w:r>
      <w:r w:rsidR="00071FEC">
        <w:rPr>
          <w:color w:val="000000"/>
          <w:lang w:eastAsia="en-GB"/>
        </w:rPr>
        <w:t>was</w:t>
      </w:r>
      <w:r w:rsidR="00071FEC" w:rsidRPr="008B3F7F">
        <w:rPr>
          <w:color w:val="000000"/>
          <w:lang w:eastAsia="en-GB"/>
        </w:rPr>
        <w:t xml:space="preserve"> </w:t>
      </w:r>
      <w:r w:rsidRPr="008B3F7F">
        <w:rPr>
          <w:color w:val="000000"/>
          <w:lang w:eastAsia="en-GB"/>
        </w:rPr>
        <w:t xml:space="preserve">deemed accepted on </w:t>
      </w:r>
      <w:r w:rsidR="009700A8">
        <w:rPr>
          <w:color w:val="000000"/>
          <w:lang w:eastAsia="en-GB"/>
        </w:rPr>
        <w:t>7</w:t>
      </w:r>
      <w:r w:rsidR="009700A8" w:rsidRPr="008B3F7F">
        <w:rPr>
          <w:color w:val="000000"/>
          <w:lang w:eastAsia="en-GB"/>
        </w:rPr>
        <w:t xml:space="preserve"> </w:t>
      </w:r>
      <w:r w:rsidR="009700A8">
        <w:rPr>
          <w:color w:val="000000"/>
          <w:lang w:eastAsia="en-GB"/>
        </w:rPr>
        <w:t>June</w:t>
      </w:r>
      <w:r w:rsidR="009700A8" w:rsidRPr="008B3F7F">
        <w:rPr>
          <w:color w:val="000000"/>
          <w:lang w:eastAsia="en-GB"/>
        </w:rPr>
        <w:t xml:space="preserve"> 20</w:t>
      </w:r>
      <w:r w:rsidR="009700A8">
        <w:rPr>
          <w:color w:val="000000"/>
          <w:lang w:eastAsia="en-GB"/>
        </w:rPr>
        <w:t>21</w:t>
      </w:r>
      <w:r w:rsidR="009700A8" w:rsidRPr="008B3F7F">
        <w:rPr>
          <w:color w:val="000000"/>
          <w:lang w:eastAsia="en-GB"/>
        </w:rPr>
        <w:t xml:space="preserve"> </w:t>
      </w:r>
      <w:r w:rsidRPr="008B3F7F">
        <w:rPr>
          <w:color w:val="000000"/>
          <w:lang w:eastAsia="en-GB"/>
        </w:rPr>
        <w:t>(C.N.</w:t>
      </w:r>
      <w:proofErr w:type="gramStart"/>
      <w:r>
        <w:rPr>
          <w:color w:val="000000"/>
          <w:lang w:eastAsia="en-GB"/>
        </w:rPr>
        <w:t>159</w:t>
      </w:r>
      <w:r w:rsidRPr="008B3F7F">
        <w:rPr>
          <w:color w:val="000000"/>
          <w:lang w:eastAsia="en-GB"/>
        </w:rPr>
        <w:t>.</w:t>
      </w:r>
      <w:r w:rsidR="003F1F00">
        <w:rPr>
          <w:color w:val="000000"/>
          <w:lang w:eastAsia="en-GB"/>
        </w:rPr>
        <w:t>2021</w:t>
      </w:r>
      <w:r w:rsidRPr="008B3F7F">
        <w:rPr>
          <w:color w:val="000000"/>
          <w:lang w:eastAsia="en-GB"/>
        </w:rPr>
        <w:t>.TREATIES</w:t>
      </w:r>
      <w:proofErr w:type="gramEnd"/>
      <w:r w:rsidRPr="008B3F7F">
        <w:rPr>
          <w:color w:val="000000"/>
          <w:lang w:eastAsia="en-GB"/>
        </w:rPr>
        <w:t>-XI.B.22).</w:t>
      </w:r>
    </w:p>
    <w:p w14:paraId="384DCA08" w14:textId="77777777" w:rsidR="000D66A6" w:rsidRDefault="007C2C1A" w:rsidP="00A07948">
      <w:pPr>
        <w:pStyle w:val="H23G"/>
        <w:jc w:val="both"/>
      </w:pPr>
      <w:r>
        <w:tab/>
      </w:r>
      <w:r w:rsidR="000D66A6">
        <w:t>(c)</w:t>
      </w:r>
      <w:r w:rsidR="000D66A6">
        <w:tab/>
        <w:t>Test stations officially designated by the competent authorities of countries Parties to ATP</w:t>
      </w:r>
    </w:p>
    <w:p w14:paraId="1B4C774A" w14:textId="1868E361" w:rsidR="000D66A6" w:rsidRDefault="000D66A6" w:rsidP="00353C45">
      <w:pPr>
        <w:pStyle w:val="SingleTxtG"/>
        <w:ind w:firstLine="567"/>
      </w:pPr>
      <w:r>
        <w:t xml:space="preserve">The current list of </w:t>
      </w:r>
      <w:r w:rsidR="00F16B21">
        <w:t xml:space="preserve">officially designated </w:t>
      </w:r>
      <w:r>
        <w:t xml:space="preserve">test stations </w:t>
      </w:r>
      <w:r w:rsidRPr="00D86A74">
        <w:t>appears</w:t>
      </w:r>
      <w:r>
        <w:t xml:space="preserve"> at the following link: </w:t>
      </w:r>
      <w:hyperlink r:id="rId14" w:history="1">
        <w:r w:rsidR="00902D3A" w:rsidRPr="00CC53A2">
          <w:rPr>
            <w:rStyle w:val="Hyperlink"/>
          </w:rPr>
          <w:t>https://unece.org/atp-competent-authorities-and-testing-stations</w:t>
        </w:r>
      </w:hyperlink>
      <w:r w:rsidR="004F6A2D">
        <w:t>.</w:t>
      </w:r>
    </w:p>
    <w:p w14:paraId="5F891850" w14:textId="77777777" w:rsidR="000D66A6" w:rsidRDefault="007C2C1A" w:rsidP="00A07948">
      <w:pPr>
        <w:pStyle w:val="H23G"/>
        <w:jc w:val="both"/>
      </w:pPr>
      <w:r>
        <w:tab/>
      </w:r>
      <w:r w:rsidR="000D66A6">
        <w:t>(d)</w:t>
      </w:r>
      <w:r w:rsidR="000D66A6">
        <w:tab/>
        <w:t xml:space="preserve">Exchange of information among Parties under Article 6 of </w:t>
      </w:r>
      <w:r w:rsidR="000D66A6" w:rsidRPr="00D86A74">
        <w:t>ATP</w:t>
      </w:r>
    </w:p>
    <w:p w14:paraId="5FD61EBE" w14:textId="7117D9B9" w:rsidR="001B0901" w:rsidRDefault="001B0901" w:rsidP="001B0901">
      <w:pPr>
        <w:pStyle w:val="SingleTxtG"/>
        <w:ind w:firstLine="567"/>
      </w:pPr>
      <w:r>
        <w:t>At the seventy-</w:t>
      </w:r>
      <w:r w:rsidR="006716B8">
        <w:t xml:space="preserve">sixth </w:t>
      </w:r>
      <w:r>
        <w:t xml:space="preserve">session, the WP.11 thanked the </w:t>
      </w:r>
      <w:r w:rsidR="006716B8">
        <w:t>23</w:t>
      </w:r>
      <w:r w:rsidR="006716B8" w:rsidRPr="00E21EC8">
        <w:t xml:space="preserve"> </w:t>
      </w:r>
      <w:r w:rsidRPr="00E21EC8">
        <w:t>countries that had provided data in response to the questionnaire on t</w:t>
      </w:r>
      <w:r>
        <w:t xml:space="preserve">he implementation of ATP in </w:t>
      </w:r>
      <w:r w:rsidR="006716B8">
        <w:t>2019</w:t>
      </w:r>
      <w:r w:rsidR="006716B8" w:rsidRPr="00E21EC8">
        <w:t xml:space="preserve"> </w:t>
      </w:r>
      <w:r w:rsidRPr="00E21EC8">
        <w:t xml:space="preserve">and stressed that it was mandatory to have information from all ATP </w:t>
      </w:r>
      <w:r w:rsidRPr="00D86A74">
        <w:t>contracting</w:t>
      </w:r>
      <w:r w:rsidRPr="00E21EC8">
        <w:t xml:space="preserve"> parties and that it was a means of harmonizing implementation of the agreement.</w:t>
      </w:r>
      <w:r>
        <w:t xml:space="preserve"> </w:t>
      </w:r>
    </w:p>
    <w:p w14:paraId="14B97149" w14:textId="197A56F4" w:rsidR="001B0901" w:rsidRPr="001B0901" w:rsidRDefault="001B0901" w:rsidP="001B0901">
      <w:pPr>
        <w:pStyle w:val="SingleTxtG"/>
        <w:ind w:firstLine="567"/>
      </w:pPr>
      <w:r>
        <w:t xml:space="preserve">The information received for the year </w:t>
      </w:r>
      <w:r w:rsidR="006716B8">
        <w:t xml:space="preserve">2020 </w:t>
      </w:r>
      <w:r>
        <w:t>is presented in ECE/TRANS/WP.11/</w:t>
      </w:r>
      <w:r w:rsidR="006716B8">
        <w:t>2021</w:t>
      </w:r>
      <w:r>
        <w:t>/1. Countries were also asked to respond to an additional question on h</w:t>
      </w:r>
      <w:r w:rsidRPr="001B0901">
        <w:t xml:space="preserve">ow parcels and small containers used for the transport of perishable foodstuffs </w:t>
      </w:r>
      <w:r>
        <w:t>were</w:t>
      </w:r>
      <w:r w:rsidRPr="001B0901">
        <w:t xml:space="preserve"> regulated in </w:t>
      </w:r>
      <w:r>
        <w:t>each</w:t>
      </w:r>
      <w:r w:rsidRPr="001B0901">
        <w:t xml:space="preserve"> country</w:t>
      </w:r>
      <w:r>
        <w:t>, answers received by the secretariat are included in annex I to document ECE/TRANS/WP.11/</w:t>
      </w:r>
      <w:r w:rsidR="006716B8">
        <w:t>2021</w:t>
      </w:r>
      <w:r>
        <w:t>/1.</w:t>
      </w:r>
      <w:r w:rsidR="005C7247" w:rsidRPr="000706B2">
        <w:t xml:space="preserve"> </w:t>
      </w:r>
      <w:r>
        <w:t xml:space="preserve">Countries were also requested to send the secretariat information on </w:t>
      </w:r>
      <w:r w:rsidRPr="001B0901">
        <w:t>additional measures taken to guarantee the transport of perishable goods across borders in response to the COVID-19 pandemic</w:t>
      </w:r>
      <w:r>
        <w:t>, answers received by the secretariat are included in annex II to said document.</w:t>
      </w:r>
    </w:p>
    <w:p w14:paraId="48995472" w14:textId="05667DD9" w:rsidR="006C2520" w:rsidRDefault="000C532D" w:rsidP="006E50C6">
      <w:pPr>
        <w:pStyle w:val="SingleTxtG"/>
        <w:ind w:firstLine="567"/>
      </w:pPr>
      <w:r>
        <w:t>At the request o</w:t>
      </w:r>
      <w:r w:rsidR="005824F2">
        <w:t xml:space="preserve">f the Working Party at its seventy-third session, the secretariat sent a letter to all contracting parties </w:t>
      </w:r>
      <w:r>
        <w:t xml:space="preserve">requesting them to fulfil their obligation under article 6 of ATP of replying to the annual questionnaire and to update the contact information for competent authorities and test stations. All the information received by the secretariat is included in the list of competent authorities and officially designated test stations at </w:t>
      </w:r>
      <w:hyperlink r:id="rId15" w:history="1">
        <w:r w:rsidR="002523FD" w:rsidRPr="00CC53A2">
          <w:rPr>
            <w:rStyle w:val="Hyperlink"/>
          </w:rPr>
          <w:t>https://unece.org/atp-competent-authorities-and-testing-stations</w:t>
        </w:r>
      </w:hyperlink>
      <w:r>
        <w:t>.</w:t>
      </w:r>
    </w:p>
    <w:p w14:paraId="3D4979B3" w14:textId="4E11825C" w:rsidR="009B3A38" w:rsidRDefault="007C2C1A" w:rsidP="00A07948">
      <w:pPr>
        <w:pStyle w:val="H23G"/>
        <w:jc w:val="both"/>
      </w:pPr>
      <w:r>
        <w:tab/>
      </w:r>
      <w:r w:rsidR="009B3A38">
        <w:t>(e</w:t>
      </w:r>
      <w:r w:rsidR="009B3A38" w:rsidRPr="009B3A38">
        <w:t>)</w:t>
      </w:r>
      <w:r w:rsidR="009B3A38" w:rsidRPr="009B3A38">
        <w:tab/>
        <w:t xml:space="preserve">Exchange of </w:t>
      </w:r>
      <w:r w:rsidR="009B3A38">
        <w:t>good practices for better implementation of ATP</w:t>
      </w:r>
    </w:p>
    <w:p w14:paraId="212D484E" w14:textId="528261D7" w:rsidR="006F6FBB" w:rsidRPr="007A1E62" w:rsidRDefault="006F6FBB" w:rsidP="0080117B">
      <w:pPr>
        <w:pStyle w:val="SingleTxtG"/>
        <w:rPr>
          <w:lang w:val="en-US"/>
        </w:rPr>
      </w:pPr>
      <w:r w:rsidRPr="00C17703">
        <w:rPr>
          <w:lang w:val="en-IE"/>
        </w:rPr>
        <w:t>T</w:t>
      </w:r>
      <w:r>
        <w:rPr>
          <w:lang w:val="en-IE"/>
        </w:rPr>
        <w:t xml:space="preserve">he Working Party may wish to consider </w:t>
      </w:r>
      <w:r w:rsidR="00755B52">
        <w:rPr>
          <w:lang w:val="en-IE"/>
        </w:rPr>
        <w:t xml:space="preserve">the </w:t>
      </w:r>
      <w:r w:rsidR="00B52B4F">
        <w:rPr>
          <w:bCs/>
          <w:szCs w:val="28"/>
          <w:lang w:val="en-US"/>
        </w:rPr>
        <w:t>request</w:t>
      </w:r>
      <w:r w:rsidR="0080117B">
        <w:rPr>
          <w:bCs/>
          <w:szCs w:val="28"/>
          <w:lang w:val="en-US"/>
        </w:rPr>
        <w:t xml:space="preserve"> for information </w:t>
      </w:r>
      <w:r w:rsidR="00755B52">
        <w:rPr>
          <w:bCs/>
          <w:szCs w:val="28"/>
          <w:lang w:val="en-US"/>
        </w:rPr>
        <w:t xml:space="preserve">exchange </w:t>
      </w:r>
      <w:r w:rsidR="0080117B">
        <w:rPr>
          <w:bCs/>
          <w:szCs w:val="28"/>
          <w:lang w:val="en-US"/>
        </w:rPr>
        <w:t>from the Russian Association of Food Sector Organizations (ASORPS)</w:t>
      </w:r>
      <w:r w:rsidR="0080117B">
        <w:rPr>
          <w:bCs/>
          <w:szCs w:val="28"/>
          <w:lang w:val="en-US"/>
        </w:rPr>
        <w:t xml:space="preserve"> in informal document INF.9.</w:t>
      </w:r>
    </w:p>
    <w:p w14:paraId="31986A1D" w14:textId="62D87F63" w:rsidR="00543644" w:rsidRDefault="007C2C1A" w:rsidP="00A07948">
      <w:pPr>
        <w:pStyle w:val="H23G"/>
        <w:jc w:val="both"/>
      </w:pPr>
      <w:r>
        <w:tab/>
      </w:r>
      <w:r w:rsidR="00543644">
        <w:t>(f</w:t>
      </w:r>
      <w:r w:rsidR="00543644" w:rsidRPr="00543644">
        <w:t>)</w:t>
      </w:r>
      <w:r w:rsidR="00543644" w:rsidRPr="00543644">
        <w:tab/>
      </w:r>
      <w:r w:rsidR="00543644" w:rsidRPr="00D86A74">
        <w:t>Interpretation</w:t>
      </w:r>
      <w:r w:rsidR="00543644">
        <w:t xml:space="preserve"> of </w:t>
      </w:r>
      <w:r w:rsidR="00543644" w:rsidRPr="00543644">
        <w:t>ATP</w:t>
      </w:r>
    </w:p>
    <w:p w14:paraId="78E2D3CD" w14:textId="77777777" w:rsidR="00502994" w:rsidRDefault="00502994" w:rsidP="00502994">
      <w:pPr>
        <w:pStyle w:val="H23G"/>
        <w:jc w:val="both"/>
      </w:pPr>
      <w:r>
        <w:tab/>
      </w:r>
      <w:r>
        <w:tab/>
        <w:t>Temperature recorders</w:t>
      </w:r>
    </w:p>
    <w:p w14:paraId="30E468BE" w14:textId="7BABAB60" w:rsidR="00502994" w:rsidRDefault="00502994" w:rsidP="00502994">
      <w:pPr>
        <w:pStyle w:val="SingleTxtG"/>
      </w:pPr>
      <w:r w:rsidRPr="008A333E">
        <w:t xml:space="preserve">The </w:t>
      </w:r>
      <w:r w:rsidRPr="00D422FE">
        <w:t>Working</w:t>
      </w:r>
      <w:r w:rsidRPr="008A333E">
        <w:t xml:space="preserve"> Party </w:t>
      </w:r>
      <w:r>
        <w:t>may wish to discuss</w:t>
      </w:r>
      <w:r w:rsidRPr="008A333E">
        <w:t xml:space="preserve"> </w:t>
      </w:r>
      <w:r>
        <w:t>the proposal submitted the Netherlands (ECE/TRANS/WP.11/2021/19).</w:t>
      </w:r>
    </w:p>
    <w:p w14:paraId="6BD40E84" w14:textId="6C3A8B4E" w:rsidR="009E1FC8" w:rsidRDefault="009E1FC8" w:rsidP="009E1FC8">
      <w:pPr>
        <w:pStyle w:val="H23G"/>
        <w:jc w:val="both"/>
      </w:pPr>
      <w:r>
        <w:tab/>
      </w:r>
      <w:r>
        <w:tab/>
        <w:t>Discussion document on K Value</w:t>
      </w:r>
    </w:p>
    <w:p w14:paraId="413DC8A7" w14:textId="7FD45930" w:rsidR="009E1FC8" w:rsidRDefault="009E1FC8" w:rsidP="009E1FC8">
      <w:pPr>
        <w:pStyle w:val="SingleTxtG"/>
      </w:pPr>
      <w:r w:rsidRPr="008A333E">
        <w:t xml:space="preserve">The </w:t>
      </w:r>
      <w:r w:rsidRPr="00D422FE">
        <w:t>Working</w:t>
      </w:r>
      <w:r w:rsidRPr="008A333E">
        <w:t xml:space="preserve"> Party </w:t>
      </w:r>
      <w:r>
        <w:t>may wish to discuss</w:t>
      </w:r>
      <w:r w:rsidRPr="008A333E">
        <w:t xml:space="preserve"> </w:t>
      </w:r>
      <w:r>
        <w:t>the proposal by the United Kingdom (ECE/TRANS/WP.11/2021/21).</w:t>
      </w:r>
    </w:p>
    <w:p w14:paraId="7B87BAD2" w14:textId="3CA371F7" w:rsidR="00984B29" w:rsidRDefault="00984B29" w:rsidP="00984B29">
      <w:pPr>
        <w:pStyle w:val="SingleTxtG"/>
        <w:ind w:firstLine="567"/>
      </w:pPr>
      <w:r w:rsidRPr="00C17703">
        <w:rPr>
          <w:lang w:val="en-IE"/>
        </w:rPr>
        <w:t>T</w:t>
      </w:r>
      <w:r>
        <w:rPr>
          <w:lang w:val="en-IE"/>
        </w:rPr>
        <w:t xml:space="preserve">he Working Party is </w:t>
      </w:r>
      <w:r>
        <w:t xml:space="preserve">invited to discuss the interpretation of any provisions of the ATP which </w:t>
      </w:r>
      <w:proofErr w:type="gramStart"/>
      <w:r>
        <w:t>are considered to be</w:t>
      </w:r>
      <w:proofErr w:type="gramEnd"/>
      <w:r>
        <w:t xml:space="preserve"> ambiguous or unclear.</w:t>
      </w:r>
    </w:p>
    <w:p w14:paraId="093269E1" w14:textId="18B21694" w:rsidR="00EF779D" w:rsidRPr="004C0A10" w:rsidRDefault="00A11886" w:rsidP="00A07948">
      <w:pPr>
        <w:pStyle w:val="H1G"/>
        <w:jc w:val="both"/>
      </w:pPr>
      <w:r>
        <w:lastRenderedPageBreak/>
        <w:tab/>
      </w:r>
      <w:r w:rsidR="00456312">
        <w:t>5</w:t>
      </w:r>
      <w:r w:rsidR="004C0A10">
        <w:t>.</w:t>
      </w:r>
      <w:r w:rsidR="00EF779D">
        <w:tab/>
        <w:t xml:space="preserve">Proposals of </w:t>
      </w:r>
      <w:r w:rsidR="00EF779D" w:rsidRPr="00D86A74">
        <w:t>amendments</w:t>
      </w:r>
      <w:r w:rsidR="00EF779D">
        <w:t xml:space="preserve"> to ATP</w:t>
      </w:r>
    </w:p>
    <w:p w14:paraId="6E149EE6" w14:textId="77777777" w:rsidR="00EF779D" w:rsidRDefault="007C2C1A" w:rsidP="00A07948">
      <w:pPr>
        <w:pStyle w:val="H23G"/>
        <w:jc w:val="both"/>
      </w:pPr>
      <w:r>
        <w:tab/>
      </w:r>
      <w:r w:rsidR="00EF779D">
        <w:t>(a)</w:t>
      </w:r>
      <w:r w:rsidR="00EF779D">
        <w:tab/>
        <w:t xml:space="preserve">Pending </w:t>
      </w:r>
      <w:r w:rsidR="00EF779D" w:rsidRPr="00D86A74">
        <w:t>proposals</w:t>
      </w:r>
    </w:p>
    <w:p w14:paraId="0D6920CB" w14:textId="703FC14D" w:rsidR="008E1709" w:rsidRDefault="008E1709" w:rsidP="006F6FBB">
      <w:pPr>
        <w:pStyle w:val="H23G"/>
        <w:jc w:val="both"/>
      </w:pPr>
      <w:r>
        <w:tab/>
      </w:r>
      <w:r>
        <w:tab/>
        <w:t xml:space="preserve">Definition of the independence of a unit </w:t>
      </w:r>
      <w:proofErr w:type="gramStart"/>
      <w:r>
        <w:t>taking into account</w:t>
      </w:r>
      <w:proofErr w:type="gramEnd"/>
      <w:r>
        <w:t xml:space="preserve"> mixed energy source technologies</w:t>
      </w:r>
    </w:p>
    <w:p w14:paraId="58E79005" w14:textId="065E20EE" w:rsidR="008E1709" w:rsidRDefault="008E1709" w:rsidP="008E1709">
      <w:pPr>
        <w:pStyle w:val="SingleTxtG"/>
      </w:pPr>
      <w:r w:rsidRPr="008A333E">
        <w:t xml:space="preserve">The </w:t>
      </w:r>
      <w:r w:rsidRPr="00D422FE">
        <w:t>Working</w:t>
      </w:r>
      <w:r w:rsidRPr="008A333E">
        <w:t xml:space="preserve"> Party </w:t>
      </w:r>
      <w:r>
        <w:t>may wish to discuss</w:t>
      </w:r>
      <w:r w:rsidRPr="008A333E">
        <w:t xml:space="preserve"> </w:t>
      </w:r>
      <w:r>
        <w:t>the proposal by France (ECE/TRANS/WP.11/2020/1</w:t>
      </w:r>
      <w:r w:rsidR="00CE569E">
        <w:t>/Rev.</w:t>
      </w:r>
      <w:r w:rsidR="00456312">
        <w:t>2</w:t>
      </w:r>
      <w:r>
        <w:t>)</w:t>
      </w:r>
      <w:r w:rsidR="00133A79">
        <w:t xml:space="preserve"> as well as the proposal by the Netherlands in informal document INF</w:t>
      </w:r>
      <w:r w:rsidR="00C87D54">
        <w:t>.7</w:t>
      </w:r>
      <w:r>
        <w:t>.</w:t>
      </w:r>
    </w:p>
    <w:p w14:paraId="4176B616" w14:textId="30FC1DCB" w:rsidR="00265D1B" w:rsidRPr="008E1709" w:rsidRDefault="00265D1B" w:rsidP="00265D1B">
      <w:pPr>
        <w:pStyle w:val="H23G"/>
        <w:jc w:val="both"/>
      </w:pPr>
      <w:r>
        <w:tab/>
      </w:r>
      <w:r>
        <w:tab/>
        <w:t>Amendment relating to the use of checks to be carried out under paragraph 4.3.4 of annex 1, appendix 2, of ATP of 6 January 20</w:t>
      </w:r>
      <w:r w:rsidR="00386A9A">
        <w:t>20</w:t>
      </w:r>
    </w:p>
    <w:p w14:paraId="2ECC766D" w14:textId="6B6FE83F" w:rsidR="00265D1B" w:rsidRDefault="00265D1B" w:rsidP="00265D1B">
      <w:pPr>
        <w:pStyle w:val="SingleTxtG"/>
      </w:pPr>
      <w:r w:rsidRPr="008A333E">
        <w:t xml:space="preserve">The </w:t>
      </w:r>
      <w:r w:rsidRPr="00D422FE">
        <w:t>Working</w:t>
      </w:r>
      <w:r w:rsidRPr="008A333E">
        <w:t xml:space="preserve"> Party </w:t>
      </w:r>
      <w:r>
        <w:t>may wish to discuss</w:t>
      </w:r>
      <w:r w:rsidRPr="008A333E">
        <w:t xml:space="preserve"> </w:t>
      </w:r>
      <w:r>
        <w:t>the proposal by France (ECE/TRANS/WP.11/2020/3</w:t>
      </w:r>
      <w:r w:rsidR="00CE569E">
        <w:t>/Rev.</w:t>
      </w:r>
      <w:r w:rsidR="00E151B9">
        <w:t>2</w:t>
      </w:r>
      <w:r>
        <w:t>).</w:t>
      </w:r>
    </w:p>
    <w:p w14:paraId="506BB65A" w14:textId="3F2DA636" w:rsidR="005D1763" w:rsidRDefault="005D1763" w:rsidP="005D1763">
      <w:pPr>
        <w:pStyle w:val="H23G"/>
        <w:jc w:val="both"/>
      </w:pPr>
      <w:r>
        <w:tab/>
      </w:r>
      <w:r>
        <w:tab/>
        <w:t xml:space="preserve">Amendments to the models of reports that define the specifications of equipment and tanks for the carriage of liquid foodstuffs resulting from the need to </w:t>
      </w:r>
      <w:proofErr w:type="gramStart"/>
      <w:r>
        <w:t>take into account</w:t>
      </w:r>
      <w:proofErr w:type="gramEnd"/>
      <w:r>
        <w:t xml:space="preserve"> technological developments brought about by the use of new insulating </w:t>
      </w:r>
      <w:r w:rsidR="00F72194">
        <w:t>materials</w:t>
      </w:r>
    </w:p>
    <w:p w14:paraId="238EAF12" w14:textId="554E309F" w:rsidR="005D1763" w:rsidRDefault="005D1763" w:rsidP="005D1763">
      <w:pPr>
        <w:pStyle w:val="SingleTxtG"/>
      </w:pPr>
      <w:r w:rsidRPr="008A333E">
        <w:t xml:space="preserve">The </w:t>
      </w:r>
      <w:r w:rsidRPr="00D422FE">
        <w:t>Working</w:t>
      </w:r>
      <w:r w:rsidRPr="008A333E">
        <w:t xml:space="preserve"> Party </w:t>
      </w:r>
      <w:r>
        <w:t>may wish to discuss</w:t>
      </w:r>
      <w:r w:rsidRPr="008A333E">
        <w:t xml:space="preserve"> </w:t>
      </w:r>
      <w:r>
        <w:t>the proposal by France (ECE/TRANS/WP.11/2020/4</w:t>
      </w:r>
      <w:r w:rsidR="00CE569E">
        <w:t>/Rev.</w:t>
      </w:r>
      <w:r w:rsidR="002A1321">
        <w:t>2</w:t>
      </w:r>
      <w:r>
        <w:t>).</w:t>
      </w:r>
    </w:p>
    <w:p w14:paraId="7DB71BBD" w14:textId="6EE95EA2" w:rsidR="006F6FBB" w:rsidRPr="006F549C" w:rsidRDefault="006F6FBB" w:rsidP="006F6FBB">
      <w:pPr>
        <w:pStyle w:val="H23G"/>
        <w:jc w:val="both"/>
      </w:pPr>
      <w:r>
        <w:tab/>
      </w:r>
      <w:r>
        <w:tab/>
      </w:r>
      <w:r w:rsidRPr="003A6A6A">
        <w:rPr>
          <w:lang w:val="en-US"/>
        </w:rPr>
        <w:t xml:space="preserve">Amendment </w:t>
      </w:r>
      <w:r>
        <w:rPr>
          <w:lang w:val="en-US"/>
        </w:rPr>
        <w:t>t</w:t>
      </w:r>
      <w:r w:rsidRPr="003A6A6A">
        <w:rPr>
          <w:lang w:val="en-US"/>
        </w:rPr>
        <w:t xml:space="preserve">o Annex 1, Appendix 2 </w:t>
      </w:r>
      <w:r>
        <w:rPr>
          <w:lang w:val="en-US"/>
        </w:rPr>
        <w:t>p</w:t>
      </w:r>
      <w:r w:rsidRPr="003A6A6A">
        <w:rPr>
          <w:lang w:val="en-US"/>
        </w:rPr>
        <w:t>aragraph 3.2.6 and the ATP Handbook</w:t>
      </w:r>
    </w:p>
    <w:p w14:paraId="74B016FF" w14:textId="09E057C7" w:rsidR="006F6FBB" w:rsidRDefault="006F6FBB" w:rsidP="006F6FBB">
      <w:pPr>
        <w:pStyle w:val="SingleTxtG"/>
      </w:pPr>
      <w:r w:rsidRPr="008A333E">
        <w:t xml:space="preserve">The </w:t>
      </w:r>
      <w:r w:rsidRPr="00D422FE">
        <w:t>Working</w:t>
      </w:r>
      <w:r w:rsidRPr="008A333E">
        <w:t xml:space="preserve"> Party </w:t>
      </w:r>
      <w:r>
        <w:t>may wish to discuss</w:t>
      </w:r>
      <w:r w:rsidRPr="008A333E">
        <w:t xml:space="preserve"> </w:t>
      </w:r>
      <w:r>
        <w:t>the proposal by the United Kingdom (ECE/TRANS/WP.11/20</w:t>
      </w:r>
      <w:r w:rsidR="008E1709">
        <w:t>20</w:t>
      </w:r>
      <w:r>
        <w:t>/5</w:t>
      </w:r>
      <w:r w:rsidR="00CE569E">
        <w:t>/Rev.</w:t>
      </w:r>
      <w:r w:rsidR="007F39E1">
        <w:t>2</w:t>
      </w:r>
      <w:r>
        <w:t>).</w:t>
      </w:r>
    </w:p>
    <w:p w14:paraId="5FBAA48F" w14:textId="77777777" w:rsidR="00B72716" w:rsidRPr="008E1709" w:rsidRDefault="00B72716" w:rsidP="00B72716">
      <w:pPr>
        <w:pStyle w:val="H23G"/>
        <w:jc w:val="both"/>
      </w:pPr>
      <w:r>
        <w:tab/>
      </w:r>
      <w:r>
        <w:tab/>
      </w:r>
      <w:r w:rsidRPr="00733E57">
        <w:t>Introduction of type examination certificates as a means of establish</w:t>
      </w:r>
      <w:r>
        <w:t>ing</w:t>
      </w:r>
      <w:r w:rsidRPr="00733E57">
        <w:t xml:space="preserve"> conformity of design and </w:t>
      </w:r>
      <w:r>
        <w:t xml:space="preserve">of </w:t>
      </w:r>
      <w:r w:rsidRPr="00733E57">
        <w:t>testing carried out in accordance with ATP protocols</w:t>
      </w:r>
    </w:p>
    <w:p w14:paraId="22277B87" w14:textId="0C8560BE" w:rsidR="00B72716" w:rsidRDefault="00B72716" w:rsidP="009B2DA8">
      <w:pPr>
        <w:pStyle w:val="SingleTxtG"/>
      </w:pPr>
      <w:r w:rsidRPr="008A333E">
        <w:t xml:space="preserve">The </w:t>
      </w:r>
      <w:r w:rsidRPr="00D422FE">
        <w:t>Working</w:t>
      </w:r>
      <w:r w:rsidRPr="008A333E">
        <w:t xml:space="preserve"> Party </w:t>
      </w:r>
      <w:r>
        <w:t>may wish to discuss</w:t>
      </w:r>
      <w:r w:rsidRPr="008A333E">
        <w:t xml:space="preserve"> </w:t>
      </w:r>
      <w:r>
        <w:t>the proposal by France (ECE/TRANS/WP.11/2021/5).</w:t>
      </w:r>
    </w:p>
    <w:p w14:paraId="59008EB3" w14:textId="77777777" w:rsidR="008066F3" w:rsidRPr="00DC58F7" w:rsidRDefault="007C2C1A" w:rsidP="00A07948">
      <w:pPr>
        <w:pStyle w:val="H23G"/>
        <w:jc w:val="both"/>
        <w:rPr>
          <w:lang w:val="en-US"/>
        </w:rPr>
      </w:pPr>
      <w:r>
        <w:tab/>
      </w:r>
      <w:r w:rsidR="008066F3">
        <w:t>(b)</w:t>
      </w:r>
      <w:r w:rsidR="008066F3">
        <w:tab/>
        <w:t xml:space="preserve">New </w:t>
      </w:r>
      <w:r w:rsidR="008066F3" w:rsidRPr="00D422FE">
        <w:t>proposals</w:t>
      </w:r>
    </w:p>
    <w:p w14:paraId="5D40D21D" w14:textId="65E6FBC1" w:rsidR="008E1709" w:rsidRPr="008E1709" w:rsidRDefault="008E1709" w:rsidP="008E1709">
      <w:pPr>
        <w:pStyle w:val="H23G"/>
        <w:jc w:val="both"/>
      </w:pPr>
      <w:r>
        <w:tab/>
      </w:r>
      <w:r>
        <w:tab/>
      </w:r>
      <w:r w:rsidR="005458E6">
        <w:t>Editorial correction in formula in appendix 2, annex 1, procedure 4.5.2</w:t>
      </w:r>
    </w:p>
    <w:p w14:paraId="2BDF325D" w14:textId="7FEEF0A3" w:rsidR="00BD04BE" w:rsidRDefault="008E1709" w:rsidP="008E1709">
      <w:pPr>
        <w:pStyle w:val="SingleTxtG"/>
      </w:pPr>
      <w:r w:rsidRPr="008A333E">
        <w:t xml:space="preserve">The </w:t>
      </w:r>
      <w:r w:rsidRPr="00D422FE">
        <w:t>Working</w:t>
      </w:r>
      <w:r w:rsidRPr="008A333E">
        <w:t xml:space="preserve"> Party </w:t>
      </w:r>
      <w:r>
        <w:t>may wish to discuss</w:t>
      </w:r>
      <w:r w:rsidRPr="008A333E">
        <w:t xml:space="preserve"> </w:t>
      </w:r>
      <w:r>
        <w:t xml:space="preserve">the proposal by </w:t>
      </w:r>
      <w:r w:rsidR="005458E6">
        <w:t xml:space="preserve">Spain </w:t>
      </w:r>
      <w:r>
        <w:t>(ECE/TRANS/WP.11/</w:t>
      </w:r>
      <w:r w:rsidR="005458E6">
        <w:t>2021</w:t>
      </w:r>
      <w:r>
        <w:t>/2).</w:t>
      </w:r>
    </w:p>
    <w:p w14:paraId="04AF4165" w14:textId="3A29FD25" w:rsidR="009D4AE1" w:rsidRPr="008E1709" w:rsidRDefault="009D4AE1" w:rsidP="009D4AE1">
      <w:pPr>
        <w:pStyle w:val="H23G"/>
        <w:jc w:val="both"/>
      </w:pPr>
      <w:r>
        <w:tab/>
      </w:r>
      <w:r>
        <w:tab/>
      </w:r>
      <w:r w:rsidR="00D3137E">
        <w:t>Amendment to Annex 1, Appendix 2 paragraph 1.2, Testing Method C</w:t>
      </w:r>
    </w:p>
    <w:p w14:paraId="526C671A" w14:textId="3D8F697F" w:rsidR="009D4AE1" w:rsidRDefault="009D4AE1" w:rsidP="009D4AE1">
      <w:pPr>
        <w:pStyle w:val="SingleTxtG"/>
      </w:pPr>
      <w:r w:rsidRPr="008A333E">
        <w:t xml:space="preserve">The </w:t>
      </w:r>
      <w:r w:rsidRPr="00D422FE">
        <w:t>Working</w:t>
      </w:r>
      <w:r w:rsidRPr="008A333E">
        <w:t xml:space="preserve"> Party </w:t>
      </w:r>
      <w:r>
        <w:t>may wish to discuss</w:t>
      </w:r>
      <w:r w:rsidRPr="008A333E">
        <w:t xml:space="preserve"> </w:t>
      </w:r>
      <w:r>
        <w:t>the proposal by Spain (ECE/TRANS/WP.11/2021/3</w:t>
      </w:r>
      <w:r w:rsidR="00045490">
        <w:t xml:space="preserve"> and informal document INF.2</w:t>
      </w:r>
      <w:r>
        <w:t>).</w:t>
      </w:r>
    </w:p>
    <w:p w14:paraId="3C94FE04" w14:textId="11C78E93" w:rsidR="00D3137E" w:rsidRPr="008E1709" w:rsidRDefault="00D3137E" w:rsidP="00D3137E">
      <w:pPr>
        <w:pStyle w:val="H23G"/>
        <w:jc w:val="both"/>
      </w:pPr>
      <w:r>
        <w:tab/>
      </w:r>
      <w:r>
        <w:tab/>
      </w:r>
      <w:r w:rsidR="00EB6262">
        <w:t>Inclusion of an additional iterative method for tanks to Annex 1, Appendix 2, paragraph 1.2</w:t>
      </w:r>
    </w:p>
    <w:p w14:paraId="3AE1C13C" w14:textId="11AE3347" w:rsidR="00D3137E" w:rsidRDefault="00D3137E" w:rsidP="00D3137E">
      <w:pPr>
        <w:pStyle w:val="SingleTxtG"/>
      </w:pPr>
      <w:r w:rsidRPr="008A333E">
        <w:t xml:space="preserve">The </w:t>
      </w:r>
      <w:r w:rsidRPr="00D422FE">
        <w:t>Working</w:t>
      </w:r>
      <w:r w:rsidRPr="008A333E">
        <w:t xml:space="preserve"> Party </w:t>
      </w:r>
      <w:r>
        <w:t>may wish to discuss</w:t>
      </w:r>
      <w:r w:rsidRPr="008A333E">
        <w:t xml:space="preserve"> </w:t>
      </w:r>
      <w:r>
        <w:t>the proposal by Spain (ECE/TRANS/WP.11/2021/4</w:t>
      </w:r>
      <w:r w:rsidR="00045490">
        <w:t xml:space="preserve"> and informal document INF.2</w:t>
      </w:r>
      <w:r>
        <w:t>).</w:t>
      </w:r>
    </w:p>
    <w:p w14:paraId="418CA011" w14:textId="5B8D0ECC" w:rsidR="002655E5" w:rsidRPr="008E1709" w:rsidRDefault="002655E5" w:rsidP="00AB0E17">
      <w:pPr>
        <w:pStyle w:val="H23G"/>
        <w:jc w:val="both"/>
      </w:pPr>
      <w:r>
        <w:tab/>
      </w:r>
      <w:r>
        <w:tab/>
      </w:r>
      <w:r w:rsidR="00C65CD8">
        <w:t xml:space="preserve">Amendment to model reports that define </w:t>
      </w:r>
      <w:r w:rsidR="00AB0E17">
        <w:t>how to determine</w:t>
      </w:r>
      <w:r w:rsidR="00C65CD8">
        <w:t xml:space="preserve"> the effective refrigerating capacity of a refrigeration unit</w:t>
      </w:r>
      <w:r w:rsidR="00AB0E17">
        <w:t xml:space="preserve">, </w:t>
      </w:r>
      <w:r w:rsidR="00707DA2">
        <w:t>in order</w:t>
      </w:r>
      <w:r w:rsidR="00C65CD8">
        <w:t xml:space="preserve"> to take into </w:t>
      </w:r>
      <w:proofErr w:type="gramStart"/>
      <w:r w:rsidR="00C65CD8">
        <w:t>account</w:t>
      </w:r>
      <w:proofErr w:type="gramEnd"/>
      <w:r w:rsidR="00C65CD8">
        <w:t xml:space="preserve"> the</w:t>
      </w:r>
      <w:r w:rsidR="00AB0E17">
        <w:t xml:space="preserve"> </w:t>
      </w:r>
      <w:r w:rsidR="00C65CD8">
        <w:t xml:space="preserve">impact </w:t>
      </w:r>
      <w:r w:rsidR="001214D7">
        <w:t xml:space="preserve">of different software versions </w:t>
      </w:r>
      <w:r w:rsidR="00C65CD8">
        <w:t xml:space="preserve">on the performance of said units </w:t>
      </w:r>
    </w:p>
    <w:p w14:paraId="4AE58351" w14:textId="2710D5F4" w:rsidR="002655E5" w:rsidRDefault="002655E5" w:rsidP="002655E5">
      <w:pPr>
        <w:pStyle w:val="SingleTxtG"/>
      </w:pPr>
      <w:r w:rsidRPr="008A333E">
        <w:t xml:space="preserve">The </w:t>
      </w:r>
      <w:r w:rsidRPr="00D422FE">
        <w:t>Working</w:t>
      </w:r>
      <w:r w:rsidRPr="008A333E">
        <w:t xml:space="preserve"> Party </w:t>
      </w:r>
      <w:r>
        <w:t>may wish to discuss</w:t>
      </w:r>
      <w:r w:rsidRPr="008A333E">
        <w:t xml:space="preserve"> </w:t>
      </w:r>
      <w:r>
        <w:t>the proposal by France (ECE/TRANS/WP.11/2021/6).</w:t>
      </w:r>
    </w:p>
    <w:p w14:paraId="4BECB261" w14:textId="7E0F06D7" w:rsidR="002655E5" w:rsidRPr="008E1709" w:rsidRDefault="002655E5" w:rsidP="0040003B">
      <w:pPr>
        <w:pStyle w:val="H23G"/>
      </w:pPr>
      <w:r>
        <w:lastRenderedPageBreak/>
        <w:tab/>
      </w:r>
      <w:r>
        <w:tab/>
      </w:r>
      <w:r w:rsidR="0042725F">
        <w:t>Proposal of amendment to Annex 1, Appendix 2, paragraph 6.2.3</w:t>
      </w:r>
      <w:r w:rsidR="005621C4">
        <w:t xml:space="preserve">: </w:t>
      </w:r>
      <w:r w:rsidR="00AB52FC" w:rsidRPr="0040003B">
        <w:t>Replacement</w:t>
      </w:r>
      <w:r w:rsidR="00AB52FC" w:rsidRPr="00F62CBD">
        <w:t xml:space="preserve"> of the original refrigerant fluid</w:t>
      </w:r>
      <w:r w:rsidR="00AB52FC">
        <w:t xml:space="preserve"> by </w:t>
      </w:r>
      <w:r w:rsidR="00150740">
        <w:t>other</w:t>
      </w:r>
      <w:r w:rsidR="00804C44">
        <w:t xml:space="preserve"> refrigerant fluid</w:t>
      </w:r>
    </w:p>
    <w:p w14:paraId="52840AAE" w14:textId="7A495913" w:rsidR="002655E5" w:rsidRDefault="002655E5" w:rsidP="002655E5">
      <w:pPr>
        <w:pStyle w:val="SingleTxtG"/>
      </w:pPr>
      <w:r w:rsidRPr="008A333E">
        <w:t xml:space="preserve">The </w:t>
      </w:r>
      <w:r w:rsidRPr="00D422FE">
        <w:t>Working</w:t>
      </w:r>
      <w:r w:rsidRPr="008A333E">
        <w:t xml:space="preserve"> Party </w:t>
      </w:r>
      <w:r>
        <w:t>may wish to discuss</w:t>
      </w:r>
      <w:r w:rsidRPr="008A333E">
        <w:t xml:space="preserve"> </w:t>
      </w:r>
      <w:r>
        <w:t>the proposal by France (ECE/TRANS/WP.11/2021/7).</w:t>
      </w:r>
    </w:p>
    <w:p w14:paraId="6AEB1680" w14:textId="392A171A" w:rsidR="002655E5" w:rsidRPr="008E1709" w:rsidRDefault="002655E5" w:rsidP="00450128">
      <w:pPr>
        <w:pStyle w:val="H23G"/>
        <w:jc w:val="both"/>
      </w:pPr>
      <w:r>
        <w:tab/>
      </w:r>
      <w:r>
        <w:tab/>
      </w:r>
      <w:r w:rsidR="00450128">
        <w:t>Simplification of the procedure for measuring the capacity of liquefied gas refrigeration units</w:t>
      </w:r>
    </w:p>
    <w:p w14:paraId="57CB1C38" w14:textId="5E276A20" w:rsidR="002655E5" w:rsidRDefault="002655E5" w:rsidP="002655E5">
      <w:pPr>
        <w:pStyle w:val="SingleTxtG"/>
      </w:pPr>
      <w:r w:rsidRPr="008A333E">
        <w:t xml:space="preserve">The </w:t>
      </w:r>
      <w:r w:rsidRPr="00D422FE">
        <w:t>Working</w:t>
      </w:r>
      <w:r w:rsidRPr="008A333E">
        <w:t xml:space="preserve"> Party </w:t>
      </w:r>
      <w:r>
        <w:t>may wish to discuss</w:t>
      </w:r>
      <w:r w:rsidRPr="008A333E">
        <w:t xml:space="preserve"> </w:t>
      </w:r>
      <w:r>
        <w:t>the proposal by France (ECE/TRANS/WP.11/2021/8).</w:t>
      </w:r>
    </w:p>
    <w:p w14:paraId="291F3866" w14:textId="40F9FF28" w:rsidR="002655E5" w:rsidRPr="008E1709" w:rsidRDefault="002655E5" w:rsidP="007E68B7">
      <w:pPr>
        <w:pStyle w:val="H23G"/>
        <w:jc w:val="both"/>
      </w:pPr>
      <w:r>
        <w:tab/>
      </w:r>
      <w:r>
        <w:tab/>
      </w:r>
      <w:r w:rsidR="007E68B7">
        <w:t xml:space="preserve">Editorial amendment concerning a terminology error in the Russian and English versions </w:t>
      </w:r>
      <w:r w:rsidR="009955C7">
        <w:t xml:space="preserve">of </w:t>
      </w:r>
      <w:r w:rsidR="007E68B7">
        <w:t xml:space="preserve">paragraph 7.3.7 of Annex 1, Appendix 2 of the ATP </w:t>
      </w:r>
      <w:r w:rsidR="009955C7">
        <w:t>applicable from</w:t>
      </w:r>
      <w:r w:rsidR="006B471B">
        <w:t xml:space="preserve"> 6</w:t>
      </w:r>
      <w:r w:rsidR="007E68B7">
        <w:t xml:space="preserve"> July 2020</w:t>
      </w:r>
    </w:p>
    <w:p w14:paraId="2DC374AD" w14:textId="7F11C6BF" w:rsidR="002655E5" w:rsidRDefault="002655E5" w:rsidP="002655E5">
      <w:pPr>
        <w:pStyle w:val="SingleTxtG"/>
      </w:pPr>
      <w:r w:rsidRPr="008A333E">
        <w:t xml:space="preserve">The </w:t>
      </w:r>
      <w:r w:rsidRPr="00D422FE">
        <w:t>Working</w:t>
      </w:r>
      <w:r w:rsidRPr="008A333E">
        <w:t xml:space="preserve"> Party </w:t>
      </w:r>
      <w:r>
        <w:t>may wish to discuss</w:t>
      </w:r>
      <w:r w:rsidRPr="008A333E">
        <w:t xml:space="preserve"> </w:t>
      </w:r>
      <w:r>
        <w:t>the proposal by France (ECE/TRANS/WP.11/2021/9).</w:t>
      </w:r>
    </w:p>
    <w:p w14:paraId="5BB0C198" w14:textId="4FF1E5F1" w:rsidR="00DC0B94" w:rsidRPr="008E1709" w:rsidRDefault="00DC0B94" w:rsidP="00A61946">
      <w:pPr>
        <w:pStyle w:val="H23G"/>
        <w:jc w:val="both"/>
      </w:pPr>
      <w:r>
        <w:tab/>
      </w:r>
      <w:r>
        <w:tab/>
      </w:r>
      <w:r w:rsidR="00A61946">
        <w:t>Possibility of voluntary exten</w:t>
      </w:r>
      <w:r w:rsidR="00AD7CC9">
        <w:t>ding the scope of bilateral and multilateral agreements under the ATP Agreement</w:t>
      </w:r>
      <w:r w:rsidR="00A61946">
        <w:t xml:space="preserve"> to foodstuffs that may become unfit for human consumption </w:t>
      </w:r>
    </w:p>
    <w:p w14:paraId="26FFCB66" w14:textId="5A5FE07B" w:rsidR="00DC0B94" w:rsidRDefault="00DC0B94" w:rsidP="00DC0B94">
      <w:pPr>
        <w:pStyle w:val="SingleTxtG"/>
      </w:pPr>
      <w:r w:rsidRPr="008A333E">
        <w:t xml:space="preserve">The </w:t>
      </w:r>
      <w:r w:rsidRPr="00D422FE">
        <w:t>Working</w:t>
      </w:r>
      <w:r w:rsidRPr="008A333E">
        <w:t xml:space="preserve"> Party </w:t>
      </w:r>
      <w:r>
        <w:t>may wish to discuss</w:t>
      </w:r>
      <w:r w:rsidRPr="008A333E">
        <w:t xml:space="preserve"> </w:t>
      </w:r>
      <w:r>
        <w:t>the proposal by France (ECE/TRANS/WP.11/2021/10).</w:t>
      </w:r>
    </w:p>
    <w:p w14:paraId="2B33A993" w14:textId="171E7DD0" w:rsidR="00632E7B" w:rsidRDefault="00632E7B" w:rsidP="00632E7B">
      <w:pPr>
        <w:pStyle w:val="H23G"/>
        <w:jc w:val="both"/>
      </w:pPr>
      <w:r>
        <w:tab/>
      </w:r>
      <w:r>
        <w:tab/>
        <w:t xml:space="preserve">Proposal to amend Annex 1, Appendix 2, paragraph 7.1 (a) and Annex 1, Appendix 4 Definition of multi-compartment equipment and distinguishing marks of </w:t>
      </w:r>
      <w:proofErr w:type="spellStart"/>
      <w:r>
        <w:t>multitemp</w:t>
      </w:r>
      <w:proofErr w:type="spellEnd"/>
      <w:r>
        <w:t xml:space="preserve"> equipment with unconditioned compartments</w:t>
      </w:r>
    </w:p>
    <w:p w14:paraId="16C63228" w14:textId="4127AC48" w:rsidR="006456B5" w:rsidRDefault="006456B5" w:rsidP="006456B5">
      <w:pPr>
        <w:pStyle w:val="SingleTxtG"/>
      </w:pPr>
      <w:r w:rsidRPr="008A333E">
        <w:t xml:space="preserve">The </w:t>
      </w:r>
      <w:r w:rsidRPr="00D422FE">
        <w:t>Working</w:t>
      </w:r>
      <w:r w:rsidRPr="008A333E">
        <w:t xml:space="preserve"> Party </w:t>
      </w:r>
      <w:r>
        <w:t>may wish to discuss</w:t>
      </w:r>
      <w:r w:rsidRPr="008A333E">
        <w:t xml:space="preserve"> </w:t>
      </w:r>
      <w:r>
        <w:t>the proposal by Germany (ECE/TRANS/WP.11/2021/1</w:t>
      </w:r>
      <w:r w:rsidR="00CF2F32">
        <w:t>4</w:t>
      </w:r>
      <w:r>
        <w:t>).</w:t>
      </w:r>
    </w:p>
    <w:p w14:paraId="2A091E93" w14:textId="3C1A8D14" w:rsidR="00CF2F32" w:rsidRDefault="00040251" w:rsidP="00040251">
      <w:pPr>
        <w:pStyle w:val="H23G"/>
        <w:jc w:val="both"/>
      </w:pPr>
      <w:r>
        <w:tab/>
      </w:r>
      <w:r>
        <w:tab/>
        <w:t>Proposal to amend Annex 1, Appendix 2, paragraph 7.3.7: Correction of the table</w:t>
      </w:r>
    </w:p>
    <w:p w14:paraId="44EF6A87" w14:textId="67526029" w:rsidR="00040251" w:rsidRDefault="00040251" w:rsidP="00040251">
      <w:pPr>
        <w:pStyle w:val="SingleTxtG"/>
      </w:pPr>
      <w:r w:rsidRPr="008A333E">
        <w:t xml:space="preserve">The </w:t>
      </w:r>
      <w:r w:rsidRPr="00D422FE">
        <w:t>Working</w:t>
      </w:r>
      <w:r w:rsidRPr="008A333E">
        <w:t xml:space="preserve"> Party </w:t>
      </w:r>
      <w:r>
        <w:t>may wish to discuss</w:t>
      </w:r>
      <w:r w:rsidRPr="008A333E">
        <w:t xml:space="preserve"> </w:t>
      </w:r>
      <w:r>
        <w:t>the proposal by Germany (ECE/TRANS/WP.11/2021/1</w:t>
      </w:r>
      <w:r w:rsidR="0089452B">
        <w:t>5</w:t>
      </w:r>
      <w:r>
        <w:t>).</w:t>
      </w:r>
    </w:p>
    <w:p w14:paraId="2883638C" w14:textId="1706775E" w:rsidR="00CC6EBE" w:rsidRDefault="0029377D" w:rsidP="0029377D">
      <w:pPr>
        <w:pStyle w:val="H23G"/>
        <w:jc w:val="both"/>
      </w:pPr>
      <w:r>
        <w:tab/>
      </w:r>
      <w:r>
        <w:tab/>
        <w:t xml:space="preserve">Proposal to amend Annex 1, Appendix 2, paragraphs 7.3.2, 7.3.3 and 7.3.4: Reference of </w:t>
      </w:r>
      <w:proofErr w:type="spellStart"/>
      <w:r>
        <w:t>multitemp</w:t>
      </w:r>
      <w:proofErr w:type="spellEnd"/>
      <w:r>
        <w:t xml:space="preserve"> calculations</w:t>
      </w:r>
    </w:p>
    <w:p w14:paraId="4BE0E545" w14:textId="49CBBFA1" w:rsidR="00CC6EBE" w:rsidRDefault="00CC6EBE" w:rsidP="00CC6EBE">
      <w:pPr>
        <w:pStyle w:val="SingleTxtG"/>
      </w:pPr>
      <w:r w:rsidRPr="008A333E">
        <w:t xml:space="preserve">The </w:t>
      </w:r>
      <w:r w:rsidRPr="00D422FE">
        <w:t>Working</w:t>
      </w:r>
      <w:r w:rsidRPr="008A333E">
        <w:t xml:space="preserve"> Party </w:t>
      </w:r>
      <w:r>
        <w:t>may wish to discuss</w:t>
      </w:r>
      <w:r w:rsidRPr="008A333E">
        <w:t xml:space="preserve"> </w:t>
      </w:r>
      <w:r>
        <w:t>the proposal by Germany (ECE/TRANS/WP.11/2021/16).</w:t>
      </w:r>
    </w:p>
    <w:p w14:paraId="5E3FE3D4" w14:textId="499A6418" w:rsidR="0089452B" w:rsidRDefault="00085AB9" w:rsidP="00085AB9">
      <w:pPr>
        <w:pStyle w:val="H23G"/>
        <w:jc w:val="both"/>
      </w:pPr>
      <w:r>
        <w:tab/>
      </w:r>
      <w:r>
        <w:tab/>
        <w:t>Proposal to amend Annex 1, Appendix 1, paragraphs 6 (a) and (b) and Annex 1, Appendix 2, Model No. 12</w:t>
      </w:r>
      <w:r w:rsidR="005B2EE1">
        <w:t>:</w:t>
      </w:r>
      <w:r>
        <w:t xml:space="preserve"> Validity of test reports for mechanical refrigeration units</w:t>
      </w:r>
    </w:p>
    <w:p w14:paraId="43C02898" w14:textId="27C6456C" w:rsidR="005B2EE1" w:rsidRDefault="005B2EE1" w:rsidP="005B2EE1">
      <w:pPr>
        <w:pStyle w:val="SingleTxtG"/>
      </w:pPr>
      <w:r w:rsidRPr="008A333E">
        <w:t xml:space="preserve">The </w:t>
      </w:r>
      <w:r w:rsidRPr="00D422FE">
        <w:t>Working</w:t>
      </w:r>
      <w:r w:rsidRPr="008A333E">
        <w:t xml:space="preserve"> Party </w:t>
      </w:r>
      <w:r>
        <w:t>may wish to discuss</w:t>
      </w:r>
      <w:r w:rsidRPr="008A333E">
        <w:t xml:space="preserve"> </w:t>
      </w:r>
      <w:r>
        <w:t>the proposal by Germany (ECE/TRANS/WP.11/2021/1</w:t>
      </w:r>
      <w:r w:rsidR="00EF51E0">
        <w:t>7</w:t>
      </w:r>
      <w:r>
        <w:t>).</w:t>
      </w:r>
    </w:p>
    <w:p w14:paraId="42FEB660" w14:textId="6A27088B" w:rsidR="005B2EE1" w:rsidRDefault="008E42A2" w:rsidP="008E42A2">
      <w:pPr>
        <w:pStyle w:val="H23G"/>
        <w:jc w:val="both"/>
      </w:pPr>
      <w:r>
        <w:tab/>
      </w:r>
      <w:r>
        <w:tab/>
        <w:t>Proposals by the Informal Working Group on the improvement of the approval system of equipment and thermal appliances</w:t>
      </w:r>
    </w:p>
    <w:p w14:paraId="1C885B70" w14:textId="66B29519" w:rsidR="008E42A2" w:rsidRDefault="008E42A2" w:rsidP="008E42A2">
      <w:pPr>
        <w:pStyle w:val="SingleTxtG"/>
      </w:pPr>
      <w:r w:rsidRPr="008A333E">
        <w:t xml:space="preserve">The </w:t>
      </w:r>
      <w:r w:rsidRPr="00D422FE">
        <w:t>Working</w:t>
      </w:r>
      <w:r w:rsidRPr="008A333E">
        <w:t xml:space="preserve"> Party </w:t>
      </w:r>
      <w:r>
        <w:t>may wish to discuss</w:t>
      </w:r>
      <w:r w:rsidRPr="008A333E">
        <w:t xml:space="preserve"> </w:t>
      </w:r>
      <w:r>
        <w:t xml:space="preserve">the proposal </w:t>
      </w:r>
      <w:r w:rsidR="00E31162">
        <w:t xml:space="preserve">submitted by the Government of the Netherlands on behalf of the </w:t>
      </w:r>
      <w:r w:rsidR="008F72CA">
        <w:t>i</w:t>
      </w:r>
      <w:r w:rsidR="00E31162">
        <w:t xml:space="preserve">nformal </w:t>
      </w:r>
      <w:r w:rsidR="008F72CA">
        <w:t>w</w:t>
      </w:r>
      <w:r w:rsidR="00E31162">
        <w:t xml:space="preserve">orking </w:t>
      </w:r>
      <w:r w:rsidR="008F72CA">
        <w:t>g</w:t>
      </w:r>
      <w:r w:rsidR="00E31162">
        <w:t xml:space="preserve">roup </w:t>
      </w:r>
      <w:r>
        <w:t>(ECE/TRANS/WP.11/2021/18).</w:t>
      </w:r>
    </w:p>
    <w:p w14:paraId="7DAD5AD6" w14:textId="74835D3B" w:rsidR="00BF1A6D" w:rsidRDefault="00101AD1" w:rsidP="00101AD1">
      <w:pPr>
        <w:pStyle w:val="H23G"/>
        <w:jc w:val="both"/>
      </w:pPr>
      <w:r>
        <w:tab/>
      </w:r>
      <w:r>
        <w:tab/>
        <w:t>Amendment to Annex 1, Appendix 4</w:t>
      </w:r>
    </w:p>
    <w:p w14:paraId="62A7CF7B" w14:textId="5D595A8D" w:rsidR="00CA0D5A" w:rsidRDefault="00101AD1" w:rsidP="00101AD1">
      <w:pPr>
        <w:pStyle w:val="SingleTxtG"/>
      </w:pPr>
      <w:r w:rsidRPr="008A333E">
        <w:t xml:space="preserve">The </w:t>
      </w:r>
      <w:r w:rsidRPr="00D422FE">
        <w:t>Working</w:t>
      </w:r>
      <w:r w:rsidRPr="008A333E">
        <w:t xml:space="preserve"> Party </w:t>
      </w:r>
      <w:r>
        <w:t>may wish to discuss</w:t>
      </w:r>
      <w:r w:rsidRPr="008A333E">
        <w:t xml:space="preserve"> </w:t>
      </w:r>
      <w:r>
        <w:t>the proposal by the United Kingdom (ECE/TRANS/WP.11/2021/20).</w:t>
      </w:r>
    </w:p>
    <w:p w14:paraId="47F3A99D" w14:textId="427C2689" w:rsidR="0055479C" w:rsidRDefault="0055479C" w:rsidP="0055479C">
      <w:pPr>
        <w:pStyle w:val="H23G"/>
        <w:jc w:val="both"/>
      </w:pPr>
      <w:r>
        <w:tab/>
      </w:r>
      <w:r>
        <w:tab/>
        <w:t>Temporary ATP certificates for prototype equipment for Field Trial Testing</w:t>
      </w:r>
    </w:p>
    <w:p w14:paraId="4BF15941" w14:textId="49D2D21C" w:rsidR="0055479C" w:rsidRDefault="0055479C" w:rsidP="0055479C">
      <w:pPr>
        <w:pStyle w:val="SingleTxtG"/>
      </w:pPr>
      <w:r w:rsidRPr="008A333E">
        <w:t xml:space="preserve">The </w:t>
      </w:r>
      <w:r w:rsidRPr="00D422FE">
        <w:t>Working</w:t>
      </w:r>
      <w:r w:rsidRPr="008A333E">
        <w:t xml:space="preserve"> Party </w:t>
      </w:r>
      <w:r>
        <w:t>may wish to discuss</w:t>
      </w:r>
      <w:r w:rsidRPr="008A333E">
        <w:t xml:space="preserve"> </w:t>
      </w:r>
      <w:r>
        <w:t xml:space="preserve">the proposal by </w:t>
      </w:r>
      <w:r w:rsidR="008118C0">
        <w:t>Transfrigoroute International (TI)</w:t>
      </w:r>
      <w:r>
        <w:t xml:space="preserve"> (ECE/TRANS/WP.11/2021/22).</w:t>
      </w:r>
    </w:p>
    <w:p w14:paraId="37D35EA1" w14:textId="23004DE9" w:rsidR="00A10FB5" w:rsidRDefault="00993D74" w:rsidP="00993D74">
      <w:pPr>
        <w:pStyle w:val="H23G"/>
        <w:jc w:val="both"/>
      </w:pPr>
      <w:r>
        <w:lastRenderedPageBreak/>
        <w:tab/>
      </w:r>
      <w:r>
        <w:tab/>
      </w:r>
      <w:r>
        <w:t>Comments and proposal on declaration of conformity (Annex 1, Appendix 2 paragraph 7.3.6) and the dimensioning of Multi-Compartment, Multi-Temperature equipment (MTMC)</w:t>
      </w:r>
    </w:p>
    <w:p w14:paraId="45767780" w14:textId="4E6A9121" w:rsidR="00993D74" w:rsidRDefault="00993D74" w:rsidP="00993D74">
      <w:pPr>
        <w:pStyle w:val="SingleTxtG"/>
      </w:pPr>
      <w:r w:rsidRPr="008A333E">
        <w:t xml:space="preserve">The </w:t>
      </w:r>
      <w:r w:rsidRPr="00D422FE">
        <w:t>Working</w:t>
      </w:r>
      <w:r w:rsidRPr="008A333E">
        <w:t xml:space="preserve"> Party </w:t>
      </w:r>
      <w:r>
        <w:t>may wish to discuss</w:t>
      </w:r>
      <w:r w:rsidRPr="008A333E">
        <w:t xml:space="preserve"> </w:t>
      </w:r>
      <w:r>
        <w:t>the proposal by Transfrigoroute International (TI) (</w:t>
      </w:r>
      <w:r w:rsidR="00315C6E">
        <w:t>informal document INF.5</w:t>
      </w:r>
      <w:r>
        <w:t>).</w:t>
      </w:r>
    </w:p>
    <w:p w14:paraId="45F057CB" w14:textId="1086C824" w:rsidR="00582A57" w:rsidRPr="008E572B" w:rsidRDefault="00582A57" w:rsidP="00582A57">
      <w:pPr>
        <w:pStyle w:val="H23G"/>
        <w:jc w:val="both"/>
      </w:pPr>
      <w:r>
        <w:tab/>
      </w:r>
      <w:r>
        <w:tab/>
      </w:r>
      <w:r>
        <w:t>Proposed list of major components</w:t>
      </w:r>
    </w:p>
    <w:p w14:paraId="694E79A6" w14:textId="512649E5" w:rsidR="0024590D" w:rsidRDefault="00582A57" w:rsidP="00993D74">
      <w:pPr>
        <w:pStyle w:val="SingleTxtG"/>
      </w:pPr>
      <w:r w:rsidRPr="008A333E">
        <w:t xml:space="preserve">The </w:t>
      </w:r>
      <w:r w:rsidRPr="00D422FE">
        <w:t>Working</w:t>
      </w:r>
      <w:r w:rsidRPr="008A333E">
        <w:t xml:space="preserve"> Party </w:t>
      </w:r>
      <w:r>
        <w:t>may wish to discuss</w:t>
      </w:r>
      <w:r w:rsidRPr="008A333E">
        <w:t xml:space="preserve"> </w:t>
      </w:r>
      <w:r>
        <w:t>the proposal by Transfrigoroute International (TI) (informal document INF.</w:t>
      </w:r>
      <w:r>
        <w:t>6</w:t>
      </w:r>
      <w:r>
        <w:t>).</w:t>
      </w:r>
    </w:p>
    <w:p w14:paraId="1A21A7D9" w14:textId="0C92AD15" w:rsidR="008066F3" w:rsidRDefault="004C0A10" w:rsidP="00D05EC3">
      <w:pPr>
        <w:pStyle w:val="H1G"/>
        <w:spacing w:before="340" w:after="220"/>
        <w:jc w:val="both"/>
      </w:pPr>
      <w:r>
        <w:tab/>
      </w:r>
      <w:r w:rsidR="00456312">
        <w:t>6</w:t>
      </w:r>
      <w:r>
        <w:t>.</w:t>
      </w:r>
      <w:r w:rsidR="008066F3">
        <w:tab/>
        <w:t xml:space="preserve">ATP </w:t>
      </w:r>
      <w:r w:rsidR="008066F3" w:rsidRPr="00D86A74">
        <w:t>Handbook</w:t>
      </w:r>
    </w:p>
    <w:p w14:paraId="2998DF84" w14:textId="77777777" w:rsidR="00415488" w:rsidRPr="006F549C" w:rsidRDefault="00415488" w:rsidP="00415488">
      <w:pPr>
        <w:pStyle w:val="H23G"/>
        <w:jc w:val="both"/>
      </w:pPr>
      <w:r>
        <w:tab/>
      </w:r>
      <w:r>
        <w:tab/>
      </w:r>
      <w:r w:rsidRPr="003A6A6A">
        <w:rPr>
          <w:lang w:val="en-US"/>
        </w:rPr>
        <w:t xml:space="preserve">Amendment </w:t>
      </w:r>
      <w:r>
        <w:rPr>
          <w:lang w:val="en-US"/>
        </w:rPr>
        <w:t>t</w:t>
      </w:r>
      <w:r w:rsidRPr="003A6A6A">
        <w:rPr>
          <w:lang w:val="en-US"/>
        </w:rPr>
        <w:t xml:space="preserve">o Annex 1, Appendix 2 </w:t>
      </w:r>
      <w:r>
        <w:rPr>
          <w:lang w:val="en-US"/>
        </w:rPr>
        <w:t>p</w:t>
      </w:r>
      <w:r w:rsidRPr="003A6A6A">
        <w:rPr>
          <w:lang w:val="en-US"/>
        </w:rPr>
        <w:t>aragraph 3.2.6 and the ATP Handbook</w:t>
      </w:r>
    </w:p>
    <w:p w14:paraId="481A8674" w14:textId="2EE92E47" w:rsidR="006F6FBB" w:rsidRDefault="006F6FBB" w:rsidP="00265C41">
      <w:pPr>
        <w:pStyle w:val="SingleTxtG"/>
      </w:pPr>
      <w:r w:rsidRPr="008A333E">
        <w:t xml:space="preserve">The </w:t>
      </w:r>
      <w:r w:rsidRPr="00D422FE">
        <w:t>Working</w:t>
      </w:r>
      <w:r w:rsidRPr="008A333E">
        <w:t xml:space="preserve"> Party </w:t>
      </w:r>
      <w:r>
        <w:t>may wish to discuss</w:t>
      </w:r>
      <w:r w:rsidRPr="008A333E">
        <w:t xml:space="preserve"> </w:t>
      </w:r>
      <w:r>
        <w:t>the proposal by the United Kingdom (ECE/TRANS/WP.11/20</w:t>
      </w:r>
      <w:r w:rsidR="008E1709">
        <w:t>20</w:t>
      </w:r>
      <w:r>
        <w:t>/5</w:t>
      </w:r>
      <w:r w:rsidR="00CE569E">
        <w:t>/Rev.</w:t>
      </w:r>
      <w:r w:rsidR="001F7DAE">
        <w:t>2</w:t>
      </w:r>
      <w:r>
        <w:t>).</w:t>
      </w:r>
    </w:p>
    <w:p w14:paraId="6D33609A" w14:textId="78313C29" w:rsidR="00794154" w:rsidRDefault="00527887" w:rsidP="00794154">
      <w:pPr>
        <w:pStyle w:val="H23G"/>
        <w:jc w:val="both"/>
      </w:pPr>
      <w:r>
        <w:tab/>
      </w:r>
      <w:r>
        <w:tab/>
      </w:r>
      <w:r w:rsidR="0030232D">
        <w:t>Amendment to paragraph 7.3.6 of Annex 1 Appendix 2 of the ATP Handbook</w:t>
      </w:r>
      <w:r>
        <w:t xml:space="preserve">: </w:t>
      </w:r>
      <w:r w:rsidR="00794154">
        <w:t>Treatment of specific application cases using the multi-temperature equipment dimensioning tool</w:t>
      </w:r>
    </w:p>
    <w:p w14:paraId="418F129A" w14:textId="574D2294" w:rsidR="000E39B3" w:rsidRDefault="000E39B3" w:rsidP="00265C41">
      <w:pPr>
        <w:pStyle w:val="SingleTxtG"/>
      </w:pPr>
      <w:r w:rsidRPr="008A333E">
        <w:t xml:space="preserve">The </w:t>
      </w:r>
      <w:r w:rsidRPr="00D422FE">
        <w:t>Working</w:t>
      </w:r>
      <w:r w:rsidRPr="008A333E">
        <w:t xml:space="preserve"> Party </w:t>
      </w:r>
      <w:r>
        <w:t>may wish to discuss</w:t>
      </w:r>
      <w:r w:rsidRPr="008A333E">
        <w:t xml:space="preserve"> </w:t>
      </w:r>
      <w:r>
        <w:t>the proposal by France (ECE/TRANS/WP.11/</w:t>
      </w:r>
      <w:r w:rsidR="00132752">
        <w:t>2021/11</w:t>
      </w:r>
      <w:r>
        <w:t>).</w:t>
      </w:r>
    </w:p>
    <w:p w14:paraId="45345D2F" w14:textId="40EFC33F" w:rsidR="00527887" w:rsidRDefault="00AF69D3" w:rsidP="00AF69D3">
      <w:pPr>
        <w:pStyle w:val="H23G"/>
        <w:jc w:val="both"/>
      </w:pPr>
      <w:r>
        <w:tab/>
      </w:r>
      <w:r>
        <w:tab/>
        <w:t xml:space="preserve">Amendments to paragraph 6 (c) (iii) of Appendix 1 to Annex 1 of the ATP Handbook: Rules to be observed for the installation of mounted </w:t>
      </w:r>
      <w:r w:rsidR="00337B56">
        <w:t>units</w:t>
      </w:r>
      <w:r w:rsidR="00EF3C36">
        <w:t xml:space="preserve">, </w:t>
      </w:r>
      <w:r w:rsidR="00337B56">
        <w:t xml:space="preserve">units with </w:t>
      </w:r>
      <w:r>
        <w:t>deflectors</w:t>
      </w:r>
      <w:r w:rsidR="006E3686">
        <w:t xml:space="preserve">, </w:t>
      </w:r>
      <w:r>
        <w:t>under</w:t>
      </w:r>
      <w:r w:rsidR="00EF3C36">
        <w:t>-</w:t>
      </w:r>
      <w:r>
        <w:t>frame units or units that can be offset</w:t>
      </w:r>
    </w:p>
    <w:p w14:paraId="45BCBE48" w14:textId="04E7B09D" w:rsidR="002B0E3E" w:rsidRDefault="002B0E3E" w:rsidP="00265C41">
      <w:pPr>
        <w:pStyle w:val="SingleTxtG"/>
      </w:pPr>
      <w:r w:rsidRPr="008A333E">
        <w:t xml:space="preserve">The </w:t>
      </w:r>
      <w:r w:rsidRPr="00D422FE">
        <w:t>Working</w:t>
      </w:r>
      <w:r w:rsidRPr="008A333E">
        <w:t xml:space="preserve"> Party </w:t>
      </w:r>
      <w:r>
        <w:t>may wish to discuss</w:t>
      </w:r>
      <w:r w:rsidRPr="008A333E">
        <w:t xml:space="preserve"> </w:t>
      </w:r>
      <w:r>
        <w:t>the proposal by France (ECE/TRANS/WP.11/2021/12).</w:t>
      </w:r>
    </w:p>
    <w:p w14:paraId="54A6373C" w14:textId="31F322A6" w:rsidR="00DC2E1C" w:rsidRDefault="005E4FA2" w:rsidP="005E4FA2">
      <w:pPr>
        <w:pStyle w:val="H23G"/>
        <w:jc w:val="both"/>
      </w:pPr>
      <w:r>
        <w:tab/>
      </w:r>
      <w:r>
        <w:tab/>
        <w:t>Amendments to the comments on Appendix 1 of Annex 2 paragraph 4 of the ATP Handbook: Positions of temperature measurement probes during transport</w:t>
      </w:r>
    </w:p>
    <w:p w14:paraId="2DAEFF01" w14:textId="527301EB" w:rsidR="00455008" w:rsidRDefault="00455008" w:rsidP="00265C41">
      <w:pPr>
        <w:pStyle w:val="SingleTxtG"/>
      </w:pPr>
      <w:r w:rsidRPr="008A333E">
        <w:t xml:space="preserve">The </w:t>
      </w:r>
      <w:r w:rsidRPr="00D422FE">
        <w:t>Working</w:t>
      </w:r>
      <w:r w:rsidRPr="008A333E">
        <w:t xml:space="preserve"> Party </w:t>
      </w:r>
      <w:r>
        <w:t>may wish to discuss</w:t>
      </w:r>
      <w:r w:rsidRPr="008A333E">
        <w:t xml:space="preserve"> </w:t>
      </w:r>
      <w:r>
        <w:t>the proposal by France (ECE/TRANS/WP.11/2021/13).</w:t>
      </w:r>
    </w:p>
    <w:p w14:paraId="211D6A9E" w14:textId="1F4C20A0" w:rsidR="00854BEF" w:rsidRDefault="008300B1" w:rsidP="008300B1">
      <w:pPr>
        <w:pStyle w:val="H23G"/>
        <w:jc w:val="both"/>
      </w:pPr>
      <w:r>
        <w:tab/>
      </w:r>
      <w:r>
        <w:tab/>
        <w:t>Discrepancies between the English and French versions of comment to paragraph 3.2.6 of the ATP Handbook</w:t>
      </w:r>
    </w:p>
    <w:p w14:paraId="468C4DFA" w14:textId="12524DFD" w:rsidR="008300B1" w:rsidRDefault="008300B1" w:rsidP="00C176A7">
      <w:pPr>
        <w:pStyle w:val="SingleTxtG"/>
      </w:pPr>
      <w:r w:rsidRPr="008A333E">
        <w:t xml:space="preserve">The </w:t>
      </w:r>
      <w:r w:rsidRPr="00D422FE">
        <w:t>Working</w:t>
      </w:r>
      <w:r w:rsidRPr="008A333E">
        <w:t xml:space="preserve"> Party </w:t>
      </w:r>
      <w:r>
        <w:t>may wish to discuss</w:t>
      </w:r>
      <w:r w:rsidRPr="008A333E">
        <w:t xml:space="preserve"> </w:t>
      </w:r>
      <w:r>
        <w:t xml:space="preserve">the proposal by </w:t>
      </w:r>
      <w:r w:rsidR="00C176A7">
        <w:t>the secretariat</w:t>
      </w:r>
      <w:r>
        <w:t xml:space="preserve"> (</w:t>
      </w:r>
      <w:r w:rsidR="00C176A7">
        <w:t xml:space="preserve">informal document </w:t>
      </w:r>
      <w:r w:rsidR="00E72EA4">
        <w:t>INF.11</w:t>
      </w:r>
      <w:r>
        <w:t>).</w:t>
      </w:r>
    </w:p>
    <w:p w14:paraId="1830FC1D" w14:textId="42A12997" w:rsidR="00B365CB" w:rsidRDefault="00AB5B1B" w:rsidP="00D37504">
      <w:pPr>
        <w:pStyle w:val="SingleTxtG"/>
        <w:ind w:firstLine="567"/>
      </w:pPr>
      <w:r w:rsidRPr="008A340C">
        <w:t xml:space="preserve">The latest version of the ATP Handbook </w:t>
      </w:r>
      <w:r w:rsidR="00B365CB" w:rsidRPr="008A340C">
        <w:t>appears on the Transport Division website in English, French and Russian</w:t>
      </w:r>
      <w:r w:rsidRPr="008A340C">
        <w:t xml:space="preserve"> at the following link:</w:t>
      </w:r>
      <w:r w:rsidR="00B365CB" w:rsidRPr="008A340C">
        <w:t xml:space="preserve"> </w:t>
      </w:r>
      <w:r w:rsidR="002B4EC6" w:rsidRPr="002B4EC6">
        <w:t>https://unece.org/atp-handbook</w:t>
      </w:r>
      <w:r w:rsidR="004F6A2D">
        <w:rPr>
          <w:rStyle w:val="Hyperlink"/>
        </w:rPr>
        <w:t>.</w:t>
      </w:r>
    </w:p>
    <w:p w14:paraId="754B5624" w14:textId="3BC570DB" w:rsidR="006E004B" w:rsidRDefault="004C0A10" w:rsidP="00D05EC3">
      <w:pPr>
        <w:pStyle w:val="H1G"/>
        <w:spacing w:before="340" w:after="220"/>
        <w:jc w:val="both"/>
      </w:pPr>
      <w:r>
        <w:tab/>
      </w:r>
      <w:r w:rsidR="00456312">
        <w:t>7</w:t>
      </w:r>
      <w:r w:rsidR="006E004B">
        <w:t>.</w:t>
      </w:r>
      <w:r w:rsidR="006E004B">
        <w:tab/>
        <w:t>Reports of informal working groups</w:t>
      </w:r>
    </w:p>
    <w:p w14:paraId="7E215998" w14:textId="77777777" w:rsidR="00044107" w:rsidRPr="00044107" w:rsidRDefault="00044107" w:rsidP="00044107">
      <w:pPr>
        <w:pStyle w:val="H23G"/>
        <w:jc w:val="both"/>
      </w:pPr>
      <w:r w:rsidRPr="00044107">
        <w:tab/>
      </w:r>
      <w:r w:rsidRPr="00044107">
        <w:tab/>
        <w:t xml:space="preserve">Report of the Informal Working group on the improvement of the approval system for ATP equipment and thermal </w:t>
      </w:r>
      <w:r w:rsidRPr="00A92B1E">
        <w:t>appliances</w:t>
      </w:r>
    </w:p>
    <w:p w14:paraId="0E2EAF50" w14:textId="1DFE2676" w:rsidR="00044107" w:rsidRDefault="00044107" w:rsidP="00044107">
      <w:pPr>
        <w:pStyle w:val="SingleTxtG"/>
      </w:pPr>
      <w:r w:rsidRPr="008A333E">
        <w:t xml:space="preserve">The </w:t>
      </w:r>
      <w:r w:rsidRPr="00D422FE">
        <w:t>Working</w:t>
      </w:r>
      <w:r w:rsidRPr="008A333E">
        <w:t xml:space="preserve"> Party </w:t>
      </w:r>
      <w:r>
        <w:t>may wish to discuss</w:t>
      </w:r>
      <w:r w:rsidRPr="008A333E">
        <w:t xml:space="preserve"> </w:t>
      </w:r>
      <w:r>
        <w:t xml:space="preserve">the </w:t>
      </w:r>
      <w:r>
        <w:t>r</w:t>
      </w:r>
      <w:r w:rsidRPr="00044107">
        <w:t xml:space="preserve">eport of the </w:t>
      </w:r>
      <w:r>
        <w:t>i</w:t>
      </w:r>
      <w:r w:rsidRPr="00044107">
        <w:t xml:space="preserve">nformal </w:t>
      </w:r>
      <w:r>
        <w:t>w</w:t>
      </w:r>
      <w:r w:rsidRPr="00044107">
        <w:t xml:space="preserve">orking group on the improvement of the approval system for ATP equipment and thermal </w:t>
      </w:r>
      <w:r w:rsidRPr="00A92B1E">
        <w:t>appliances</w:t>
      </w:r>
      <w:r>
        <w:t xml:space="preserve"> by </w:t>
      </w:r>
      <w:r w:rsidR="00AB1C7F" w:rsidRPr="00811D24">
        <w:rPr>
          <w:bCs/>
          <w:szCs w:val="24"/>
          <w:lang w:val="en-US"/>
        </w:rPr>
        <w:t>the Netherlands</w:t>
      </w:r>
      <w:r w:rsidR="00AB1C7F">
        <w:rPr>
          <w:bCs/>
          <w:szCs w:val="24"/>
          <w:lang w:val="en-US"/>
        </w:rPr>
        <w:t xml:space="preserve"> on behalf of the </w:t>
      </w:r>
      <w:r w:rsidR="00AB1C7F" w:rsidRPr="00A92B1E">
        <w:t>working</w:t>
      </w:r>
      <w:r w:rsidR="00AB1C7F">
        <w:rPr>
          <w:bCs/>
          <w:szCs w:val="24"/>
          <w:lang w:val="en-US"/>
        </w:rPr>
        <w:t xml:space="preserve"> group</w:t>
      </w:r>
      <w:r>
        <w:t xml:space="preserve"> (</w:t>
      </w:r>
      <w:r w:rsidR="00AB1C7F">
        <w:t>informal document INF.</w:t>
      </w:r>
      <w:r w:rsidR="00426B82">
        <w:t>8</w:t>
      </w:r>
      <w:r>
        <w:t>).</w:t>
      </w:r>
    </w:p>
    <w:p w14:paraId="52801742" w14:textId="208743B9" w:rsidR="00B365CB" w:rsidRPr="006D451A" w:rsidRDefault="006E004B" w:rsidP="00D05EC3">
      <w:pPr>
        <w:pStyle w:val="H1G"/>
        <w:spacing w:before="340" w:after="220"/>
        <w:jc w:val="both"/>
      </w:pPr>
      <w:r>
        <w:tab/>
      </w:r>
      <w:r w:rsidR="00456312">
        <w:t>8</w:t>
      </w:r>
      <w:r w:rsidR="004C0A10" w:rsidRPr="006D451A">
        <w:t>.</w:t>
      </w:r>
      <w:r w:rsidR="004C0A10" w:rsidRPr="006D451A">
        <w:tab/>
      </w:r>
      <w:r w:rsidR="00B365CB" w:rsidRPr="006D451A">
        <w:t>Scope of ATP</w:t>
      </w:r>
    </w:p>
    <w:p w14:paraId="17092256" w14:textId="1554DB66" w:rsidR="00004E47" w:rsidRDefault="006D451A" w:rsidP="00AB5152">
      <w:pPr>
        <w:pStyle w:val="SingleTxtG"/>
        <w:ind w:firstLine="567"/>
        <w:rPr>
          <w:lang w:val="en-IE"/>
        </w:rPr>
      </w:pPr>
      <w:r w:rsidRPr="006D451A">
        <w:rPr>
          <w:lang w:val="en-IE"/>
        </w:rPr>
        <w:t xml:space="preserve">The WP.11 may wish to discuss any developments </w:t>
      </w:r>
      <w:r w:rsidR="00067631">
        <w:rPr>
          <w:lang w:val="en-IE"/>
        </w:rPr>
        <w:t>related to the scope of ATP</w:t>
      </w:r>
      <w:r w:rsidRPr="006D451A">
        <w:rPr>
          <w:lang w:val="en-IE"/>
        </w:rPr>
        <w:t xml:space="preserve"> that have a bearing on its work.</w:t>
      </w:r>
    </w:p>
    <w:p w14:paraId="68A073F1" w14:textId="69C7E3BC" w:rsidR="0050705E" w:rsidRDefault="0050705E" w:rsidP="0050705E">
      <w:pPr>
        <w:pStyle w:val="H23G"/>
        <w:jc w:val="both"/>
      </w:pPr>
      <w:r>
        <w:lastRenderedPageBreak/>
        <w:tab/>
      </w:r>
      <w:r>
        <w:tab/>
      </w:r>
      <w:r w:rsidRPr="0050705E">
        <w:t>The ATP and the future</w:t>
      </w:r>
    </w:p>
    <w:p w14:paraId="5476EB2C" w14:textId="27BE4D4A" w:rsidR="005604F5" w:rsidRDefault="00567BD5" w:rsidP="00AB5152">
      <w:pPr>
        <w:pStyle w:val="SingleTxtG"/>
        <w:ind w:firstLine="567"/>
      </w:pPr>
      <w:r>
        <w:t xml:space="preserve">The </w:t>
      </w:r>
      <w:r w:rsidR="005604F5" w:rsidRPr="006D451A">
        <w:t xml:space="preserve">road map for accession to and implementation of the ATP prepared by the </w:t>
      </w:r>
      <w:proofErr w:type="spellStart"/>
      <w:r w:rsidR="005604F5" w:rsidRPr="006D451A">
        <w:t>EuroMed</w:t>
      </w:r>
      <w:proofErr w:type="spellEnd"/>
      <w:r w:rsidR="005604F5" w:rsidRPr="006D451A">
        <w:t xml:space="preserve"> road, rail and urban transport project with inputs from the secretariat </w:t>
      </w:r>
      <w:r>
        <w:t xml:space="preserve">and the chairs of WP.11 </w:t>
      </w:r>
      <w:r w:rsidR="008A340C">
        <w:t>has</w:t>
      </w:r>
      <w:r w:rsidR="00CF1323">
        <w:t xml:space="preserve"> been published and can be found at the UNECE website</w:t>
      </w:r>
      <w:r w:rsidR="0031280B">
        <w:t xml:space="preserve">: </w:t>
      </w:r>
      <w:r w:rsidR="00765F28" w:rsidRPr="00765F28">
        <w:t>https://unece.org/road-map-accession-and-implementation-atp</w:t>
      </w:r>
      <w:r w:rsidR="008A340C">
        <w:t>.</w:t>
      </w:r>
    </w:p>
    <w:p w14:paraId="7128DE15" w14:textId="4AA7D963" w:rsidR="00B365CB" w:rsidRPr="006D451A" w:rsidRDefault="00934EB4" w:rsidP="00D05EC3">
      <w:pPr>
        <w:pStyle w:val="H1G"/>
        <w:spacing w:before="340" w:after="220"/>
        <w:jc w:val="both"/>
      </w:pPr>
      <w:r>
        <w:tab/>
      </w:r>
      <w:r w:rsidR="00456312">
        <w:t>9</w:t>
      </w:r>
      <w:r w:rsidR="004C0A10" w:rsidRPr="006D451A">
        <w:t>.</w:t>
      </w:r>
      <w:r w:rsidR="00B365CB" w:rsidRPr="006D451A">
        <w:tab/>
        <w:t>Energy labelling, refrigerants and blowing agents</w:t>
      </w:r>
    </w:p>
    <w:p w14:paraId="47DCC96F" w14:textId="77777777" w:rsidR="007A1E62" w:rsidRPr="006D451A" w:rsidRDefault="00C17703" w:rsidP="00AB5152">
      <w:pPr>
        <w:pStyle w:val="SingleTxtG"/>
        <w:ind w:firstLine="567"/>
        <w:rPr>
          <w:lang w:val="en-US"/>
        </w:rPr>
      </w:pPr>
      <w:r w:rsidRPr="006D451A">
        <w:rPr>
          <w:lang w:val="en-IE"/>
        </w:rPr>
        <w:t>T</w:t>
      </w:r>
      <w:r w:rsidR="00EF5A9A" w:rsidRPr="006D451A">
        <w:rPr>
          <w:lang w:val="en-IE"/>
        </w:rPr>
        <w:t xml:space="preserve">he WP.11 may wish to </w:t>
      </w:r>
      <w:r w:rsidRPr="006D451A">
        <w:rPr>
          <w:lang w:val="en-IE"/>
        </w:rPr>
        <w:t xml:space="preserve">discuss </w:t>
      </w:r>
      <w:r w:rsidR="00E7174A" w:rsidRPr="006D451A">
        <w:rPr>
          <w:lang w:val="en-IE"/>
        </w:rPr>
        <w:t>any developments in the field of energy labelling, refrigerants and blowing agents that have a bearing on its work.</w:t>
      </w:r>
      <w:r w:rsidR="00573B1A" w:rsidRPr="006D451A">
        <w:rPr>
          <w:lang w:val="en-IE"/>
        </w:rPr>
        <w:t xml:space="preserve"> </w:t>
      </w:r>
    </w:p>
    <w:p w14:paraId="7C288043" w14:textId="244B8C13" w:rsidR="00B365CB" w:rsidRPr="004574DE" w:rsidRDefault="004C0A10" w:rsidP="00D05EC3">
      <w:pPr>
        <w:pStyle w:val="H1G"/>
        <w:spacing w:before="340" w:after="220"/>
        <w:jc w:val="both"/>
      </w:pPr>
      <w:r w:rsidRPr="00567BD5">
        <w:tab/>
      </w:r>
      <w:r w:rsidR="00456312">
        <w:t>10</w:t>
      </w:r>
      <w:r w:rsidRPr="004574DE">
        <w:t>.</w:t>
      </w:r>
      <w:r w:rsidR="00DC78BE" w:rsidRPr="004574DE">
        <w:tab/>
        <w:t xml:space="preserve">Programme of work </w:t>
      </w:r>
    </w:p>
    <w:p w14:paraId="408F6FDB" w14:textId="7A8C0802" w:rsidR="002143C0" w:rsidRPr="00567BD5" w:rsidRDefault="002143C0" w:rsidP="002143C0">
      <w:pPr>
        <w:pStyle w:val="H23G"/>
        <w:jc w:val="both"/>
      </w:pPr>
      <w:r w:rsidRPr="00567BD5">
        <w:tab/>
      </w:r>
      <w:r w:rsidRPr="00567BD5">
        <w:tab/>
        <w:t>Dates of the seventy-</w:t>
      </w:r>
      <w:r w:rsidR="003D36E1">
        <w:t>eight</w:t>
      </w:r>
      <w:r w:rsidR="00134325">
        <w:t>h</w:t>
      </w:r>
      <w:r w:rsidR="003D36E1" w:rsidRPr="00567BD5">
        <w:t xml:space="preserve"> </w:t>
      </w:r>
      <w:r w:rsidRPr="00567BD5">
        <w:t>session</w:t>
      </w:r>
    </w:p>
    <w:p w14:paraId="066FCADB" w14:textId="44CF19A2" w:rsidR="00B10405" w:rsidRDefault="002143C0" w:rsidP="00B00B74">
      <w:pPr>
        <w:pStyle w:val="SingleTxtG"/>
        <w:ind w:firstLine="567"/>
      </w:pPr>
      <w:r w:rsidRPr="00567BD5">
        <w:t xml:space="preserve">The dates of </w:t>
      </w:r>
      <w:r w:rsidR="00EA0B61">
        <w:t>2 and 4</w:t>
      </w:r>
      <w:r w:rsidR="00F56CB2">
        <w:t>-6 May</w:t>
      </w:r>
      <w:r w:rsidRPr="00567BD5">
        <w:t xml:space="preserve"> </w:t>
      </w:r>
      <w:r w:rsidR="00F56CB2" w:rsidRPr="00567BD5">
        <w:t>20</w:t>
      </w:r>
      <w:r w:rsidR="00F56CB2">
        <w:t>22</w:t>
      </w:r>
      <w:r w:rsidR="00F56CB2" w:rsidRPr="00567BD5">
        <w:t xml:space="preserve"> </w:t>
      </w:r>
      <w:r w:rsidRPr="00567BD5">
        <w:t>(</w:t>
      </w:r>
      <w:r w:rsidR="00F56CB2">
        <w:t>Monday and Wednesday</w:t>
      </w:r>
      <w:r w:rsidR="00F56CB2" w:rsidRPr="00567BD5">
        <w:t xml:space="preserve"> </w:t>
      </w:r>
      <w:r w:rsidRPr="00567BD5">
        <w:t>to Friday) have been reserved for the seventy-</w:t>
      </w:r>
      <w:r w:rsidR="009211DE">
        <w:t>eighth</w:t>
      </w:r>
      <w:r w:rsidR="009211DE" w:rsidRPr="00567BD5">
        <w:t xml:space="preserve"> </w:t>
      </w:r>
      <w:r w:rsidRPr="00567BD5">
        <w:t>session of WP.11.</w:t>
      </w:r>
    </w:p>
    <w:p w14:paraId="6CFB9736" w14:textId="33D2FAD8" w:rsidR="003D36E1" w:rsidRPr="00567BD5" w:rsidRDefault="003D36E1" w:rsidP="003D36E1">
      <w:pPr>
        <w:pStyle w:val="H23G"/>
        <w:jc w:val="both"/>
      </w:pPr>
      <w:r w:rsidRPr="00567BD5">
        <w:tab/>
      </w:r>
      <w:r w:rsidRPr="00567BD5">
        <w:tab/>
        <w:t>Dates of the seventy-</w:t>
      </w:r>
      <w:r>
        <w:t>ninth</w:t>
      </w:r>
      <w:r w:rsidRPr="00567BD5">
        <w:t xml:space="preserve"> session</w:t>
      </w:r>
    </w:p>
    <w:p w14:paraId="7CA8A62A" w14:textId="4B8733F1" w:rsidR="003D36E1" w:rsidRPr="007D241D" w:rsidRDefault="003D36E1" w:rsidP="003D36E1">
      <w:pPr>
        <w:pStyle w:val="SingleTxtG"/>
        <w:ind w:firstLine="567"/>
      </w:pPr>
      <w:r w:rsidRPr="00567BD5">
        <w:t xml:space="preserve">The dates of </w:t>
      </w:r>
      <w:r>
        <w:t>2</w:t>
      </w:r>
      <w:r w:rsidR="00A434C2">
        <w:t>5</w:t>
      </w:r>
      <w:r>
        <w:t>-2</w:t>
      </w:r>
      <w:r w:rsidR="00A434C2">
        <w:t>8</w:t>
      </w:r>
      <w:r w:rsidRPr="00567BD5">
        <w:t xml:space="preserve"> October 20</w:t>
      </w:r>
      <w:r>
        <w:t>2</w:t>
      </w:r>
      <w:r w:rsidR="00A434C2">
        <w:t>2</w:t>
      </w:r>
      <w:r w:rsidRPr="00567BD5">
        <w:t xml:space="preserve"> (Tuesday to Friday) have been reserved for the seventy-</w:t>
      </w:r>
      <w:r w:rsidR="009211DE">
        <w:t>nin</w:t>
      </w:r>
      <w:r>
        <w:t>th</w:t>
      </w:r>
      <w:r w:rsidRPr="00567BD5">
        <w:t xml:space="preserve"> session of WP.11.</w:t>
      </w:r>
    </w:p>
    <w:p w14:paraId="509B33E8" w14:textId="5817402E" w:rsidR="00104DAC" w:rsidRPr="00DF4AC8" w:rsidRDefault="00104DAC" w:rsidP="00104DAC">
      <w:pPr>
        <w:pStyle w:val="H1G"/>
        <w:jc w:val="both"/>
      </w:pPr>
      <w:r>
        <w:tab/>
        <w:t>11</w:t>
      </w:r>
      <w:r w:rsidRPr="00DF4AC8">
        <w:t>.</w:t>
      </w:r>
      <w:r w:rsidRPr="00DF4AC8">
        <w:tab/>
        <w:t>Election of officers</w:t>
      </w:r>
    </w:p>
    <w:p w14:paraId="6D23378D" w14:textId="0F0606DF" w:rsidR="00104DAC" w:rsidRPr="00567BD5" w:rsidRDefault="00104DAC" w:rsidP="00104DAC">
      <w:pPr>
        <w:pStyle w:val="SingleTxtG"/>
        <w:ind w:firstLine="567"/>
      </w:pPr>
      <w:r w:rsidRPr="00567BD5">
        <w:t>The WP.11 is expected to elect a Chair and Vice-Chair</w:t>
      </w:r>
      <w:r>
        <w:t>s</w:t>
      </w:r>
      <w:r w:rsidRPr="00567BD5">
        <w:t xml:space="preserve"> for its</w:t>
      </w:r>
      <w:r w:rsidRPr="00567BD5">
        <w:br/>
      </w:r>
      <w:r>
        <w:t>sessions</w:t>
      </w:r>
      <w:r w:rsidRPr="00567BD5">
        <w:t xml:space="preserve"> in</w:t>
      </w:r>
      <w:r>
        <w:t xml:space="preserve"> 2022</w:t>
      </w:r>
      <w:r w:rsidRPr="00567BD5">
        <w:t>.</w:t>
      </w:r>
    </w:p>
    <w:p w14:paraId="00A06358" w14:textId="0CA0E8FD" w:rsidR="00B365CB" w:rsidRPr="00567BD5" w:rsidRDefault="000241A9" w:rsidP="00D05EC3">
      <w:pPr>
        <w:pStyle w:val="H1G"/>
        <w:spacing w:before="340" w:after="220"/>
        <w:jc w:val="both"/>
      </w:pPr>
      <w:r w:rsidRPr="00567BD5">
        <w:tab/>
      </w:r>
      <w:r w:rsidR="006E004B">
        <w:t>12</w:t>
      </w:r>
      <w:r w:rsidRPr="00567BD5">
        <w:t>.</w:t>
      </w:r>
      <w:r w:rsidR="00B365CB" w:rsidRPr="00567BD5">
        <w:tab/>
        <w:t>Other business</w:t>
      </w:r>
    </w:p>
    <w:p w14:paraId="141FE822" w14:textId="223AAD1F" w:rsidR="009C0E81" w:rsidRPr="00737E6A" w:rsidRDefault="009269B1" w:rsidP="00B657CA">
      <w:pPr>
        <w:pStyle w:val="SingleTxtG"/>
      </w:pPr>
      <w:r w:rsidRPr="00567BD5">
        <w:t>The WP.11 may wish to consider any other business under this item.</w:t>
      </w:r>
    </w:p>
    <w:p w14:paraId="01A166BA" w14:textId="319D6B00" w:rsidR="00B365CB" w:rsidRPr="00567BD5" w:rsidRDefault="000241A9" w:rsidP="009C0E81">
      <w:pPr>
        <w:pStyle w:val="H1G"/>
        <w:spacing w:before="340" w:after="220"/>
        <w:jc w:val="both"/>
      </w:pPr>
      <w:r w:rsidRPr="00567BD5">
        <w:tab/>
      </w:r>
      <w:r w:rsidR="006E004B">
        <w:t>13</w:t>
      </w:r>
      <w:r w:rsidR="003D58D8" w:rsidRPr="00567BD5">
        <w:t>.</w:t>
      </w:r>
      <w:r w:rsidRPr="00567BD5">
        <w:tab/>
      </w:r>
      <w:r w:rsidR="00B365CB" w:rsidRPr="00567BD5">
        <w:t>Adoption of the report</w:t>
      </w:r>
    </w:p>
    <w:p w14:paraId="076049A6" w14:textId="655CA0AC" w:rsidR="006B3FFD" w:rsidRDefault="00B365CB" w:rsidP="00D05EC3">
      <w:pPr>
        <w:pStyle w:val="SingleTxtG"/>
        <w:spacing w:after="0"/>
        <w:ind w:firstLine="567"/>
      </w:pPr>
      <w:r w:rsidRPr="00567BD5">
        <w:t>The W</w:t>
      </w:r>
      <w:r w:rsidR="00EF5A9A" w:rsidRPr="00567BD5">
        <w:t>P.11</w:t>
      </w:r>
      <w:r w:rsidRPr="00567BD5">
        <w:t xml:space="preserve"> is expected to adopt the report on its s</w:t>
      </w:r>
      <w:r w:rsidR="00543644" w:rsidRPr="00567BD5">
        <w:t>event</w:t>
      </w:r>
      <w:r w:rsidR="005C4C87" w:rsidRPr="00567BD5">
        <w:t>y-</w:t>
      </w:r>
      <w:r w:rsidR="00791132">
        <w:t>seventh</w:t>
      </w:r>
      <w:r w:rsidR="00791132" w:rsidRPr="00567BD5">
        <w:t xml:space="preserve"> </w:t>
      </w:r>
      <w:r w:rsidRPr="00567BD5">
        <w:t>session based on a draft prepared by the secretariat.</w:t>
      </w:r>
    </w:p>
    <w:p w14:paraId="7E1138F7" w14:textId="75C34CCB" w:rsidR="001C6714" w:rsidRPr="001C6714" w:rsidRDefault="001C6714" w:rsidP="0097410A">
      <w:pPr>
        <w:spacing w:before="120"/>
        <w:jc w:val="center"/>
        <w:rPr>
          <w:u w:val="single"/>
        </w:rPr>
      </w:pPr>
      <w:r>
        <w:rPr>
          <w:u w:val="single"/>
        </w:rPr>
        <w:tab/>
      </w:r>
      <w:r>
        <w:rPr>
          <w:u w:val="single"/>
        </w:rPr>
        <w:tab/>
      </w:r>
      <w:r>
        <w:rPr>
          <w:u w:val="single"/>
        </w:rPr>
        <w:tab/>
      </w:r>
    </w:p>
    <w:sectPr w:rsidR="001C6714" w:rsidRPr="001C6714" w:rsidSect="00BD2F7F">
      <w:headerReference w:type="even" r:id="rId16"/>
      <w:headerReference w:type="default" r:id="rId17"/>
      <w:footerReference w:type="even" r:id="rId18"/>
      <w:footerReference w:type="defaul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20785" w14:textId="77777777" w:rsidR="00D42B3E" w:rsidRDefault="00D42B3E"/>
  </w:endnote>
  <w:endnote w:type="continuationSeparator" w:id="0">
    <w:p w14:paraId="080A7C0C" w14:textId="77777777" w:rsidR="00D42B3E" w:rsidRDefault="00D42B3E"/>
  </w:endnote>
  <w:endnote w:type="continuationNotice" w:id="1">
    <w:p w14:paraId="298251DD" w14:textId="77777777" w:rsidR="00D42B3E" w:rsidRDefault="00D42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F16C0" w14:textId="0021F0F0" w:rsidR="00406ACC" w:rsidRPr="00D03F3E" w:rsidRDefault="00406ACC" w:rsidP="00D03F3E">
    <w:pPr>
      <w:pStyle w:val="Footer"/>
      <w:tabs>
        <w:tab w:val="right" w:pos="9638"/>
      </w:tabs>
      <w:rPr>
        <w:sz w:val="18"/>
      </w:rPr>
    </w:pPr>
    <w:r w:rsidRPr="00D03F3E">
      <w:rPr>
        <w:b/>
        <w:sz w:val="18"/>
      </w:rPr>
      <w:fldChar w:fldCharType="begin"/>
    </w:r>
    <w:r w:rsidRPr="00D03F3E">
      <w:rPr>
        <w:b/>
        <w:sz w:val="18"/>
      </w:rPr>
      <w:instrText xml:space="preserve"> PAGE  \* MERGEFORMAT </w:instrText>
    </w:r>
    <w:r w:rsidRPr="00D03F3E">
      <w:rPr>
        <w:b/>
        <w:sz w:val="18"/>
      </w:rPr>
      <w:fldChar w:fldCharType="separate"/>
    </w:r>
    <w:r w:rsidR="0097410A">
      <w:rPr>
        <w:b/>
        <w:noProof/>
        <w:sz w:val="18"/>
      </w:rPr>
      <w:t>4</w:t>
    </w:r>
    <w:r w:rsidRPr="00D03F3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F747A" w14:textId="53820236" w:rsidR="00406ACC" w:rsidRPr="00D03F3E" w:rsidRDefault="00406ACC" w:rsidP="00D03F3E">
    <w:pPr>
      <w:pStyle w:val="Footer"/>
      <w:tabs>
        <w:tab w:val="right" w:pos="9638"/>
      </w:tabs>
      <w:rPr>
        <w:b/>
        <w:sz w:val="18"/>
      </w:rPr>
    </w:pPr>
    <w:r>
      <w:tab/>
    </w:r>
    <w:r w:rsidRPr="00D03F3E">
      <w:rPr>
        <w:b/>
        <w:sz w:val="18"/>
      </w:rPr>
      <w:fldChar w:fldCharType="begin"/>
    </w:r>
    <w:r w:rsidRPr="00D03F3E">
      <w:rPr>
        <w:b/>
        <w:sz w:val="18"/>
      </w:rPr>
      <w:instrText xml:space="preserve"> PAGE  \* MERGEFORMAT </w:instrText>
    </w:r>
    <w:r w:rsidRPr="00D03F3E">
      <w:rPr>
        <w:b/>
        <w:sz w:val="18"/>
      </w:rPr>
      <w:fldChar w:fldCharType="separate"/>
    </w:r>
    <w:r w:rsidR="0097410A">
      <w:rPr>
        <w:b/>
        <w:noProof/>
        <w:sz w:val="18"/>
      </w:rPr>
      <w:t>3</w:t>
    </w:r>
    <w:r w:rsidRPr="00D03F3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4185B" w14:textId="77777777" w:rsidR="00D42B3E" w:rsidRPr="000B175B" w:rsidRDefault="00D42B3E" w:rsidP="000B175B">
      <w:pPr>
        <w:tabs>
          <w:tab w:val="right" w:pos="2155"/>
        </w:tabs>
        <w:spacing w:after="80"/>
        <w:ind w:left="680"/>
        <w:rPr>
          <w:u w:val="single"/>
        </w:rPr>
      </w:pPr>
      <w:r>
        <w:rPr>
          <w:u w:val="single"/>
        </w:rPr>
        <w:tab/>
      </w:r>
    </w:p>
  </w:footnote>
  <w:footnote w:type="continuationSeparator" w:id="0">
    <w:p w14:paraId="67A85390" w14:textId="77777777" w:rsidR="00D42B3E" w:rsidRPr="00FC68B7" w:rsidRDefault="00D42B3E" w:rsidP="00FC68B7">
      <w:pPr>
        <w:tabs>
          <w:tab w:val="left" w:pos="2155"/>
        </w:tabs>
        <w:spacing w:after="80"/>
        <w:ind w:left="680"/>
        <w:rPr>
          <w:u w:val="single"/>
        </w:rPr>
      </w:pPr>
      <w:r>
        <w:rPr>
          <w:u w:val="single"/>
        </w:rPr>
        <w:tab/>
      </w:r>
    </w:p>
  </w:footnote>
  <w:footnote w:type="continuationNotice" w:id="1">
    <w:p w14:paraId="29CB9A29" w14:textId="77777777" w:rsidR="00D42B3E" w:rsidRDefault="00D42B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7AA8A" w14:textId="37F4AEB8" w:rsidR="00406ACC" w:rsidRPr="0095204E" w:rsidRDefault="0095204E">
    <w:pPr>
      <w:pStyle w:val="Header"/>
      <w:rPr>
        <w:lang w:val="fr-CH"/>
      </w:rPr>
    </w:pPr>
    <w:r>
      <w:rPr>
        <w:lang w:val="fr-CH"/>
      </w:rPr>
      <w:t>INF.1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E3D7D" w14:textId="669DFDC4" w:rsidR="00406ACC" w:rsidRPr="0095204E" w:rsidRDefault="0095204E" w:rsidP="00C018FB">
    <w:pPr>
      <w:pStyle w:val="Header"/>
      <w:jc w:val="right"/>
      <w:rPr>
        <w:lang w:val="fr-CH"/>
      </w:rPr>
    </w:pPr>
    <w:r>
      <w:rPr>
        <w:lang w:val="fr-CH"/>
      </w:rPr>
      <w:t>INF.1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3"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14" w15:restartNumberingAfterBreak="0">
    <w:nsid w:val="4A6E1B18"/>
    <w:multiLevelType w:val="hybridMultilevel"/>
    <w:tmpl w:val="42E4BAAA"/>
    <w:lvl w:ilvl="0" w:tplc="FFFFFFFF">
      <w:start w:val="1"/>
      <w:numFmt w:val="decimal"/>
      <w:pStyle w:val="ParaNo0"/>
      <w:lvlText w:val="%1."/>
      <w:lvlJc w:val="left"/>
      <w:pPr>
        <w:tabs>
          <w:tab w:val="num" w:pos="0"/>
        </w:tabs>
        <w:ind w:left="0" w:firstLine="0"/>
      </w:pPr>
      <w:rPr>
        <w:rFonts w:ascii="Times New Roman" w:hAnsi="Times New Roman" w:hint="default"/>
        <w:b w:val="0"/>
        <w:i w:val="0"/>
        <w:caps w:val="0"/>
        <w:strike w:val="0"/>
        <w:dstrike w:val="0"/>
        <w:vanish w:val="0"/>
        <w:color w:val="auto"/>
        <w:sz w:val="24"/>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FFFFFFFF">
      <w:start w:val="20"/>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2F4423"/>
    <w:multiLevelType w:val="hybridMultilevel"/>
    <w:tmpl w:val="8B187B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AE0BD8"/>
    <w:multiLevelType w:val="hybridMultilevel"/>
    <w:tmpl w:val="26444208"/>
    <w:lvl w:ilvl="0" w:tplc="4DB0F1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1"/>
  </w:num>
  <w:num w:numId="13">
    <w:abstractNumId w:val="10"/>
  </w:num>
  <w:num w:numId="14">
    <w:abstractNumId w:val="16"/>
  </w:num>
  <w:num w:numId="15">
    <w:abstractNumId w:val="18"/>
  </w:num>
  <w:num w:numId="16">
    <w:abstractNumId w:val="19"/>
  </w:num>
  <w:num w:numId="17">
    <w:abstractNumId w:val="14"/>
  </w:num>
  <w:num w:numId="18">
    <w:abstractNumId w:val="12"/>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A0"/>
    <w:rsid w:val="0000026F"/>
    <w:rsid w:val="000018F0"/>
    <w:rsid w:val="000037F0"/>
    <w:rsid w:val="00004E47"/>
    <w:rsid w:val="00005769"/>
    <w:rsid w:val="00012CA6"/>
    <w:rsid w:val="000149E9"/>
    <w:rsid w:val="0001793A"/>
    <w:rsid w:val="00017D17"/>
    <w:rsid w:val="00020E82"/>
    <w:rsid w:val="00020FD3"/>
    <w:rsid w:val="000216E0"/>
    <w:rsid w:val="00022D6E"/>
    <w:rsid w:val="00022E06"/>
    <w:rsid w:val="000241A9"/>
    <w:rsid w:val="00024675"/>
    <w:rsid w:val="00024DBC"/>
    <w:rsid w:val="00025566"/>
    <w:rsid w:val="00025A16"/>
    <w:rsid w:val="00025D2F"/>
    <w:rsid w:val="00030B9B"/>
    <w:rsid w:val="00030D2E"/>
    <w:rsid w:val="00031642"/>
    <w:rsid w:val="00040251"/>
    <w:rsid w:val="00041F10"/>
    <w:rsid w:val="000438D2"/>
    <w:rsid w:val="00044107"/>
    <w:rsid w:val="00045490"/>
    <w:rsid w:val="00046B1F"/>
    <w:rsid w:val="00047DC3"/>
    <w:rsid w:val="00047F7D"/>
    <w:rsid w:val="00050C15"/>
    <w:rsid w:val="00050F6B"/>
    <w:rsid w:val="00055E6D"/>
    <w:rsid w:val="00057E97"/>
    <w:rsid w:val="000603FF"/>
    <w:rsid w:val="00061EAD"/>
    <w:rsid w:val="000620BB"/>
    <w:rsid w:val="00062908"/>
    <w:rsid w:val="00067631"/>
    <w:rsid w:val="000706B2"/>
    <w:rsid w:val="00071FEC"/>
    <w:rsid w:val="00072C8C"/>
    <w:rsid w:val="00072D51"/>
    <w:rsid w:val="000733B5"/>
    <w:rsid w:val="00075772"/>
    <w:rsid w:val="00081815"/>
    <w:rsid w:val="00082024"/>
    <w:rsid w:val="00084F4B"/>
    <w:rsid w:val="00085AB9"/>
    <w:rsid w:val="00086848"/>
    <w:rsid w:val="00086F6C"/>
    <w:rsid w:val="00091903"/>
    <w:rsid w:val="000931C0"/>
    <w:rsid w:val="00095909"/>
    <w:rsid w:val="00095911"/>
    <w:rsid w:val="0009633D"/>
    <w:rsid w:val="00097D62"/>
    <w:rsid w:val="000A1114"/>
    <w:rsid w:val="000A1488"/>
    <w:rsid w:val="000A4A14"/>
    <w:rsid w:val="000A54E7"/>
    <w:rsid w:val="000A746B"/>
    <w:rsid w:val="000B0595"/>
    <w:rsid w:val="000B175B"/>
    <w:rsid w:val="000B2F52"/>
    <w:rsid w:val="000B3A0F"/>
    <w:rsid w:val="000B4EF7"/>
    <w:rsid w:val="000B6A35"/>
    <w:rsid w:val="000B7F31"/>
    <w:rsid w:val="000C0296"/>
    <w:rsid w:val="000C1C06"/>
    <w:rsid w:val="000C2890"/>
    <w:rsid w:val="000C2C03"/>
    <w:rsid w:val="000C2D2E"/>
    <w:rsid w:val="000C2E20"/>
    <w:rsid w:val="000C2F06"/>
    <w:rsid w:val="000C40CE"/>
    <w:rsid w:val="000C532D"/>
    <w:rsid w:val="000D1572"/>
    <w:rsid w:val="000D1A6E"/>
    <w:rsid w:val="000D29DD"/>
    <w:rsid w:val="000D66A6"/>
    <w:rsid w:val="000D708A"/>
    <w:rsid w:val="000E0415"/>
    <w:rsid w:val="000E06B3"/>
    <w:rsid w:val="000E0B8A"/>
    <w:rsid w:val="000E114E"/>
    <w:rsid w:val="000E39B3"/>
    <w:rsid w:val="000E6709"/>
    <w:rsid w:val="000F0B22"/>
    <w:rsid w:val="000F0FB8"/>
    <w:rsid w:val="000F1D28"/>
    <w:rsid w:val="000F69BA"/>
    <w:rsid w:val="0010137F"/>
    <w:rsid w:val="001014AA"/>
    <w:rsid w:val="00101AD1"/>
    <w:rsid w:val="00101ED8"/>
    <w:rsid w:val="00104DAC"/>
    <w:rsid w:val="00106110"/>
    <w:rsid w:val="00106373"/>
    <w:rsid w:val="001103AA"/>
    <w:rsid w:val="00112CA9"/>
    <w:rsid w:val="00114F16"/>
    <w:rsid w:val="00116117"/>
    <w:rsid w:val="0011666B"/>
    <w:rsid w:val="00117835"/>
    <w:rsid w:val="00120A27"/>
    <w:rsid w:val="001212D8"/>
    <w:rsid w:val="001214D7"/>
    <w:rsid w:val="00122F55"/>
    <w:rsid w:val="00124583"/>
    <w:rsid w:val="001311D6"/>
    <w:rsid w:val="001322D2"/>
    <w:rsid w:val="00132752"/>
    <w:rsid w:val="00133A79"/>
    <w:rsid w:val="00133CC8"/>
    <w:rsid w:val="00134325"/>
    <w:rsid w:val="00137A3D"/>
    <w:rsid w:val="001405B1"/>
    <w:rsid w:val="001422CA"/>
    <w:rsid w:val="00146C99"/>
    <w:rsid w:val="00147248"/>
    <w:rsid w:val="00150740"/>
    <w:rsid w:val="001513E0"/>
    <w:rsid w:val="0015387D"/>
    <w:rsid w:val="00162680"/>
    <w:rsid w:val="00162827"/>
    <w:rsid w:val="001659FA"/>
    <w:rsid w:val="00165F3A"/>
    <w:rsid w:val="001718E3"/>
    <w:rsid w:val="00171D8C"/>
    <w:rsid w:val="0017296C"/>
    <w:rsid w:val="001752B3"/>
    <w:rsid w:val="0017595C"/>
    <w:rsid w:val="00177D20"/>
    <w:rsid w:val="001829E7"/>
    <w:rsid w:val="00182F50"/>
    <w:rsid w:val="00183536"/>
    <w:rsid w:val="00184972"/>
    <w:rsid w:val="00184B17"/>
    <w:rsid w:val="00185C24"/>
    <w:rsid w:val="0018770C"/>
    <w:rsid w:val="00190C05"/>
    <w:rsid w:val="00191D33"/>
    <w:rsid w:val="001921F0"/>
    <w:rsid w:val="001927DB"/>
    <w:rsid w:val="00192D87"/>
    <w:rsid w:val="001934FB"/>
    <w:rsid w:val="001962F2"/>
    <w:rsid w:val="00196E7F"/>
    <w:rsid w:val="001A0181"/>
    <w:rsid w:val="001A3ECB"/>
    <w:rsid w:val="001A4B0B"/>
    <w:rsid w:val="001A651D"/>
    <w:rsid w:val="001A6FC7"/>
    <w:rsid w:val="001B0901"/>
    <w:rsid w:val="001B15D3"/>
    <w:rsid w:val="001B328C"/>
    <w:rsid w:val="001B4B04"/>
    <w:rsid w:val="001B7CC7"/>
    <w:rsid w:val="001C0F1F"/>
    <w:rsid w:val="001C1095"/>
    <w:rsid w:val="001C6663"/>
    <w:rsid w:val="001C6714"/>
    <w:rsid w:val="001C7895"/>
    <w:rsid w:val="001D0C8C"/>
    <w:rsid w:val="001D132F"/>
    <w:rsid w:val="001D1419"/>
    <w:rsid w:val="001D1512"/>
    <w:rsid w:val="001D25CB"/>
    <w:rsid w:val="001D26DF"/>
    <w:rsid w:val="001D3A03"/>
    <w:rsid w:val="001D3F58"/>
    <w:rsid w:val="001D4264"/>
    <w:rsid w:val="001D7539"/>
    <w:rsid w:val="001E10EC"/>
    <w:rsid w:val="001E27B2"/>
    <w:rsid w:val="001E3B3B"/>
    <w:rsid w:val="001E4940"/>
    <w:rsid w:val="001E4E68"/>
    <w:rsid w:val="001E518C"/>
    <w:rsid w:val="001E5513"/>
    <w:rsid w:val="001E6AE1"/>
    <w:rsid w:val="001E6D4C"/>
    <w:rsid w:val="001E7B67"/>
    <w:rsid w:val="001F0093"/>
    <w:rsid w:val="001F04FD"/>
    <w:rsid w:val="001F2B3D"/>
    <w:rsid w:val="001F4CE4"/>
    <w:rsid w:val="001F5030"/>
    <w:rsid w:val="001F5390"/>
    <w:rsid w:val="001F7DAE"/>
    <w:rsid w:val="00202630"/>
    <w:rsid w:val="00202DA8"/>
    <w:rsid w:val="00202DB3"/>
    <w:rsid w:val="00205ED0"/>
    <w:rsid w:val="00207117"/>
    <w:rsid w:val="00211E0B"/>
    <w:rsid w:val="0021364D"/>
    <w:rsid w:val="002143C0"/>
    <w:rsid w:val="0021612E"/>
    <w:rsid w:val="00220CD1"/>
    <w:rsid w:val="00222070"/>
    <w:rsid w:val="00224F1D"/>
    <w:rsid w:val="002257C9"/>
    <w:rsid w:val="00230D7B"/>
    <w:rsid w:val="002357D8"/>
    <w:rsid w:val="00235B68"/>
    <w:rsid w:val="0024590D"/>
    <w:rsid w:val="0024772E"/>
    <w:rsid w:val="002523FD"/>
    <w:rsid w:val="002605EF"/>
    <w:rsid w:val="00261E56"/>
    <w:rsid w:val="0026285E"/>
    <w:rsid w:val="00262BF9"/>
    <w:rsid w:val="0026311A"/>
    <w:rsid w:val="002655E5"/>
    <w:rsid w:val="00265C41"/>
    <w:rsid w:val="00265D1B"/>
    <w:rsid w:val="00267318"/>
    <w:rsid w:val="00267F5F"/>
    <w:rsid w:val="00270557"/>
    <w:rsid w:val="00270944"/>
    <w:rsid w:val="00272064"/>
    <w:rsid w:val="002731A1"/>
    <w:rsid w:val="00276633"/>
    <w:rsid w:val="002778C6"/>
    <w:rsid w:val="00277D04"/>
    <w:rsid w:val="00282AE8"/>
    <w:rsid w:val="002848A3"/>
    <w:rsid w:val="00284D5D"/>
    <w:rsid w:val="00285B24"/>
    <w:rsid w:val="00286B4D"/>
    <w:rsid w:val="0028772E"/>
    <w:rsid w:val="0029026F"/>
    <w:rsid w:val="00292332"/>
    <w:rsid w:val="00292C7D"/>
    <w:rsid w:val="0029377D"/>
    <w:rsid w:val="0029434E"/>
    <w:rsid w:val="00296AB7"/>
    <w:rsid w:val="002974D5"/>
    <w:rsid w:val="002A1321"/>
    <w:rsid w:val="002A1DD1"/>
    <w:rsid w:val="002A2358"/>
    <w:rsid w:val="002A27B1"/>
    <w:rsid w:val="002A2CCC"/>
    <w:rsid w:val="002B0E3E"/>
    <w:rsid w:val="002B3D1C"/>
    <w:rsid w:val="002B4EC6"/>
    <w:rsid w:val="002B537D"/>
    <w:rsid w:val="002B5864"/>
    <w:rsid w:val="002C2778"/>
    <w:rsid w:val="002C2CC0"/>
    <w:rsid w:val="002C5212"/>
    <w:rsid w:val="002C66C1"/>
    <w:rsid w:val="002C6DC6"/>
    <w:rsid w:val="002D25F3"/>
    <w:rsid w:val="002D4643"/>
    <w:rsid w:val="002D6383"/>
    <w:rsid w:val="002E11B3"/>
    <w:rsid w:val="002E19CD"/>
    <w:rsid w:val="002E75C9"/>
    <w:rsid w:val="002E7924"/>
    <w:rsid w:val="002F0238"/>
    <w:rsid w:val="002F175C"/>
    <w:rsid w:val="0030232D"/>
    <w:rsid w:val="00302E18"/>
    <w:rsid w:val="003056F3"/>
    <w:rsid w:val="003066A4"/>
    <w:rsid w:val="0031280B"/>
    <w:rsid w:val="00313317"/>
    <w:rsid w:val="00315C6E"/>
    <w:rsid w:val="003168A4"/>
    <w:rsid w:val="00322653"/>
    <w:rsid w:val="003229D8"/>
    <w:rsid w:val="00322E64"/>
    <w:rsid w:val="003232F7"/>
    <w:rsid w:val="00325160"/>
    <w:rsid w:val="003261E8"/>
    <w:rsid w:val="00326C8A"/>
    <w:rsid w:val="003324EC"/>
    <w:rsid w:val="00332668"/>
    <w:rsid w:val="00336C1F"/>
    <w:rsid w:val="00337B56"/>
    <w:rsid w:val="00344EC6"/>
    <w:rsid w:val="00347D55"/>
    <w:rsid w:val="003514A4"/>
    <w:rsid w:val="003518C9"/>
    <w:rsid w:val="00352709"/>
    <w:rsid w:val="00353C45"/>
    <w:rsid w:val="00354803"/>
    <w:rsid w:val="0035483E"/>
    <w:rsid w:val="003569A6"/>
    <w:rsid w:val="00357B1F"/>
    <w:rsid w:val="003604A8"/>
    <w:rsid w:val="003608AA"/>
    <w:rsid w:val="003614BD"/>
    <w:rsid w:val="003619B5"/>
    <w:rsid w:val="00361E54"/>
    <w:rsid w:val="003631EB"/>
    <w:rsid w:val="003644B3"/>
    <w:rsid w:val="00365763"/>
    <w:rsid w:val="0036690F"/>
    <w:rsid w:val="0036796E"/>
    <w:rsid w:val="00371178"/>
    <w:rsid w:val="0037304E"/>
    <w:rsid w:val="0037672B"/>
    <w:rsid w:val="0038260A"/>
    <w:rsid w:val="003827F5"/>
    <w:rsid w:val="00382A35"/>
    <w:rsid w:val="003835E1"/>
    <w:rsid w:val="00386A9A"/>
    <w:rsid w:val="00390A39"/>
    <w:rsid w:val="003916EF"/>
    <w:rsid w:val="00391B41"/>
    <w:rsid w:val="00392E47"/>
    <w:rsid w:val="0039314D"/>
    <w:rsid w:val="00394F2A"/>
    <w:rsid w:val="003A3467"/>
    <w:rsid w:val="003A3A0E"/>
    <w:rsid w:val="003A3BD0"/>
    <w:rsid w:val="003A4E67"/>
    <w:rsid w:val="003A5566"/>
    <w:rsid w:val="003A570C"/>
    <w:rsid w:val="003A5E25"/>
    <w:rsid w:val="003A6810"/>
    <w:rsid w:val="003B1A60"/>
    <w:rsid w:val="003B2A66"/>
    <w:rsid w:val="003B3856"/>
    <w:rsid w:val="003B4F60"/>
    <w:rsid w:val="003B5B01"/>
    <w:rsid w:val="003B712D"/>
    <w:rsid w:val="003C0ED6"/>
    <w:rsid w:val="003C1864"/>
    <w:rsid w:val="003C2CC4"/>
    <w:rsid w:val="003C598D"/>
    <w:rsid w:val="003C6BBE"/>
    <w:rsid w:val="003C7FAD"/>
    <w:rsid w:val="003D2E30"/>
    <w:rsid w:val="003D36E1"/>
    <w:rsid w:val="003D47B5"/>
    <w:rsid w:val="003D4B23"/>
    <w:rsid w:val="003D58D8"/>
    <w:rsid w:val="003E0D7D"/>
    <w:rsid w:val="003E1FD7"/>
    <w:rsid w:val="003E5B75"/>
    <w:rsid w:val="003E6C3C"/>
    <w:rsid w:val="003E7CE5"/>
    <w:rsid w:val="003F0F2A"/>
    <w:rsid w:val="003F1456"/>
    <w:rsid w:val="003F1F00"/>
    <w:rsid w:val="003F2D86"/>
    <w:rsid w:val="003F37AC"/>
    <w:rsid w:val="003F37EC"/>
    <w:rsid w:val="003F4624"/>
    <w:rsid w:val="003F4AE5"/>
    <w:rsid w:val="003F4D6C"/>
    <w:rsid w:val="0040003B"/>
    <w:rsid w:val="004019BC"/>
    <w:rsid w:val="00405A4E"/>
    <w:rsid w:val="00406ACC"/>
    <w:rsid w:val="00410344"/>
    <w:rsid w:val="00410C89"/>
    <w:rsid w:val="00414A4F"/>
    <w:rsid w:val="00414A85"/>
    <w:rsid w:val="00415488"/>
    <w:rsid w:val="00415C6D"/>
    <w:rsid w:val="00417847"/>
    <w:rsid w:val="00422E03"/>
    <w:rsid w:val="004233F1"/>
    <w:rsid w:val="00423E6A"/>
    <w:rsid w:val="0042521C"/>
    <w:rsid w:val="004265B4"/>
    <w:rsid w:val="0042671E"/>
    <w:rsid w:val="00426B82"/>
    <w:rsid w:val="00426B9B"/>
    <w:rsid w:val="0042725F"/>
    <w:rsid w:val="00427359"/>
    <w:rsid w:val="00431315"/>
    <w:rsid w:val="00431587"/>
    <w:rsid w:val="004325CB"/>
    <w:rsid w:val="004339D4"/>
    <w:rsid w:val="004347DE"/>
    <w:rsid w:val="00435250"/>
    <w:rsid w:val="00442024"/>
    <w:rsid w:val="00442A83"/>
    <w:rsid w:val="004448C4"/>
    <w:rsid w:val="004478D2"/>
    <w:rsid w:val="00447DDA"/>
    <w:rsid w:val="00450128"/>
    <w:rsid w:val="00450A1B"/>
    <w:rsid w:val="00452A11"/>
    <w:rsid w:val="00454760"/>
    <w:rsid w:val="0045495B"/>
    <w:rsid w:val="00455008"/>
    <w:rsid w:val="004551AC"/>
    <w:rsid w:val="00456312"/>
    <w:rsid w:val="00456915"/>
    <w:rsid w:val="004574DE"/>
    <w:rsid w:val="004615A3"/>
    <w:rsid w:val="00462896"/>
    <w:rsid w:val="004663A4"/>
    <w:rsid w:val="004721E1"/>
    <w:rsid w:val="00472447"/>
    <w:rsid w:val="0047400D"/>
    <w:rsid w:val="00474E33"/>
    <w:rsid w:val="0047699E"/>
    <w:rsid w:val="004775ED"/>
    <w:rsid w:val="0048397A"/>
    <w:rsid w:val="00485CBB"/>
    <w:rsid w:val="0048654F"/>
    <w:rsid w:val="004866B7"/>
    <w:rsid w:val="004869C0"/>
    <w:rsid w:val="004917E8"/>
    <w:rsid w:val="00493B44"/>
    <w:rsid w:val="004957EF"/>
    <w:rsid w:val="00495BAD"/>
    <w:rsid w:val="004A13C0"/>
    <w:rsid w:val="004A1E9C"/>
    <w:rsid w:val="004A3C30"/>
    <w:rsid w:val="004B0DC3"/>
    <w:rsid w:val="004B1E32"/>
    <w:rsid w:val="004B480B"/>
    <w:rsid w:val="004B4A38"/>
    <w:rsid w:val="004B5F36"/>
    <w:rsid w:val="004B61FE"/>
    <w:rsid w:val="004C0276"/>
    <w:rsid w:val="004C0A10"/>
    <w:rsid w:val="004C2461"/>
    <w:rsid w:val="004C7462"/>
    <w:rsid w:val="004C7C35"/>
    <w:rsid w:val="004D5517"/>
    <w:rsid w:val="004D5C43"/>
    <w:rsid w:val="004D5D66"/>
    <w:rsid w:val="004D64DA"/>
    <w:rsid w:val="004D67BF"/>
    <w:rsid w:val="004D7AED"/>
    <w:rsid w:val="004E7007"/>
    <w:rsid w:val="004E77B2"/>
    <w:rsid w:val="004F05E8"/>
    <w:rsid w:val="004F0603"/>
    <w:rsid w:val="004F4CD2"/>
    <w:rsid w:val="004F4DFA"/>
    <w:rsid w:val="004F6891"/>
    <w:rsid w:val="004F6A2D"/>
    <w:rsid w:val="004F73BD"/>
    <w:rsid w:val="00502994"/>
    <w:rsid w:val="00504B2D"/>
    <w:rsid w:val="0050705E"/>
    <w:rsid w:val="00513010"/>
    <w:rsid w:val="00514DEB"/>
    <w:rsid w:val="00521022"/>
    <w:rsid w:val="00521079"/>
    <w:rsid w:val="0052136D"/>
    <w:rsid w:val="0052231B"/>
    <w:rsid w:val="00522FA1"/>
    <w:rsid w:val="0052520D"/>
    <w:rsid w:val="00526723"/>
    <w:rsid w:val="0052775E"/>
    <w:rsid w:val="00527887"/>
    <w:rsid w:val="00531D89"/>
    <w:rsid w:val="00536010"/>
    <w:rsid w:val="005420F2"/>
    <w:rsid w:val="00542A36"/>
    <w:rsid w:val="00543644"/>
    <w:rsid w:val="00543D6F"/>
    <w:rsid w:val="005458E6"/>
    <w:rsid w:val="00552586"/>
    <w:rsid w:val="0055479C"/>
    <w:rsid w:val="005604F5"/>
    <w:rsid w:val="00560654"/>
    <w:rsid w:val="005621C4"/>
    <w:rsid w:val="005628B6"/>
    <w:rsid w:val="00565C84"/>
    <w:rsid w:val="0056600D"/>
    <w:rsid w:val="00567BD5"/>
    <w:rsid w:val="00573B1A"/>
    <w:rsid w:val="0057412C"/>
    <w:rsid w:val="00580A4D"/>
    <w:rsid w:val="005824F2"/>
    <w:rsid w:val="00582A57"/>
    <w:rsid w:val="00582AD2"/>
    <w:rsid w:val="005837CA"/>
    <w:rsid w:val="00585D83"/>
    <w:rsid w:val="005872B9"/>
    <w:rsid w:val="00592D41"/>
    <w:rsid w:val="005941EC"/>
    <w:rsid w:val="0059648E"/>
    <w:rsid w:val="00596D11"/>
    <w:rsid w:val="0059724D"/>
    <w:rsid w:val="005A1B42"/>
    <w:rsid w:val="005A2CFE"/>
    <w:rsid w:val="005A4918"/>
    <w:rsid w:val="005A4B27"/>
    <w:rsid w:val="005A5F33"/>
    <w:rsid w:val="005B20A0"/>
    <w:rsid w:val="005B2EE1"/>
    <w:rsid w:val="005B3DB3"/>
    <w:rsid w:val="005B4E13"/>
    <w:rsid w:val="005B57C6"/>
    <w:rsid w:val="005C342F"/>
    <w:rsid w:val="005C401C"/>
    <w:rsid w:val="005C4C6B"/>
    <w:rsid w:val="005C4C87"/>
    <w:rsid w:val="005C7247"/>
    <w:rsid w:val="005D083C"/>
    <w:rsid w:val="005D1763"/>
    <w:rsid w:val="005D1AD5"/>
    <w:rsid w:val="005D413A"/>
    <w:rsid w:val="005D7615"/>
    <w:rsid w:val="005D7A81"/>
    <w:rsid w:val="005E0484"/>
    <w:rsid w:val="005E16FF"/>
    <w:rsid w:val="005E34E3"/>
    <w:rsid w:val="005E4D4A"/>
    <w:rsid w:val="005E4FA2"/>
    <w:rsid w:val="005E7DB1"/>
    <w:rsid w:val="005F2B44"/>
    <w:rsid w:val="005F4274"/>
    <w:rsid w:val="005F647E"/>
    <w:rsid w:val="005F7B75"/>
    <w:rsid w:val="006001EE"/>
    <w:rsid w:val="00604AD8"/>
    <w:rsid w:val="00605042"/>
    <w:rsid w:val="00610F7F"/>
    <w:rsid w:val="00610FBC"/>
    <w:rsid w:val="006114B5"/>
    <w:rsid w:val="00611FC4"/>
    <w:rsid w:val="0061239C"/>
    <w:rsid w:val="006148AD"/>
    <w:rsid w:val="006176FB"/>
    <w:rsid w:val="00627872"/>
    <w:rsid w:val="006312D7"/>
    <w:rsid w:val="00631411"/>
    <w:rsid w:val="0063254E"/>
    <w:rsid w:val="00632921"/>
    <w:rsid w:val="00632E7B"/>
    <w:rsid w:val="0063431D"/>
    <w:rsid w:val="006349C5"/>
    <w:rsid w:val="00640B26"/>
    <w:rsid w:val="006421AC"/>
    <w:rsid w:val="00642652"/>
    <w:rsid w:val="00644283"/>
    <w:rsid w:val="0064555B"/>
    <w:rsid w:val="006456B5"/>
    <w:rsid w:val="00645835"/>
    <w:rsid w:val="00647AE3"/>
    <w:rsid w:val="0065086E"/>
    <w:rsid w:val="00652D0A"/>
    <w:rsid w:val="006603B7"/>
    <w:rsid w:val="00662BB6"/>
    <w:rsid w:val="006716B8"/>
    <w:rsid w:val="00676606"/>
    <w:rsid w:val="00684910"/>
    <w:rsid w:val="00684C21"/>
    <w:rsid w:val="006857F4"/>
    <w:rsid w:val="00685CCE"/>
    <w:rsid w:val="00692692"/>
    <w:rsid w:val="00696132"/>
    <w:rsid w:val="006A1AE9"/>
    <w:rsid w:val="006A2530"/>
    <w:rsid w:val="006A5BB3"/>
    <w:rsid w:val="006B107A"/>
    <w:rsid w:val="006B2E43"/>
    <w:rsid w:val="006B3FFD"/>
    <w:rsid w:val="006B471B"/>
    <w:rsid w:val="006B6772"/>
    <w:rsid w:val="006B6921"/>
    <w:rsid w:val="006C0A4E"/>
    <w:rsid w:val="006C251A"/>
    <w:rsid w:val="006C2520"/>
    <w:rsid w:val="006C3589"/>
    <w:rsid w:val="006C3C45"/>
    <w:rsid w:val="006C463B"/>
    <w:rsid w:val="006C62BD"/>
    <w:rsid w:val="006D13C9"/>
    <w:rsid w:val="006D24A0"/>
    <w:rsid w:val="006D37AF"/>
    <w:rsid w:val="006D451A"/>
    <w:rsid w:val="006D51D0"/>
    <w:rsid w:val="006D5FB9"/>
    <w:rsid w:val="006D6648"/>
    <w:rsid w:val="006E004B"/>
    <w:rsid w:val="006E3686"/>
    <w:rsid w:val="006E50C6"/>
    <w:rsid w:val="006E54F0"/>
    <w:rsid w:val="006E564B"/>
    <w:rsid w:val="006E5980"/>
    <w:rsid w:val="006E7191"/>
    <w:rsid w:val="006F25BC"/>
    <w:rsid w:val="006F2E27"/>
    <w:rsid w:val="006F3AEC"/>
    <w:rsid w:val="006F42B8"/>
    <w:rsid w:val="006F549C"/>
    <w:rsid w:val="006F5941"/>
    <w:rsid w:val="006F6FBB"/>
    <w:rsid w:val="0070025C"/>
    <w:rsid w:val="007002AB"/>
    <w:rsid w:val="00703261"/>
    <w:rsid w:val="007032BA"/>
    <w:rsid w:val="00703577"/>
    <w:rsid w:val="00705327"/>
    <w:rsid w:val="00705894"/>
    <w:rsid w:val="00706E9A"/>
    <w:rsid w:val="00707DA2"/>
    <w:rsid w:val="007112CE"/>
    <w:rsid w:val="00711E5E"/>
    <w:rsid w:val="00715C38"/>
    <w:rsid w:val="00716A7B"/>
    <w:rsid w:val="00716D1F"/>
    <w:rsid w:val="00720051"/>
    <w:rsid w:val="00722E47"/>
    <w:rsid w:val="0072317A"/>
    <w:rsid w:val="00724080"/>
    <w:rsid w:val="0072632A"/>
    <w:rsid w:val="007314B8"/>
    <w:rsid w:val="007327D5"/>
    <w:rsid w:val="00733E57"/>
    <w:rsid w:val="007366F9"/>
    <w:rsid w:val="00737E6A"/>
    <w:rsid w:val="00740A65"/>
    <w:rsid w:val="00745172"/>
    <w:rsid w:val="00746D53"/>
    <w:rsid w:val="0074734F"/>
    <w:rsid w:val="00747B4F"/>
    <w:rsid w:val="00755B52"/>
    <w:rsid w:val="00755E70"/>
    <w:rsid w:val="0075660B"/>
    <w:rsid w:val="007604B1"/>
    <w:rsid w:val="00760940"/>
    <w:rsid w:val="00762564"/>
    <w:rsid w:val="007629C8"/>
    <w:rsid w:val="00764548"/>
    <w:rsid w:val="00764A8C"/>
    <w:rsid w:val="00765F28"/>
    <w:rsid w:val="00766488"/>
    <w:rsid w:val="0077047D"/>
    <w:rsid w:val="00780C54"/>
    <w:rsid w:val="007846B7"/>
    <w:rsid w:val="00786FBB"/>
    <w:rsid w:val="00790586"/>
    <w:rsid w:val="00790B9E"/>
    <w:rsid w:val="00791132"/>
    <w:rsid w:val="00794154"/>
    <w:rsid w:val="00795689"/>
    <w:rsid w:val="00796796"/>
    <w:rsid w:val="007979B0"/>
    <w:rsid w:val="007A1E62"/>
    <w:rsid w:val="007A4D1F"/>
    <w:rsid w:val="007A5A39"/>
    <w:rsid w:val="007A5AD7"/>
    <w:rsid w:val="007A7D48"/>
    <w:rsid w:val="007B2FD3"/>
    <w:rsid w:val="007B3A96"/>
    <w:rsid w:val="007B3F1C"/>
    <w:rsid w:val="007B4914"/>
    <w:rsid w:val="007B5B6C"/>
    <w:rsid w:val="007B6BA5"/>
    <w:rsid w:val="007C0004"/>
    <w:rsid w:val="007C2C00"/>
    <w:rsid w:val="007C2C1A"/>
    <w:rsid w:val="007C3390"/>
    <w:rsid w:val="007C4F4B"/>
    <w:rsid w:val="007C527D"/>
    <w:rsid w:val="007C6CBE"/>
    <w:rsid w:val="007D1E94"/>
    <w:rsid w:val="007D1F60"/>
    <w:rsid w:val="007D22F7"/>
    <w:rsid w:val="007D241D"/>
    <w:rsid w:val="007D4C8D"/>
    <w:rsid w:val="007D7FF5"/>
    <w:rsid w:val="007E01E9"/>
    <w:rsid w:val="007E0F13"/>
    <w:rsid w:val="007E16CF"/>
    <w:rsid w:val="007E3546"/>
    <w:rsid w:val="007E63F3"/>
    <w:rsid w:val="007E68B7"/>
    <w:rsid w:val="007F3509"/>
    <w:rsid w:val="007F39E1"/>
    <w:rsid w:val="007F3D52"/>
    <w:rsid w:val="007F5083"/>
    <w:rsid w:val="007F6611"/>
    <w:rsid w:val="0080117B"/>
    <w:rsid w:val="00801A12"/>
    <w:rsid w:val="00803899"/>
    <w:rsid w:val="00803C06"/>
    <w:rsid w:val="00804C44"/>
    <w:rsid w:val="008066F3"/>
    <w:rsid w:val="008118C0"/>
    <w:rsid w:val="008118DA"/>
    <w:rsid w:val="00811920"/>
    <w:rsid w:val="00815AD0"/>
    <w:rsid w:val="00820B3C"/>
    <w:rsid w:val="00823979"/>
    <w:rsid w:val="008242D7"/>
    <w:rsid w:val="008246AE"/>
    <w:rsid w:val="008248BA"/>
    <w:rsid w:val="008257B1"/>
    <w:rsid w:val="00826CE0"/>
    <w:rsid w:val="0082769E"/>
    <w:rsid w:val="008300B1"/>
    <w:rsid w:val="00830A8C"/>
    <w:rsid w:val="00830C9A"/>
    <w:rsid w:val="00832334"/>
    <w:rsid w:val="00835AA6"/>
    <w:rsid w:val="008375C0"/>
    <w:rsid w:val="008379C5"/>
    <w:rsid w:val="00837FBD"/>
    <w:rsid w:val="008406E1"/>
    <w:rsid w:val="00843767"/>
    <w:rsid w:val="008460F4"/>
    <w:rsid w:val="008469F5"/>
    <w:rsid w:val="008472C2"/>
    <w:rsid w:val="008506F1"/>
    <w:rsid w:val="00854BEF"/>
    <w:rsid w:val="00856F4C"/>
    <w:rsid w:val="00857508"/>
    <w:rsid w:val="00860709"/>
    <w:rsid w:val="008616F9"/>
    <w:rsid w:val="00861D28"/>
    <w:rsid w:val="0086367F"/>
    <w:rsid w:val="008651D7"/>
    <w:rsid w:val="008679D9"/>
    <w:rsid w:val="008704E3"/>
    <w:rsid w:val="008708CA"/>
    <w:rsid w:val="00870B1C"/>
    <w:rsid w:val="0087221D"/>
    <w:rsid w:val="00872852"/>
    <w:rsid w:val="00875AD5"/>
    <w:rsid w:val="00882D6F"/>
    <w:rsid w:val="008848B0"/>
    <w:rsid w:val="008849E9"/>
    <w:rsid w:val="00885CA9"/>
    <w:rsid w:val="00887008"/>
    <w:rsid w:val="008878DE"/>
    <w:rsid w:val="00887D0F"/>
    <w:rsid w:val="00890AA1"/>
    <w:rsid w:val="008932B9"/>
    <w:rsid w:val="00894427"/>
    <w:rsid w:val="0089452B"/>
    <w:rsid w:val="00895475"/>
    <w:rsid w:val="0089757F"/>
    <w:rsid w:val="008979B1"/>
    <w:rsid w:val="008A333E"/>
    <w:rsid w:val="008A340C"/>
    <w:rsid w:val="008A609B"/>
    <w:rsid w:val="008A6B25"/>
    <w:rsid w:val="008A6C4F"/>
    <w:rsid w:val="008B116C"/>
    <w:rsid w:val="008B1524"/>
    <w:rsid w:val="008B1AFE"/>
    <w:rsid w:val="008B2335"/>
    <w:rsid w:val="008B2F80"/>
    <w:rsid w:val="008B3F7F"/>
    <w:rsid w:val="008B5114"/>
    <w:rsid w:val="008B7A4F"/>
    <w:rsid w:val="008C0902"/>
    <w:rsid w:val="008C29AB"/>
    <w:rsid w:val="008C3CCC"/>
    <w:rsid w:val="008C5303"/>
    <w:rsid w:val="008C7A6D"/>
    <w:rsid w:val="008D416E"/>
    <w:rsid w:val="008D4AF2"/>
    <w:rsid w:val="008D5CDE"/>
    <w:rsid w:val="008E0678"/>
    <w:rsid w:val="008E1709"/>
    <w:rsid w:val="008E42A2"/>
    <w:rsid w:val="008F0CE1"/>
    <w:rsid w:val="008F31D2"/>
    <w:rsid w:val="008F72CA"/>
    <w:rsid w:val="008F7895"/>
    <w:rsid w:val="00900F2B"/>
    <w:rsid w:val="009011F7"/>
    <w:rsid w:val="00902C7E"/>
    <w:rsid w:val="00902D3A"/>
    <w:rsid w:val="00907CB1"/>
    <w:rsid w:val="00911757"/>
    <w:rsid w:val="009131B0"/>
    <w:rsid w:val="009148A5"/>
    <w:rsid w:val="009165F8"/>
    <w:rsid w:val="00920754"/>
    <w:rsid w:val="009211DE"/>
    <w:rsid w:val="009223CA"/>
    <w:rsid w:val="009269B1"/>
    <w:rsid w:val="00930AAB"/>
    <w:rsid w:val="00934365"/>
    <w:rsid w:val="00934EB4"/>
    <w:rsid w:val="0093702E"/>
    <w:rsid w:val="00937268"/>
    <w:rsid w:val="00940F93"/>
    <w:rsid w:val="00944929"/>
    <w:rsid w:val="00951B84"/>
    <w:rsid w:val="0095204E"/>
    <w:rsid w:val="00952BB9"/>
    <w:rsid w:val="00953485"/>
    <w:rsid w:val="00953F23"/>
    <w:rsid w:val="0095577D"/>
    <w:rsid w:val="00956661"/>
    <w:rsid w:val="00966929"/>
    <w:rsid w:val="009700A8"/>
    <w:rsid w:val="00973F1B"/>
    <w:rsid w:val="0097410A"/>
    <w:rsid w:val="0097445D"/>
    <w:rsid w:val="009760F3"/>
    <w:rsid w:val="00976CFB"/>
    <w:rsid w:val="00976F40"/>
    <w:rsid w:val="0098071B"/>
    <w:rsid w:val="00984B29"/>
    <w:rsid w:val="009857A5"/>
    <w:rsid w:val="0099306C"/>
    <w:rsid w:val="0099309F"/>
    <w:rsid w:val="0099343E"/>
    <w:rsid w:val="00993D74"/>
    <w:rsid w:val="009942DB"/>
    <w:rsid w:val="009955C7"/>
    <w:rsid w:val="009964B7"/>
    <w:rsid w:val="009A0006"/>
    <w:rsid w:val="009A0830"/>
    <w:rsid w:val="009A0E8D"/>
    <w:rsid w:val="009A408F"/>
    <w:rsid w:val="009A4CF7"/>
    <w:rsid w:val="009A66C3"/>
    <w:rsid w:val="009B2285"/>
    <w:rsid w:val="009B235E"/>
    <w:rsid w:val="009B26E7"/>
    <w:rsid w:val="009B2DA8"/>
    <w:rsid w:val="009B2EA6"/>
    <w:rsid w:val="009B3A38"/>
    <w:rsid w:val="009B4334"/>
    <w:rsid w:val="009B48C3"/>
    <w:rsid w:val="009B5FDD"/>
    <w:rsid w:val="009C015A"/>
    <w:rsid w:val="009C03CD"/>
    <w:rsid w:val="009C0E81"/>
    <w:rsid w:val="009C1705"/>
    <w:rsid w:val="009C20A8"/>
    <w:rsid w:val="009C31D8"/>
    <w:rsid w:val="009C4B98"/>
    <w:rsid w:val="009C5DB3"/>
    <w:rsid w:val="009C7099"/>
    <w:rsid w:val="009D099F"/>
    <w:rsid w:val="009D4AE1"/>
    <w:rsid w:val="009D4CA8"/>
    <w:rsid w:val="009D532E"/>
    <w:rsid w:val="009D67AF"/>
    <w:rsid w:val="009E13E0"/>
    <w:rsid w:val="009E1FC8"/>
    <w:rsid w:val="009E2AFB"/>
    <w:rsid w:val="009E2F9E"/>
    <w:rsid w:val="009E6E05"/>
    <w:rsid w:val="009F0A61"/>
    <w:rsid w:val="009F39D0"/>
    <w:rsid w:val="009F6480"/>
    <w:rsid w:val="00A00697"/>
    <w:rsid w:val="00A00A3F"/>
    <w:rsid w:val="00A01489"/>
    <w:rsid w:val="00A04570"/>
    <w:rsid w:val="00A04E30"/>
    <w:rsid w:val="00A0608C"/>
    <w:rsid w:val="00A064B2"/>
    <w:rsid w:val="00A07948"/>
    <w:rsid w:val="00A105D4"/>
    <w:rsid w:val="00A10FB5"/>
    <w:rsid w:val="00A11886"/>
    <w:rsid w:val="00A11D44"/>
    <w:rsid w:val="00A121F2"/>
    <w:rsid w:val="00A13AA8"/>
    <w:rsid w:val="00A163A0"/>
    <w:rsid w:val="00A165BC"/>
    <w:rsid w:val="00A22D47"/>
    <w:rsid w:val="00A22E39"/>
    <w:rsid w:val="00A3026E"/>
    <w:rsid w:val="00A31253"/>
    <w:rsid w:val="00A31F14"/>
    <w:rsid w:val="00A338F1"/>
    <w:rsid w:val="00A35BE0"/>
    <w:rsid w:val="00A3659B"/>
    <w:rsid w:val="00A4065B"/>
    <w:rsid w:val="00A434C2"/>
    <w:rsid w:val="00A459D8"/>
    <w:rsid w:val="00A50C08"/>
    <w:rsid w:val="00A5235B"/>
    <w:rsid w:val="00A52682"/>
    <w:rsid w:val="00A52B86"/>
    <w:rsid w:val="00A52EB8"/>
    <w:rsid w:val="00A55559"/>
    <w:rsid w:val="00A60DFB"/>
    <w:rsid w:val="00A61946"/>
    <w:rsid w:val="00A6294B"/>
    <w:rsid w:val="00A63559"/>
    <w:rsid w:val="00A63631"/>
    <w:rsid w:val="00A64F44"/>
    <w:rsid w:val="00A66A21"/>
    <w:rsid w:val="00A6709A"/>
    <w:rsid w:val="00A715C6"/>
    <w:rsid w:val="00A72F22"/>
    <w:rsid w:val="00A7360F"/>
    <w:rsid w:val="00A748A6"/>
    <w:rsid w:val="00A75039"/>
    <w:rsid w:val="00A769F4"/>
    <w:rsid w:val="00A776B4"/>
    <w:rsid w:val="00A7771C"/>
    <w:rsid w:val="00A838C6"/>
    <w:rsid w:val="00A83C3C"/>
    <w:rsid w:val="00A87963"/>
    <w:rsid w:val="00A90619"/>
    <w:rsid w:val="00A9089E"/>
    <w:rsid w:val="00A92EB0"/>
    <w:rsid w:val="00A94361"/>
    <w:rsid w:val="00A95199"/>
    <w:rsid w:val="00A9664B"/>
    <w:rsid w:val="00AA293C"/>
    <w:rsid w:val="00AA2E6F"/>
    <w:rsid w:val="00AA5BD7"/>
    <w:rsid w:val="00AA5F1E"/>
    <w:rsid w:val="00AB03D9"/>
    <w:rsid w:val="00AB0E17"/>
    <w:rsid w:val="00AB1673"/>
    <w:rsid w:val="00AB191D"/>
    <w:rsid w:val="00AB1C7F"/>
    <w:rsid w:val="00AB2897"/>
    <w:rsid w:val="00AB2DE5"/>
    <w:rsid w:val="00AB2FAB"/>
    <w:rsid w:val="00AB4DF7"/>
    <w:rsid w:val="00AB4F4A"/>
    <w:rsid w:val="00AB5152"/>
    <w:rsid w:val="00AB52FC"/>
    <w:rsid w:val="00AB5510"/>
    <w:rsid w:val="00AB5B1B"/>
    <w:rsid w:val="00AC41C0"/>
    <w:rsid w:val="00AC7B86"/>
    <w:rsid w:val="00AD52BA"/>
    <w:rsid w:val="00AD6AED"/>
    <w:rsid w:val="00AD7CC9"/>
    <w:rsid w:val="00AE13DC"/>
    <w:rsid w:val="00AE6A37"/>
    <w:rsid w:val="00AE7905"/>
    <w:rsid w:val="00AF090F"/>
    <w:rsid w:val="00AF0DA5"/>
    <w:rsid w:val="00AF69D3"/>
    <w:rsid w:val="00AF6BCB"/>
    <w:rsid w:val="00B00B74"/>
    <w:rsid w:val="00B01616"/>
    <w:rsid w:val="00B028E1"/>
    <w:rsid w:val="00B04942"/>
    <w:rsid w:val="00B06255"/>
    <w:rsid w:val="00B07489"/>
    <w:rsid w:val="00B10405"/>
    <w:rsid w:val="00B113BE"/>
    <w:rsid w:val="00B117C8"/>
    <w:rsid w:val="00B14D99"/>
    <w:rsid w:val="00B16353"/>
    <w:rsid w:val="00B17019"/>
    <w:rsid w:val="00B22055"/>
    <w:rsid w:val="00B263E3"/>
    <w:rsid w:val="00B2722B"/>
    <w:rsid w:val="00B30179"/>
    <w:rsid w:val="00B32B93"/>
    <w:rsid w:val="00B365CB"/>
    <w:rsid w:val="00B421C1"/>
    <w:rsid w:val="00B44428"/>
    <w:rsid w:val="00B46647"/>
    <w:rsid w:val="00B52B4F"/>
    <w:rsid w:val="00B5481F"/>
    <w:rsid w:val="00B54998"/>
    <w:rsid w:val="00B55C71"/>
    <w:rsid w:val="00B56E4A"/>
    <w:rsid w:val="00B56E9C"/>
    <w:rsid w:val="00B57A59"/>
    <w:rsid w:val="00B616B5"/>
    <w:rsid w:val="00B64B1F"/>
    <w:rsid w:val="00B6553F"/>
    <w:rsid w:val="00B657CA"/>
    <w:rsid w:val="00B70137"/>
    <w:rsid w:val="00B703CE"/>
    <w:rsid w:val="00B72716"/>
    <w:rsid w:val="00B77D05"/>
    <w:rsid w:val="00B81206"/>
    <w:rsid w:val="00B81E12"/>
    <w:rsid w:val="00B824D7"/>
    <w:rsid w:val="00B836D5"/>
    <w:rsid w:val="00B858B9"/>
    <w:rsid w:val="00B86825"/>
    <w:rsid w:val="00B91D47"/>
    <w:rsid w:val="00B931DA"/>
    <w:rsid w:val="00B9477C"/>
    <w:rsid w:val="00B97C29"/>
    <w:rsid w:val="00BA0B6C"/>
    <w:rsid w:val="00BA23A6"/>
    <w:rsid w:val="00BA4A96"/>
    <w:rsid w:val="00BA59F3"/>
    <w:rsid w:val="00BA5B03"/>
    <w:rsid w:val="00BA67A2"/>
    <w:rsid w:val="00BB033D"/>
    <w:rsid w:val="00BB0874"/>
    <w:rsid w:val="00BB27A6"/>
    <w:rsid w:val="00BB505B"/>
    <w:rsid w:val="00BC15E4"/>
    <w:rsid w:val="00BC3F47"/>
    <w:rsid w:val="00BC3FA0"/>
    <w:rsid w:val="00BC4B4D"/>
    <w:rsid w:val="00BC6A91"/>
    <w:rsid w:val="00BC74E9"/>
    <w:rsid w:val="00BD04BE"/>
    <w:rsid w:val="00BD107A"/>
    <w:rsid w:val="00BD2F7F"/>
    <w:rsid w:val="00BD3218"/>
    <w:rsid w:val="00BD518E"/>
    <w:rsid w:val="00BE3DF1"/>
    <w:rsid w:val="00BE6379"/>
    <w:rsid w:val="00BE6A13"/>
    <w:rsid w:val="00BF003A"/>
    <w:rsid w:val="00BF11BD"/>
    <w:rsid w:val="00BF17E4"/>
    <w:rsid w:val="00BF1A6D"/>
    <w:rsid w:val="00BF68A8"/>
    <w:rsid w:val="00C018FB"/>
    <w:rsid w:val="00C0257D"/>
    <w:rsid w:val="00C03344"/>
    <w:rsid w:val="00C07119"/>
    <w:rsid w:val="00C11A03"/>
    <w:rsid w:val="00C134C5"/>
    <w:rsid w:val="00C14720"/>
    <w:rsid w:val="00C14E68"/>
    <w:rsid w:val="00C17429"/>
    <w:rsid w:val="00C176A7"/>
    <w:rsid w:val="00C17703"/>
    <w:rsid w:val="00C22C0C"/>
    <w:rsid w:val="00C30883"/>
    <w:rsid w:val="00C36CBB"/>
    <w:rsid w:val="00C41529"/>
    <w:rsid w:val="00C42D9B"/>
    <w:rsid w:val="00C44F67"/>
    <w:rsid w:val="00C4527F"/>
    <w:rsid w:val="00C45548"/>
    <w:rsid w:val="00C463DD"/>
    <w:rsid w:val="00C4724C"/>
    <w:rsid w:val="00C567CD"/>
    <w:rsid w:val="00C56D35"/>
    <w:rsid w:val="00C629A0"/>
    <w:rsid w:val="00C632C3"/>
    <w:rsid w:val="00C64629"/>
    <w:rsid w:val="00C65CD8"/>
    <w:rsid w:val="00C662BC"/>
    <w:rsid w:val="00C67B8E"/>
    <w:rsid w:val="00C7028F"/>
    <w:rsid w:val="00C72E90"/>
    <w:rsid w:val="00C745C3"/>
    <w:rsid w:val="00C75787"/>
    <w:rsid w:val="00C8015D"/>
    <w:rsid w:val="00C8154A"/>
    <w:rsid w:val="00C81D77"/>
    <w:rsid w:val="00C825F5"/>
    <w:rsid w:val="00C83742"/>
    <w:rsid w:val="00C85DCC"/>
    <w:rsid w:val="00C85E9B"/>
    <w:rsid w:val="00C864AB"/>
    <w:rsid w:val="00C87D54"/>
    <w:rsid w:val="00C93802"/>
    <w:rsid w:val="00C95E55"/>
    <w:rsid w:val="00C96409"/>
    <w:rsid w:val="00C964E2"/>
    <w:rsid w:val="00C96DF2"/>
    <w:rsid w:val="00CA0D5A"/>
    <w:rsid w:val="00CA77FE"/>
    <w:rsid w:val="00CB125E"/>
    <w:rsid w:val="00CB2E98"/>
    <w:rsid w:val="00CB3E03"/>
    <w:rsid w:val="00CB7DD8"/>
    <w:rsid w:val="00CC3B87"/>
    <w:rsid w:val="00CC3F0E"/>
    <w:rsid w:val="00CC6EBE"/>
    <w:rsid w:val="00CD09A9"/>
    <w:rsid w:val="00CD2B0F"/>
    <w:rsid w:val="00CD4AA6"/>
    <w:rsid w:val="00CD4C4F"/>
    <w:rsid w:val="00CD522B"/>
    <w:rsid w:val="00CD78B0"/>
    <w:rsid w:val="00CE23F3"/>
    <w:rsid w:val="00CE3497"/>
    <w:rsid w:val="00CE3DAD"/>
    <w:rsid w:val="00CE4A8F"/>
    <w:rsid w:val="00CE569E"/>
    <w:rsid w:val="00CF1323"/>
    <w:rsid w:val="00CF2F32"/>
    <w:rsid w:val="00CF5EF7"/>
    <w:rsid w:val="00CF7A38"/>
    <w:rsid w:val="00D014B2"/>
    <w:rsid w:val="00D0225B"/>
    <w:rsid w:val="00D03F3E"/>
    <w:rsid w:val="00D05EC3"/>
    <w:rsid w:val="00D06F4E"/>
    <w:rsid w:val="00D076DD"/>
    <w:rsid w:val="00D102B5"/>
    <w:rsid w:val="00D107A6"/>
    <w:rsid w:val="00D13635"/>
    <w:rsid w:val="00D14328"/>
    <w:rsid w:val="00D2031B"/>
    <w:rsid w:val="00D248B6"/>
    <w:rsid w:val="00D25FE2"/>
    <w:rsid w:val="00D267E5"/>
    <w:rsid w:val="00D274FF"/>
    <w:rsid w:val="00D30A86"/>
    <w:rsid w:val="00D30B9C"/>
    <w:rsid w:val="00D3137E"/>
    <w:rsid w:val="00D31861"/>
    <w:rsid w:val="00D3333E"/>
    <w:rsid w:val="00D3408B"/>
    <w:rsid w:val="00D37504"/>
    <w:rsid w:val="00D41279"/>
    <w:rsid w:val="00D422FE"/>
    <w:rsid w:val="00D42AD0"/>
    <w:rsid w:val="00D42B3E"/>
    <w:rsid w:val="00D43252"/>
    <w:rsid w:val="00D4337A"/>
    <w:rsid w:val="00D47EEA"/>
    <w:rsid w:val="00D514EC"/>
    <w:rsid w:val="00D522C4"/>
    <w:rsid w:val="00D54BE3"/>
    <w:rsid w:val="00D55BAE"/>
    <w:rsid w:val="00D5726B"/>
    <w:rsid w:val="00D61407"/>
    <w:rsid w:val="00D62DD1"/>
    <w:rsid w:val="00D63250"/>
    <w:rsid w:val="00D65ED2"/>
    <w:rsid w:val="00D70230"/>
    <w:rsid w:val="00D737AF"/>
    <w:rsid w:val="00D7513B"/>
    <w:rsid w:val="00D773DF"/>
    <w:rsid w:val="00D81B5A"/>
    <w:rsid w:val="00D82E5C"/>
    <w:rsid w:val="00D83B48"/>
    <w:rsid w:val="00D840AE"/>
    <w:rsid w:val="00D84CBF"/>
    <w:rsid w:val="00D86A74"/>
    <w:rsid w:val="00D902AF"/>
    <w:rsid w:val="00D905B2"/>
    <w:rsid w:val="00D914C8"/>
    <w:rsid w:val="00D95303"/>
    <w:rsid w:val="00D978C6"/>
    <w:rsid w:val="00DA2372"/>
    <w:rsid w:val="00DA39A7"/>
    <w:rsid w:val="00DA3C1C"/>
    <w:rsid w:val="00DA6B9F"/>
    <w:rsid w:val="00DA77E8"/>
    <w:rsid w:val="00DB2BD8"/>
    <w:rsid w:val="00DB650B"/>
    <w:rsid w:val="00DB7EE7"/>
    <w:rsid w:val="00DC0B94"/>
    <w:rsid w:val="00DC0D23"/>
    <w:rsid w:val="00DC2E1C"/>
    <w:rsid w:val="00DC3666"/>
    <w:rsid w:val="00DC3F22"/>
    <w:rsid w:val="00DC4A51"/>
    <w:rsid w:val="00DC58F7"/>
    <w:rsid w:val="00DC7357"/>
    <w:rsid w:val="00DC77D1"/>
    <w:rsid w:val="00DC78BE"/>
    <w:rsid w:val="00DD009A"/>
    <w:rsid w:val="00DD4385"/>
    <w:rsid w:val="00DD5820"/>
    <w:rsid w:val="00DD59C0"/>
    <w:rsid w:val="00DD7770"/>
    <w:rsid w:val="00DE0FB7"/>
    <w:rsid w:val="00DE23D0"/>
    <w:rsid w:val="00DE72AB"/>
    <w:rsid w:val="00DF27C3"/>
    <w:rsid w:val="00DF5856"/>
    <w:rsid w:val="00DF72D7"/>
    <w:rsid w:val="00E017D0"/>
    <w:rsid w:val="00E03D02"/>
    <w:rsid w:val="00E046DF"/>
    <w:rsid w:val="00E0623A"/>
    <w:rsid w:val="00E151B9"/>
    <w:rsid w:val="00E1562E"/>
    <w:rsid w:val="00E173BB"/>
    <w:rsid w:val="00E23F10"/>
    <w:rsid w:val="00E23FBD"/>
    <w:rsid w:val="00E25C1A"/>
    <w:rsid w:val="00E27346"/>
    <w:rsid w:val="00E31162"/>
    <w:rsid w:val="00E3383F"/>
    <w:rsid w:val="00E33D1C"/>
    <w:rsid w:val="00E353BC"/>
    <w:rsid w:val="00E373FC"/>
    <w:rsid w:val="00E37A49"/>
    <w:rsid w:val="00E37E07"/>
    <w:rsid w:val="00E43208"/>
    <w:rsid w:val="00E44F39"/>
    <w:rsid w:val="00E56FCE"/>
    <w:rsid w:val="00E57ABD"/>
    <w:rsid w:val="00E6176D"/>
    <w:rsid w:val="00E6192D"/>
    <w:rsid w:val="00E70AF0"/>
    <w:rsid w:val="00E7174A"/>
    <w:rsid w:val="00E71BC8"/>
    <w:rsid w:val="00E7260F"/>
    <w:rsid w:val="00E72EA4"/>
    <w:rsid w:val="00E73F5D"/>
    <w:rsid w:val="00E7617D"/>
    <w:rsid w:val="00E7759A"/>
    <w:rsid w:val="00E77E4E"/>
    <w:rsid w:val="00E80160"/>
    <w:rsid w:val="00E8612A"/>
    <w:rsid w:val="00E93815"/>
    <w:rsid w:val="00E93A94"/>
    <w:rsid w:val="00E94E30"/>
    <w:rsid w:val="00E96630"/>
    <w:rsid w:val="00EA0B61"/>
    <w:rsid w:val="00EA5B39"/>
    <w:rsid w:val="00EA6204"/>
    <w:rsid w:val="00EB54ED"/>
    <w:rsid w:val="00EB59BB"/>
    <w:rsid w:val="00EB6262"/>
    <w:rsid w:val="00EB7133"/>
    <w:rsid w:val="00EC0C31"/>
    <w:rsid w:val="00EC0C3C"/>
    <w:rsid w:val="00EC1671"/>
    <w:rsid w:val="00EC27F1"/>
    <w:rsid w:val="00EC3484"/>
    <w:rsid w:val="00EC412C"/>
    <w:rsid w:val="00EC61C2"/>
    <w:rsid w:val="00EC6501"/>
    <w:rsid w:val="00ED5B7F"/>
    <w:rsid w:val="00ED63EC"/>
    <w:rsid w:val="00ED6993"/>
    <w:rsid w:val="00ED7A2A"/>
    <w:rsid w:val="00ED7E5E"/>
    <w:rsid w:val="00EE0143"/>
    <w:rsid w:val="00EE460C"/>
    <w:rsid w:val="00EE634E"/>
    <w:rsid w:val="00EE6DD1"/>
    <w:rsid w:val="00EF1D7F"/>
    <w:rsid w:val="00EF3C36"/>
    <w:rsid w:val="00EF51E0"/>
    <w:rsid w:val="00EF5A9A"/>
    <w:rsid w:val="00EF779D"/>
    <w:rsid w:val="00F012E2"/>
    <w:rsid w:val="00F01779"/>
    <w:rsid w:val="00F04134"/>
    <w:rsid w:val="00F051EC"/>
    <w:rsid w:val="00F0521A"/>
    <w:rsid w:val="00F067EE"/>
    <w:rsid w:val="00F1427F"/>
    <w:rsid w:val="00F15877"/>
    <w:rsid w:val="00F16B21"/>
    <w:rsid w:val="00F23FB2"/>
    <w:rsid w:val="00F25A6C"/>
    <w:rsid w:val="00F27D06"/>
    <w:rsid w:val="00F31E5F"/>
    <w:rsid w:val="00F334C2"/>
    <w:rsid w:val="00F34054"/>
    <w:rsid w:val="00F34ADE"/>
    <w:rsid w:val="00F363E3"/>
    <w:rsid w:val="00F4162C"/>
    <w:rsid w:val="00F43F8A"/>
    <w:rsid w:val="00F45B20"/>
    <w:rsid w:val="00F46223"/>
    <w:rsid w:val="00F47311"/>
    <w:rsid w:val="00F51760"/>
    <w:rsid w:val="00F5362B"/>
    <w:rsid w:val="00F55326"/>
    <w:rsid w:val="00F56CB2"/>
    <w:rsid w:val="00F5766C"/>
    <w:rsid w:val="00F6100A"/>
    <w:rsid w:val="00F62067"/>
    <w:rsid w:val="00F64370"/>
    <w:rsid w:val="00F67318"/>
    <w:rsid w:val="00F71EED"/>
    <w:rsid w:val="00F72194"/>
    <w:rsid w:val="00F733BF"/>
    <w:rsid w:val="00F77101"/>
    <w:rsid w:val="00F808E9"/>
    <w:rsid w:val="00F8168F"/>
    <w:rsid w:val="00F82ADD"/>
    <w:rsid w:val="00F93781"/>
    <w:rsid w:val="00F937C8"/>
    <w:rsid w:val="00F93B19"/>
    <w:rsid w:val="00F97E9D"/>
    <w:rsid w:val="00FA0913"/>
    <w:rsid w:val="00FA1C7F"/>
    <w:rsid w:val="00FA291E"/>
    <w:rsid w:val="00FA4C68"/>
    <w:rsid w:val="00FA6E11"/>
    <w:rsid w:val="00FA7DA8"/>
    <w:rsid w:val="00FB3A29"/>
    <w:rsid w:val="00FB613B"/>
    <w:rsid w:val="00FB6F77"/>
    <w:rsid w:val="00FB759D"/>
    <w:rsid w:val="00FC48A4"/>
    <w:rsid w:val="00FC68B7"/>
    <w:rsid w:val="00FD3F98"/>
    <w:rsid w:val="00FD40E7"/>
    <w:rsid w:val="00FD670D"/>
    <w:rsid w:val="00FD67B5"/>
    <w:rsid w:val="00FD7CB5"/>
    <w:rsid w:val="00FE106A"/>
    <w:rsid w:val="00FF02CC"/>
    <w:rsid w:val="00FF145D"/>
    <w:rsid w:val="00FF23D3"/>
    <w:rsid w:val="00FF3374"/>
    <w:rsid w:val="00FF7019"/>
    <w:rsid w:val="00FF78DC"/>
    <w:rsid w:val="00FF7D02"/>
    <w:rsid w:val="00FF7E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753B6"/>
  <w15:docId w15:val="{C535F4DE-C480-443B-B84C-5ED3B9BD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276"/>
    <w:pPr>
      <w:suppressAutoHyphens/>
      <w:spacing w:line="240" w:lineRule="atLeast"/>
    </w:pPr>
    <w:rPr>
      <w:lang w:eastAsia="en-US"/>
    </w:rPr>
  </w:style>
  <w:style w:type="paragraph" w:styleId="Heading1">
    <w:name w:val="heading 1"/>
    <w:aliases w:val="Table_G"/>
    <w:basedOn w:val="SingleTxtG"/>
    <w:next w:val="SingleTxtG"/>
    <w:qFormat/>
    <w:rsid w:val="004C0276"/>
    <w:pPr>
      <w:spacing w:after="0" w:line="240" w:lineRule="auto"/>
      <w:ind w:right="0"/>
      <w:jc w:val="left"/>
      <w:outlineLvl w:val="0"/>
    </w:pPr>
  </w:style>
  <w:style w:type="paragraph" w:styleId="Heading2">
    <w:name w:val="heading 2"/>
    <w:basedOn w:val="Normal"/>
    <w:next w:val="Normal"/>
    <w:qFormat/>
    <w:rsid w:val="004C0276"/>
    <w:pPr>
      <w:spacing w:line="240" w:lineRule="auto"/>
      <w:outlineLvl w:val="1"/>
    </w:pPr>
  </w:style>
  <w:style w:type="paragraph" w:styleId="Heading3">
    <w:name w:val="heading 3"/>
    <w:basedOn w:val="Normal"/>
    <w:next w:val="Normal"/>
    <w:qFormat/>
    <w:rsid w:val="004C0276"/>
    <w:pPr>
      <w:spacing w:line="240" w:lineRule="auto"/>
      <w:outlineLvl w:val="2"/>
    </w:pPr>
  </w:style>
  <w:style w:type="paragraph" w:styleId="Heading4">
    <w:name w:val="heading 4"/>
    <w:basedOn w:val="Normal"/>
    <w:next w:val="Normal"/>
    <w:qFormat/>
    <w:rsid w:val="004C0276"/>
    <w:pPr>
      <w:spacing w:line="240" w:lineRule="auto"/>
      <w:outlineLvl w:val="3"/>
    </w:pPr>
  </w:style>
  <w:style w:type="paragraph" w:styleId="Heading5">
    <w:name w:val="heading 5"/>
    <w:basedOn w:val="Normal"/>
    <w:next w:val="Normal"/>
    <w:qFormat/>
    <w:rsid w:val="004C0276"/>
    <w:pPr>
      <w:spacing w:line="240" w:lineRule="auto"/>
      <w:outlineLvl w:val="4"/>
    </w:pPr>
  </w:style>
  <w:style w:type="paragraph" w:styleId="Heading6">
    <w:name w:val="heading 6"/>
    <w:basedOn w:val="Normal"/>
    <w:next w:val="Normal"/>
    <w:qFormat/>
    <w:rsid w:val="004C0276"/>
    <w:pPr>
      <w:spacing w:line="240" w:lineRule="auto"/>
      <w:outlineLvl w:val="5"/>
    </w:pPr>
  </w:style>
  <w:style w:type="paragraph" w:styleId="Heading7">
    <w:name w:val="heading 7"/>
    <w:basedOn w:val="Normal"/>
    <w:next w:val="Normal"/>
    <w:qFormat/>
    <w:rsid w:val="004C0276"/>
    <w:pPr>
      <w:spacing w:line="240" w:lineRule="auto"/>
      <w:outlineLvl w:val="6"/>
    </w:pPr>
  </w:style>
  <w:style w:type="paragraph" w:styleId="Heading8">
    <w:name w:val="heading 8"/>
    <w:basedOn w:val="Normal"/>
    <w:next w:val="Normal"/>
    <w:qFormat/>
    <w:rsid w:val="004C0276"/>
    <w:pPr>
      <w:spacing w:line="240" w:lineRule="auto"/>
      <w:outlineLvl w:val="7"/>
    </w:pPr>
  </w:style>
  <w:style w:type="paragraph" w:styleId="Heading9">
    <w:name w:val="heading 9"/>
    <w:basedOn w:val="Normal"/>
    <w:next w:val="Normal"/>
    <w:qFormat/>
    <w:rsid w:val="004C0276"/>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4C0276"/>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C0276"/>
    <w:pPr>
      <w:keepNext/>
      <w:keepLines/>
      <w:tabs>
        <w:tab w:val="right" w:pos="851"/>
      </w:tabs>
      <w:spacing w:before="360" w:after="240" w:line="300" w:lineRule="exact"/>
      <w:ind w:left="1134" w:right="1134" w:hanging="1134"/>
    </w:pPr>
    <w:rPr>
      <w:b/>
      <w:sz w:val="28"/>
    </w:rPr>
  </w:style>
  <w:style w:type="paragraph" w:customStyle="1" w:styleId="ParaNo0">
    <w:name w:val="Para No"/>
    <w:basedOn w:val="Normal"/>
    <w:link w:val="ParaNoChar"/>
    <w:rsid w:val="00CB7DD8"/>
    <w:pPr>
      <w:numPr>
        <w:numId w:val="17"/>
      </w:numPr>
      <w:suppressAutoHyphens w:val="0"/>
      <w:spacing w:after="240" w:line="240" w:lineRule="auto"/>
      <w:jc w:val="both"/>
    </w:pPr>
    <w:rPr>
      <w:sz w:val="24"/>
      <w:szCs w:val="24"/>
    </w:rPr>
  </w:style>
  <w:style w:type="paragraph" w:customStyle="1" w:styleId="SingleTxtG">
    <w:name w:val="_ Single Txt_G"/>
    <w:basedOn w:val="Normal"/>
    <w:link w:val="SingleTxtGChar"/>
    <w:qFormat/>
    <w:rsid w:val="004C0276"/>
    <w:pPr>
      <w:spacing w:after="120"/>
      <w:ind w:left="1134" w:right="1134"/>
      <w:jc w:val="both"/>
    </w:pPr>
  </w:style>
  <w:style w:type="character" w:styleId="PageNumber">
    <w:name w:val="page number"/>
    <w:aliases w:val="7_G"/>
    <w:rsid w:val="004C0276"/>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4C0276"/>
    <w:pPr>
      <w:keepNext/>
      <w:keepLines/>
      <w:spacing w:before="240" w:after="240" w:line="420" w:lineRule="exact"/>
      <w:ind w:left="1134" w:right="1134"/>
    </w:pPr>
    <w:rPr>
      <w:b/>
      <w:sz w:val="40"/>
    </w:rPr>
  </w:style>
  <w:style w:type="paragraph" w:customStyle="1" w:styleId="SLG">
    <w:name w:val="__S_L_G"/>
    <w:basedOn w:val="Normal"/>
    <w:next w:val="Normal"/>
    <w:rsid w:val="004C0276"/>
    <w:pPr>
      <w:keepNext/>
      <w:keepLines/>
      <w:spacing w:before="240" w:after="240" w:line="580" w:lineRule="exact"/>
      <w:ind w:left="1134" w:right="1134"/>
    </w:pPr>
    <w:rPr>
      <w:b/>
      <w:sz w:val="56"/>
    </w:rPr>
  </w:style>
  <w:style w:type="paragraph" w:customStyle="1" w:styleId="SSG">
    <w:name w:val="__S_S_G"/>
    <w:basedOn w:val="Normal"/>
    <w:next w:val="Normal"/>
    <w:rsid w:val="004C0276"/>
    <w:pPr>
      <w:keepNext/>
      <w:keepLines/>
      <w:spacing w:before="240" w:after="240" w:line="300" w:lineRule="exact"/>
      <w:ind w:left="1134" w:right="1134"/>
    </w:pPr>
    <w:rPr>
      <w:b/>
      <w:sz w:val="28"/>
    </w:rPr>
  </w:style>
  <w:style w:type="character" w:styleId="EndnoteReference">
    <w:name w:val="endnote reference"/>
    <w:aliases w:val="1_G"/>
    <w:basedOn w:val="FootnoteReference"/>
    <w:rsid w:val="004C0276"/>
    <w:rPr>
      <w:rFonts w:ascii="Times New Roman" w:hAnsi="Times New Roman"/>
      <w:sz w:val="18"/>
      <w:vertAlign w:val="superscript"/>
    </w:rPr>
  </w:style>
  <w:style w:type="character" w:styleId="FootnoteReference">
    <w:name w:val="footnote reference"/>
    <w:aliases w:val="4_G"/>
    <w:rsid w:val="004C0276"/>
    <w:rPr>
      <w:rFonts w:ascii="Times New Roman" w:hAnsi="Times New Roman"/>
      <w:sz w:val="18"/>
      <w:vertAlign w:val="superscript"/>
    </w:rPr>
  </w:style>
  <w:style w:type="paragraph" w:styleId="FootnoteText">
    <w:name w:val="footnote text"/>
    <w:aliases w:val="5_G"/>
    <w:basedOn w:val="Normal"/>
    <w:rsid w:val="004C0276"/>
    <w:pPr>
      <w:tabs>
        <w:tab w:val="right" w:pos="1021"/>
      </w:tabs>
      <w:spacing w:line="220" w:lineRule="exact"/>
      <w:ind w:left="1134" w:right="1134" w:hanging="1134"/>
    </w:pPr>
    <w:rPr>
      <w:sz w:val="18"/>
    </w:rPr>
  </w:style>
  <w:style w:type="paragraph" w:customStyle="1" w:styleId="XLargeG">
    <w:name w:val="__XLarge_G"/>
    <w:basedOn w:val="Normal"/>
    <w:next w:val="Normal"/>
    <w:rsid w:val="004C0276"/>
    <w:pPr>
      <w:keepNext/>
      <w:keepLines/>
      <w:spacing w:before="240" w:after="240" w:line="420" w:lineRule="exact"/>
      <w:ind w:left="1134" w:right="1134"/>
    </w:pPr>
    <w:rPr>
      <w:b/>
      <w:sz w:val="40"/>
    </w:rPr>
  </w:style>
  <w:style w:type="paragraph" w:customStyle="1" w:styleId="Bullet1G">
    <w:name w:val="_Bullet 1_G"/>
    <w:basedOn w:val="Normal"/>
    <w:rsid w:val="004C0276"/>
    <w:pPr>
      <w:numPr>
        <w:numId w:val="14"/>
      </w:numPr>
      <w:spacing w:after="120"/>
      <w:ind w:right="1134"/>
      <w:jc w:val="both"/>
    </w:pPr>
  </w:style>
  <w:style w:type="paragraph" w:styleId="EndnoteText">
    <w:name w:val="endnote text"/>
    <w:aliases w:val="2_G"/>
    <w:basedOn w:val="FootnoteText"/>
    <w:rsid w:val="004C0276"/>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4C0276"/>
    <w:pPr>
      <w:numPr>
        <w:numId w:val="15"/>
      </w:numPr>
      <w:spacing w:after="120"/>
      <w:ind w:right="1134"/>
      <w:jc w:val="both"/>
    </w:pPr>
  </w:style>
  <w:style w:type="paragraph" w:customStyle="1" w:styleId="H1G">
    <w:name w:val="_ H_1_G"/>
    <w:basedOn w:val="Normal"/>
    <w:next w:val="Normal"/>
    <w:rsid w:val="004C0276"/>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C0276"/>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C0276"/>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C0276"/>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4C0276"/>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link w:val="HTMLPreformattedChar"/>
    <w:uiPriority w:val="99"/>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4C0276"/>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4C027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4C0276"/>
    <w:pPr>
      <w:spacing w:line="240" w:lineRule="auto"/>
    </w:pPr>
    <w:rPr>
      <w:sz w:val="16"/>
    </w:rPr>
  </w:style>
  <w:style w:type="paragraph" w:styleId="Header">
    <w:name w:val="header"/>
    <w:aliases w:val="6_G"/>
    <w:basedOn w:val="Normal"/>
    <w:rsid w:val="004C0276"/>
    <w:pPr>
      <w:pBdr>
        <w:bottom w:val="single" w:sz="4" w:space="4" w:color="auto"/>
      </w:pBdr>
      <w:spacing w:line="240" w:lineRule="auto"/>
    </w:pPr>
    <w:rPr>
      <w:b/>
      <w:sz w:val="18"/>
    </w:rPr>
  </w:style>
  <w:style w:type="character" w:customStyle="1" w:styleId="ParaNoChar">
    <w:name w:val="Para No Char"/>
    <w:link w:val="ParaNo0"/>
    <w:rsid w:val="00CB7DD8"/>
    <w:rPr>
      <w:sz w:val="24"/>
      <w:szCs w:val="24"/>
      <w:lang w:val="en-GB" w:eastAsia="en-US" w:bidi="ar-SA"/>
    </w:rPr>
  </w:style>
  <w:style w:type="character" w:customStyle="1" w:styleId="SingleTxtGChar">
    <w:name w:val="_ Single Txt_G Char"/>
    <w:link w:val="SingleTxtG"/>
    <w:rsid w:val="00D55BAE"/>
    <w:rPr>
      <w:lang w:val="en-GB" w:eastAsia="en-US" w:bidi="ar-SA"/>
    </w:rPr>
  </w:style>
  <w:style w:type="paragraph" w:customStyle="1" w:styleId="Rom2">
    <w:name w:val="Rom2"/>
    <w:basedOn w:val="Normal"/>
    <w:rsid w:val="005C7247"/>
    <w:pPr>
      <w:numPr>
        <w:numId w:val="18"/>
      </w:numPr>
      <w:suppressAutoHyphens w:val="0"/>
      <w:spacing w:after="240" w:line="240" w:lineRule="auto"/>
    </w:pPr>
    <w:rPr>
      <w:sz w:val="24"/>
    </w:rPr>
  </w:style>
  <w:style w:type="paragraph" w:customStyle="1" w:styleId="Default">
    <w:name w:val="Default"/>
    <w:rsid w:val="005C7247"/>
    <w:pPr>
      <w:autoSpaceDE w:val="0"/>
      <w:autoSpaceDN w:val="0"/>
      <w:adjustRightInd w:val="0"/>
    </w:pPr>
    <w:rPr>
      <w:color w:val="000000"/>
      <w:sz w:val="24"/>
      <w:szCs w:val="24"/>
      <w:lang w:val="en-US" w:eastAsia="en-US"/>
    </w:rPr>
  </w:style>
  <w:style w:type="paragraph" w:customStyle="1" w:styleId="ParaNo">
    <w:name w:val="ParaNo."/>
    <w:basedOn w:val="Normal"/>
    <w:link w:val="ParaNoChar0"/>
    <w:rsid w:val="00B365CB"/>
    <w:pPr>
      <w:numPr>
        <w:numId w:val="19"/>
      </w:numPr>
      <w:tabs>
        <w:tab w:val="clear" w:pos="360"/>
        <w:tab w:val="left" w:pos="737"/>
      </w:tabs>
      <w:suppressAutoHyphens w:val="0"/>
      <w:spacing w:after="240" w:line="240" w:lineRule="auto"/>
    </w:pPr>
    <w:rPr>
      <w:sz w:val="24"/>
      <w:lang w:val="fr-CH"/>
    </w:rPr>
  </w:style>
  <w:style w:type="character" w:customStyle="1" w:styleId="ParaNoChar0">
    <w:name w:val="ParaNo. Char"/>
    <w:link w:val="ParaNo"/>
    <w:rsid w:val="00B365CB"/>
    <w:rPr>
      <w:sz w:val="24"/>
      <w:lang w:val="fr-CH" w:eastAsia="en-US" w:bidi="ar-SA"/>
    </w:rPr>
  </w:style>
  <w:style w:type="paragraph" w:styleId="BalloonText">
    <w:name w:val="Balloon Text"/>
    <w:basedOn w:val="Normal"/>
    <w:link w:val="BalloonTextChar"/>
    <w:rsid w:val="008932B9"/>
    <w:pPr>
      <w:spacing w:line="240" w:lineRule="auto"/>
    </w:pPr>
    <w:rPr>
      <w:rFonts w:ascii="Tahoma" w:hAnsi="Tahoma" w:cs="Tahoma"/>
      <w:sz w:val="16"/>
      <w:szCs w:val="16"/>
    </w:rPr>
  </w:style>
  <w:style w:type="character" w:customStyle="1" w:styleId="BalloonTextChar">
    <w:name w:val="Balloon Text Char"/>
    <w:link w:val="BalloonText"/>
    <w:rsid w:val="008932B9"/>
    <w:rPr>
      <w:rFonts w:ascii="Tahoma" w:hAnsi="Tahoma" w:cs="Tahoma"/>
      <w:sz w:val="16"/>
      <w:szCs w:val="16"/>
      <w:lang w:eastAsia="en-US"/>
    </w:rPr>
  </w:style>
  <w:style w:type="character" w:customStyle="1" w:styleId="HTMLPreformattedChar">
    <w:name w:val="HTML Preformatted Char"/>
    <w:basedOn w:val="DefaultParagraphFont"/>
    <w:link w:val="HTMLPreformatted"/>
    <w:uiPriority w:val="99"/>
    <w:semiHidden/>
    <w:rsid w:val="007B4914"/>
    <w:rPr>
      <w:rFonts w:ascii="Courier New" w:hAnsi="Courier New" w:cs="Courier New"/>
      <w:lang w:eastAsia="en-US"/>
    </w:rPr>
  </w:style>
  <w:style w:type="character" w:customStyle="1" w:styleId="apple-converted-space">
    <w:name w:val="apple-converted-space"/>
    <w:basedOn w:val="DefaultParagraphFont"/>
    <w:rsid w:val="00270944"/>
  </w:style>
  <w:style w:type="paragraph" w:customStyle="1" w:styleId="meetingdate">
    <w:name w:val="meetingdate"/>
    <w:basedOn w:val="Normal"/>
    <w:rsid w:val="008472C2"/>
    <w:pPr>
      <w:suppressAutoHyphens w:val="0"/>
      <w:spacing w:before="100" w:beforeAutospacing="1" w:after="100" w:afterAutospacing="1" w:line="240" w:lineRule="auto"/>
    </w:pPr>
    <w:rPr>
      <w:sz w:val="24"/>
      <w:szCs w:val="24"/>
      <w:lang w:eastAsia="en-GB"/>
    </w:rPr>
  </w:style>
  <w:style w:type="paragraph" w:styleId="CommentSubject">
    <w:name w:val="annotation subject"/>
    <w:basedOn w:val="CommentText"/>
    <w:next w:val="CommentText"/>
    <w:link w:val="CommentSubjectChar"/>
    <w:semiHidden/>
    <w:unhideWhenUsed/>
    <w:rsid w:val="00A5235B"/>
    <w:pPr>
      <w:spacing w:line="240" w:lineRule="auto"/>
    </w:pPr>
    <w:rPr>
      <w:b/>
      <w:bCs/>
    </w:rPr>
  </w:style>
  <w:style w:type="character" w:customStyle="1" w:styleId="CommentTextChar">
    <w:name w:val="Comment Text Char"/>
    <w:basedOn w:val="DefaultParagraphFont"/>
    <w:link w:val="CommentText"/>
    <w:semiHidden/>
    <w:rsid w:val="00A5235B"/>
    <w:rPr>
      <w:lang w:eastAsia="en-US"/>
    </w:rPr>
  </w:style>
  <w:style w:type="character" w:customStyle="1" w:styleId="CommentSubjectChar">
    <w:name w:val="Comment Subject Char"/>
    <w:basedOn w:val="CommentTextChar"/>
    <w:link w:val="CommentSubject"/>
    <w:semiHidden/>
    <w:rsid w:val="00A5235B"/>
    <w:rPr>
      <w:b/>
      <w:bCs/>
      <w:lang w:eastAsia="en-US"/>
    </w:rPr>
  </w:style>
  <w:style w:type="character" w:customStyle="1" w:styleId="UnresolvedMention1">
    <w:name w:val="Unresolved Mention1"/>
    <w:basedOn w:val="DefaultParagraphFont"/>
    <w:uiPriority w:val="99"/>
    <w:semiHidden/>
    <w:unhideWhenUsed/>
    <w:rsid w:val="00B10405"/>
    <w:rPr>
      <w:color w:val="605E5C"/>
      <w:shd w:val="clear" w:color="auto" w:fill="E1DFDD"/>
    </w:rPr>
  </w:style>
  <w:style w:type="character" w:customStyle="1" w:styleId="field-content">
    <w:name w:val="field-content"/>
    <w:basedOn w:val="DefaultParagraphFont"/>
    <w:rsid w:val="008246AE"/>
  </w:style>
  <w:style w:type="character" w:customStyle="1" w:styleId="date-display-start">
    <w:name w:val="date-display-start"/>
    <w:basedOn w:val="DefaultParagraphFont"/>
    <w:rsid w:val="008246AE"/>
  </w:style>
  <w:style w:type="character" w:customStyle="1" w:styleId="date-display-end">
    <w:name w:val="date-display-end"/>
    <w:basedOn w:val="DefaultParagraphFont"/>
    <w:rsid w:val="008246AE"/>
  </w:style>
  <w:style w:type="paragraph" w:styleId="ListParagraph">
    <w:name w:val="List Paragraph"/>
    <w:basedOn w:val="Normal"/>
    <w:uiPriority w:val="34"/>
    <w:qFormat/>
    <w:rsid w:val="008246AE"/>
    <w:pPr>
      <w:ind w:left="720"/>
      <w:contextualSpacing/>
    </w:pPr>
  </w:style>
  <w:style w:type="character" w:customStyle="1" w:styleId="FooterChar">
    <w:name w:val="Footer Char"/>
    <w:aliases w:val="3_G Char"/>
    <w:basedOn w:val="DefaultParagraphFont"/>
    <w:link w:val="Footer"/>
    <w:rsid w:val="007B2FD3"/>
    <w:rPr>
      <w:sz w:val="16"/>
      <w:lang w:eastAsia="en-US"/>
    </w:rPr>
  </w:style>
  <w:style w:type="paragraph" w:styleId="Revision">
    <w:name w:val="Revision"/>
    <w:hidden/>
    <w:uiPriority w:val="99"/>
    <w:semiHidden/>
    <w:rsid w:val="00D37504"/>
    <w:rPr>
      <w:lang w:eastAsia="en-US"/>
    </w:rPr>
  </w:style>
  <w:style w:type="character" w:customStyle="1" w:styleId="loc3">
    <w:name w:val="loc3"/>
    <w:basedOn w:val="DefaultParagraphFont"/>
    <w:rsid w:val="009E2F9E"/>
  </w:style>
  <w:style w:type="character" w:customStyle="1" w:styleId="loc4">
    <w:name w:val="loc4"/>
    <w:basedOn w:val="DefaultParagraphFont"/>
    <w:rsid w:val="009E2F9E"/>
  </w:style>
  <w:style w:type="character" w:styleId="UnresolvedMention">
    <w:name w:val="Unresolved Mention"/>
    <w:basedOn w:val="DefaultParagraphFont"/>
    <w:uiPriority w:val="99"/>
    <w:semiHidden/>
    <w:unhideWhenUsed/>
    <w:rsid w:val="00902D3A"/>
    <w:rPr>
      <w:color w:val="605E5C"/>
      <w:shd w:val="clear" w:color="auto" w:fill="E1DFDD"/>
    </w:rPr>
  </w:style>
  <w:style w:type="character" w:customStyle="1" w:styleId="HChGChar">
    <w:name w:val="_ H _Ch_G Char"/>
    <w:link w:val="HChG"/>
    <w:rsid w:val="00582A57"/>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49533">
      <w:bodyDiv w:val="1"/>
      <w:marLeft w:val="0"/>
      <w:marRight w:val="0"/>
      <w:marTop w:val="0"/>
      <w:marBottom w:val="0"/>
      <w:divBdr>
        <w:top w:val="none" w:sz="0" w:space="0" w:color="auto"/>
        <w:left w:val="none" w:sz="0" w:space="0" w:color="auto"/>
        <w:bottom w:val="none" w:sz="0" w:space="0" w:color="auto"/>
        <w:right w:val="none" w:sz="0" w:space="0" w:color="auto"/>
      </w:divBdr>
    </w:div>
    <w:div w:id="108283866">
      <w:bodyDiv w:val="1"/>
      <w:marLeft w:val="0"/>
      <w:marRight w:val="0"/>
      <w:marTop w:val="0"/>
      <w:marBottom w:val="0"/>
      <w:divBdr>
        <w:top w:val="none" w:sz="0" w:space="0" w:color="auto"/>
        <w:left w:val="none" w:sz="0" w:space="0" w:color="auto"/>
        <w:bottom w:val="none" w:sz="0" w:space="0" w:color="auto"/>
        <w:right w:val="none" w:sz="0" w:space="0" w:color="auto"/>
      </w:divBdr>
    </w:div>
    <w:div w:id="109790255">
      <w:bodyDiv w:val="1"/>
      <w:marLeft w:val="0"/>
      <w:marRight w:val="0"/>
      <w:marTop w:val="0"/>
      <w:marBottom w:val="0"/>
      <w:divBdr>
        <w:top w:val="none" w:sz="0" w:space="0" w:color="auto"/>
        <w:left w:val="none" w:sz="0" w:space="0" w:color="auto"/>
        <w:bottom w:val="none" w:sz="0" w:space="0" w:color="auto"/>
        <w:right w:val="none" w:sz="0" w:space="0" w:color="auto"/>
      </w:divBdr>
      <w:divsChild>
        <w:div w:id="237253569">
          <w:marLeft w:val="0"/>
          <w:marRight w:val="0"/>
          <w:marTop w:val="0"/>
          <w:marBottom w:val="0"/>
          <w:divBdr>
            <w:top w:val="none" w:sz="0" w:space="0" w:color="auto"/>
            <w:left w:val="none" w:sz="0" w:space="0" w:color="auto"/>
            <w:bottom w:val="none" w:sz="0" w:space="0" w:color="auto"/>
            <w:right w:val="none" w:sz="0" w:space="0" w:color="auto"/>
          </w:divBdr>
        </w:div>
        <w:div w:id="1433470765">
          <w:marLeft w:val="0"/>
          <w:marRight w:val="0"/>
          <w:marTop w:val="0"/>
          <w:marBottom w:val="0"/>
          <w:divBdr>
            <w:top w:val="none" w:sz="0" w:space="0" w:color="auto"/>
            <w:left w:val="none" w:sz="0" w:space="0" w:color="auto"/>
            <w:bottom w:val="none" w:sz="0" w:space="0" w:color="auto"/>
            <w:right w:val="none" w:sz="0" w:space="0" w:color="auto"/>
          </w:divBdr>
        </w:div>
        <w:div w:id="1478643538">
          <w:marLeft w:val="0"/>
          <w:marRight w:val="0"/>
          <w:marTop w:val="0"/>
          <w:marBottom w:val="0"/>
          <w:divBdr>
            <w:top w:val="none" w:sz="0" w:space="0" w:color="auto"/>
            <w:left w:val="none" w:sz="0" w:space="0" w:color="auto"/>
            <w:bottom w:val="none" w:sz="0" w:space="0" w:color="auto"/>
            <w:right w:val="none" w:sz="0" w:space="0" w:color="auto"/>
          </w:divBdr>
        </w:div>
      </w:divsChild>
    </w:div>
    <w:div w:id="340856686">
      <w:bodyDiv w:val="1"/>
      <w:marLeft w:val="0"/>
      <w:marRight w:val="0"/>
      <w:marTop w:val="0"/>
      <w:marBottom w:val="0"/>
      <w:divBdr>
        <w:top w:val="none" w:sz="0" w:space="0" w:color="auto"/>
        <w:left w:val="none" w:sz="0" w:space="0" w:color="auto"/>
        <w:bottom w:val="none" w:sz="0" w:space="0" w:color="auto"/>
        <w:right w:val="none" w:sz="0" w:space="0" w:color="auto"/>
      </w:divBdr>
      <w:divsChild>
        <w:div w:id="135684932">
          <w:marLeft w:val="0"/>
          <w:marRight w:val="0"/>
          <w:marTop w:val="0"/>
          <w:marBottom w:val="0"/>
          <w:divBdr>
            <w:top w:val="none" w:sz="0" w:space="0" w:color="auto"/>
            <w:left w:val="none" w:sz="0" w:space="0" w:color="auto"/>
            <w:bottom w:val="none" w:sz="0" w:space="0" w:color="auto"/>
            <w:right w:val="none" w:sz="0" w:space="0" w:color="auto"/>
          </w:divBdr>
        </w:div>
        <w:div w:id="405151103">
          <w:marLeft w:val="0"/>
          <w:marRight w:val="0"/>
          <w:marTop w:val="0"/>
          <w:marBottom w:val="0"/>
          <w:divBdr>
            <w:top w:val="none" w:sz="0" w:space="0" w:color="auto"/>
            <w:left w:val="none" w:sz="0" w:space="0" w:color="auto"/>
            <w:bottom w:val="none" w:sz="0" w:space="0" w:color="auto"/>
            <w:right w:val="none" w:sz="0" w:space="0" w:color="auto"/>
          </w:divBdr>
        </w:div>
        <w:div w:id="794562238">
          <w:marLeft w:val="0"/>
          <w:marRight w:val="0"/>
          <w:marTop w:val="0"/>
          <w:marBottom w:val="0"/>
          <w:divBdr>
            <w:top w:val="none" w:sz="0" w:space="0" w:color="auto"/>
            <w:left w:val="none" w:sz="0" w:space="0" w:color="auto"/>
            <w:bottom w:val="none" w:sz="0" w:space="0" w:color="auto"/>
            <w:right w:val="none" w:sz="0" w:space="0" w:color="auto"/>
          </w:divBdr>
        </w:div>
        <w:div w:id="979304962">
          <w:marLeft w:val="0"/>
          <w:marRight w:val="0"/>
          <w:marTop w:val="0"/>
          <w:marBottom w:val="0"/>
          <w:divBdr>
            <w:top w:val="none" w:sz="0" w:space="0" w:color="auto"/>
            <w:left w:val="none" w:sz="0" w:space="0" w:color="auto"/>
            <w:bottom w:val="none" w:sz="0" w:space="0" w:color="auto"/>
            <w:right w:val="none" w:sz="0" w:space="0" w:color="auto"/>
          </w:divBdr>
        </w:div>
        <w:div w:id="1838766146">
          <w:marLeft w:val="0"/>
          <w:marRight w:val="0"/>
          <w:marTop w:val="0"/>
          <w:marBottom w:val="0"/>
          <w:divBdr>
            <w:top w:val="none" w:sz="0" w:space="0" w:color="auto"/>
            <w:left w:val="none" w:sz="0" w:space="0" w:color="auto"/>
            <w:bottom w:val="none" w:sz="0" w:space="0" w:color="auto"/>
            <w:right w:val="none" w:sz="0" w:space="0" w:color="auto"/>
          </w:divBdr>
        </w:div>
      </w:divsChild>
    </w:div>
    <w:div w:id="373310790">
      <w:bodyDiv w:val="1"/>
      <w:marLeft w:val="0"/>
      <w:marRight w:val="0"/>
      <w:marTop w:val="0"/>
      <w:marBottom w:val="0"/>
      <w:divBdr>
        <w:top w:val="none" w:sz="0" w:space="0" w:color="auto"/>
        <w:left w:val="none" w:sz="0" w:space="0" w:color="auto"/>
        <w:bottom w:val="none" w:sz="0" w:space="0" w:color="auto"/>
        <w:right w:val="none" w:sz="0" w:space="0" w:color="auto"/>
      </w:divBdr>
    </w:div>
    <w:div w:id="506141354">
      <w:bodyDiv w:val="1"/>
      <w:marLeft w:val="0"/>
      <w:marRight w:val="0"/>
      <w:marTop w:val="0"/>
      <w:marBottom w:val="0"/>
      <w:divBdr>
        <w:top w:val="none" w:sz="0" w:space="0" w:color="auto"/>
        <w:left w:val="none" w:sz="0" w:space="0" w:color="auto"/>
        <w:bottom w:val="none" w:sz="0" w:space="0" w:color="auto"/>
        <w:right w:val="none" w:sz="0" w:space="0" w:color="auto"/>
      </w:divBdr>
      <w:divsChild>
        <w:div w:id="186916998">
          <w:marLeft w:val="0"/>
          <w:marRight w:val="0"/>
          <w:marTop w:val="0"/>
          <w:marBottom w:val="0"/>
          <w:divBdr>
            <w:top w:val="none" w:sz="0" w:space="0" w:color="auto"/>
            <w:left w:val="none" w:sz="0" w:space="0" w:color="auto"/>
            <w:bottom w:val="none" w:sz="0" w:space="0" w:color="auto"/>
            <w:right w:val="none" w:sz="0" w:space="0" w:color="auto"/>
          </w:divBdr>
        </w:div>
        <w:div w:id="337926970">
          <w:marLeft w:val="0"/>
          <w:marRight w:val="0"/>
          <w:marTop w:val="0"/>
          <w:marBottom w:val="0"/>
          <w:divBdr>
            <w:top w:val="none" w:sz="0" w:space="0" w:color="auto"/>
            <w:left w:val="none" w:sz="0" w:space="0" w:color="auto"/>
            <w:bottom w:val="none" w:sz="0" w:space="0" w:color="auto"/>
            <w:right w:val="none" w:sz="0" w:space="0" w:color="auto"/>
          </w:divBdr>
        </w:div>
        <w:div w:id="939798238">
          <w:marLeft w:val="0"/>
          <w:marRight w:val="0"/>
          <w:marTop w:val="0"/>
          <w:marBottom w:val="0"/>
          <w:divBdr>
            <w:top w:val="none" w:sz="0" w:space="0" w:color="auto"/>
            <w:left w:val="none" w:sz="0" w:space="0" w:color="auto"/>
            <w:bottom w:val="none" w:sz="0" w:space="0" w:color="auto"/>
            <w:right w:val="none" w:sz="0" w:space="0" w:color="auto"/>
          </w:divBdr>
        </w:div>
        <w:div w:id="1396704554">
          <w:marLeft w:val="0"/>
          <w:marRight w:val="0"/>
          <w:marTop w:val="0"/>
          <w:marBottom w:val="0"/>
          <w:divBdr>
            <w:top w:val="none" w:sz="0" w:space="0" w:color="auto"/>
            <w:left w:val="none" w:sz="0" w:space="0" w:color="auto"/>
            <w:bottom w:val="none" w:sz="0" w:space="0" w:color="auto"/>
            <w:right w:val="none" w:sz="0" w:space="0" w:color="auto"/>
          </w:divBdr>
        </w:div>
        <w:div w:id="1767342041">
          <w:marLeft w:val="0"/>
          <w:marRight w:val="0"/>
          <w:marTop w:val="0"/>
          <w:marBottom w:val="0"/>
          <w:divBdr>
            <w:top w:val="none" w:sz="0" w:space="0" w:color="auto"/>
            <w:left w:val="none" w:sz="0" w:space="0" w:color="auto"/>
            <w:bottom w:val="none" w:sz="0" w:space="0" w:color="auto"/>
            <w:right w:val="none" w:sz="0" w:space="0" w:color="auto"/>
          </w:divBdr>
        </w:div>
      </w:divsChild>
    </w:div>
    <w:div w:id="523132145">
      <w:bodyDiv w:val="1"/>
      <w:marLeft w:val="0"/>
      <w:marRight w:val="0"/>
      <w:marTop w:val="0"/>
      <w:marBottom w:val="0"/>
      <w:divBdr>
        <w:top w:val="none" w:sz="0" w:space="0" w:color="auto"/>
        <w:left w:val="none" w:sz="0" w:space="0" w:color="auto"/>
        <w:bottom w:val="none" w:sz="0" w:space="0" w:color="auto"/>
        <w:right w:val="none" w:sz="0" w:space="0" w:color="auto"/>
      </w:divBdr>
      <w:divsChild>
        <w:div w:id="923491972">
          <w:marLeft w:val="0"/>
          <w:marRight w:val="0"/>
          <w:marTop w:val="0"/>
          <w:marBottom w:val="0"/>
          <w:divBdr>
            <w:top w:val="none" w:sz="0" w:space="0" w:color="auto"/>
            <w:left w:val="none" w:sz="0" w:space="0" w:color="auto"/>
            <w:bottom w:val="none" w:sz="0" w:space="0" w:color="auto"/>
            <w:right w:val="none" w:sz="0" w:space="0" w:color="auto"/>
          </w:divBdr>
        </w:div>
        <w:div w:id="1005790462">
          <w:marLeft w:val="0"/>
          <w:marRight w:val="0"/>
          <w:marTop w:val="0"/>
          <w:marBottom w:val="0"/>
          <w:divBdr>
            <w:top w:val="none" w:sz="0" w:space="0" w:color="auto"/>
            <w:left w:val="none" w:sz="0" w:space="0" w:color="auto"/>
            <w:bottom w:val="none" w:sz="0" w:space="0" w:color="auto"/>
            <w:right w:val="none" w:sz="0" w:space="0" w:color="auto"/>
          </w:divBdr>
        </w:div>
        <w:div w:id="1011571880">
          <w:marLeft w:val="0"/>
          <w:marRight w:val="0"/>
          <w:marTop w:val="0"/>
          <w:marBottom w:val="0"/>
          <w:divBdr>
            <w:top w:val="none" w:sz="0" w:space="0" w:color="auto"/>
            <w:left w:val="none" w:sz="0" w:space="0" w:color="auto"/>
            <w:bottom w:val="none" w:sz="0" w:space="0" w:color="auto"/>
            <w:right w:val="none" w:sz="0" w:space="0" w:color="auto"/>
          </w:divBdr>
        </w:div>
        <w:div w:id="1028682550">
          <w:marLeft w:val="0"/>
          <w:marRight w:val="0"/>
          <w:marTop w:val="0"/>
          <w:marBottom w:val="0"/>
          <w:divBdr>
            <w:top w:val="none" w:sz="0" w:space="0" w:color="auto"/>
            <w:left w:val="none" w:sz="0" w:space="0" w:color="auto"/>
            <w:bottom w:val="none" w:sz="0" w:space="0" w:color="auto"/>
            <w:right w:val="none" w:sz="0" w:space="0" w:color="auto"/>
          </w:divBdr>
        </w:div>
        <w:div w:id="1243490919">
          <w:marLeft w:val="0"/>
          <w:marRight w:val="0"/>
          <w:marTop w:val="0"/>
          <w:marBottom w:val="0"/>
          <w:divBdr>
            <w:top w:val="none" w:sz="0" w:space="0" w:color="auto"/>
            <w:left w:val="none" w:sz="0" w:space="0" w:color="auto"/>
            <w:bottom w:val="none" w:sz="0" w:space="0" w:color="auto"/>
            <w:right w:val="none" w:sz="0" w:space="0" w:color="auto"/>
          </w:divBdr>
        </w:div>
        <w:div w:id="1320423394">
          <w:marLeft w:val="0"/>
          <w:marRight w:val="0"/>
          <w:marTop w:val="0"/>
          <w:marBottom w:val="0"/>
          <w:divBdr>
            <w:top w:val="none" w:sz="0" w:space="0" w:color="auto"/>
            <w:left w:val="none" w:sz="0" w:space="0" w:color="auto"/>
            <w:bottom w:val="none" w:sz="0" w:space="0" w:color="auto"/>
            <w:right w:val="none" w:sz="0" w:space="0" w:color="auto"/>
          </w:divBdr>
        </w:div>
        <w:div w:id="1353723595">
          <w:marLeft w:val="0"/>
          <w:marRight w:val="0"/>
          <w:marTop w:val="0"/>
          <w:marBottom w:val="0"/>
          <w:divBdr>
            <w:top w:val="none" w:sz="0" w:space="0" w:color="auto"/>
            <w:left w:val="none" w:sz="0" w:space="0" w:color="auto"/>
            <w:bottom w:val="none" w:sz="0" w:space="0" w:color="auto"/>
            <w:right w:val="none" w:sz="0" w:space="0" w:color="auto"/>
          </w:divBdr>
        </w:div>
        <w:div w:id="2109931905">
          <w:marLeft w:val="0"/>
          <w:marRight w:val="0"/>
          <w:marTop w:val="0"/>
          <w:marBottom w:val="0"/>
          <w:divBdr>
            <w:top w:val="none" w:sz="0" w:space="0" w:color="auto"/>
            <w:left w:val="none" w:sz="0" w:space="0" w:color="auto"/>
            <w:bottom w:val="none" w:sz="0" w:space="0" w:color="auto"/>
            <w:right w:val="none" w:sz="0" w:space="0" w:color="auto"/>
          </w:divBdr>
        </w:div>
      </w:divsChild>
    </w:div>
    <w:div w:id="577403916">
      <w:bodyDiv w:val="1"/>
      <w:marLeft w:val="0"/>
      <w:marRight w:val="0"/>
      <w:marTop w:val="0"/>
      <w:marBottom w:val="0"/>
      <w:divBdr>
        <w:top w:val="none" w:sz="0" w:space="0" w:color="auto"/>
        <w:left w:val="none" w:sz="0" w:space="0" w:color="auto"/>
        <w:bottom w:val="none" w:sz="0" w:space="0" w:color="auto"/>
        <w:right w:val="none" w:sz="0" w:space="0" w:color="auto"/>
      </w:divBdr>
      <w:divsChild>
        <w:div w:id="91703400">
          <w:marLeft w:val="0"/>
          <w:marRight w:val="0"/>
          <w:marTop w:val="0"/>
          <w:marBottom w:val="0"/>
          <w:divBdr>
            <w:top w:val="none" w:sz="0" w:space="0" w:color="auto"/>
            <w:left w:val="none" w:sz="0" w:space="0" w:color="auto"/>
            <w:bottom w:val="none" w:sz="0" w:space="0" w:color="auto"/>
            <w:right w:val="none" w:sz="0" w:space="0" w:color="auto"/>
          </w:divBdr>
        </w:div>
        <w:div w:id="447311473">
          <w:marLeft w:val="0"/>
          <w:marRight w:val="0"/>
          <w:marTop w:val="0"/>
          <w:marBottom w:val="0"/>
          <w:divBdr>
            <w:top w:val="none" w:sz="0" w:space="0" w:color="auto"/>
            <w:left w:val="none" w:sz="0" w:space="0" w:color="auto"/>
            <w:bottom w:val="none" w:sz="0" w:space="0" w:color="auto"/>
            <w:right w:val="none" w:sz="0" w:space="0" w:color="auto"/>
          </w:divBdr>
        </w:div>
        <w:div w:id="501551926">
          <w:marLeft w:val="0"/>
          <w:marRight w:val="0"/>
          <w:marTop w:val="0"/>
          <w:marBottom w:val="0"/>
          <w:divBdr>
            <w:top w:val="none" w:sz="0" w:space="0" w:color="auto"/>
            <w:left w:val="none" w:sz="0" w:space="0" w:color="auto"/>
            <w:bottom w:val="none" w:sz="0" w:space="0" w:color="auto"/>
            <w:right w:val="none" w:sz="0" w:space="0" w:color="auto"/>
          </w:divBdr>
        </w:div>
        <w:div w:id="608045733">
          <w:marLeft w:val="0"/>
          <w:marRight w:val="0"/>
          <w:marTop w:val="0"/>
          <w:marBottom w:val="0"/>
          <w:divBdr>
            <w:top w:val="none" w:sz="0" w:space="0" w:color="auto"/>
            <w:left w:val="none" w:sz="0" w:space="0" w:color="auto"/>
            <w:bottom w:val="none" w:sz="0" w:space="0" w:color="auto"/>
            <w:right w:val="none" w:sz="0" w:space="0" w:color="auto"/>
          </w:divBdr>
        </w:div>
        <w:div w:id="1007252746">
          <w:marLeft w:val="0"/>
          <w:marRight w:val="0"/>
          <w:marTop w:val="0"/>
          <w:marBottom w:val="0"/>
          <w:divBdr>
            <w:top w:val="none" w:sz="0" w:space="0" w:color="auto"/>
            <w:left w:val="none" w:sz="0" w:space="0" w:color="auto"/>
            <w:bottom w:val="none" w:sz="0" w:space="0" w:color="auto"/>
            <w:right w:val="none" w:sz="0" w:space="0" w:color="auto"/>
          </w:divBdr>
        </w:div>
        <w:div w:id="1253665918">
          <w:marLeft w:val="0"/>
          <w:marRight w:val="0"/>
          <w:marTop w:val="0"/>
          <w:marBottom w:val="0"/>
          <w:divBdr>
            <w:top w:val="none" w:sz="0" w:space="0" w:color="auto"/>
            <w:left w:val="none" w:sz="0" w:space="0" w:color="auto"/>
            <w:bottom w:val="none" w:sz="0" w:space="0" w:color="auto"/>
            <w:right w:val="none" w:sz="0" w:space="0" w:color="auto"/>
          </w:divBdr>
        </w:div>
        <w:div w:id="1660885335">
          <w:marLeft w:val="0"/>
          <w:marRight w:val="0"/>
          <w:marTop w:val="0"/>
          <w:marBottom w:val="0"/>
          <w:divBdr>
            <w:top w:val="none" w:sz="0" w:space="0" w:color="auto"/>
            <w:left w:val="none" w:sz="0" w:space="0" w:color="auto"/>
            <w:bottom w:val="none" w:sz="0" w:space="0" w:color="auto"/>
            <w:right w:val="none" w:sz="0" w:space="0" w:color="auto"/>
          </w:divBdr>
        </w:div>
        <w:div w:id="2037542517">
          <w:marLeft w:val="0"/>
          <w:marRight w:val="0"/>
          <w:marTop w:val="0"/>
          <w:marBottom w:val="0"/>
          <w:divBdr>
            <w:top w:val="none" w:sz="0" w:space="0" w:color="auto"/>
            <w:left w:val="none" w:sz="0" w:space="0" w:color="auto"/>
            <w:bottom w:val="none" w:sz="0" w:space="0" w:color="auto"/>
            <w:right w:val="none" w:sz="0" w:space="0" w:color="auto"/>
          </w:divBdr>
        </w:div>
      </w:divsChild>
    </w:div>
    <w:div w:id="623267505">
      <w:bodyDiv w:val="1"/>
      <w:marLeft w:val="0"/>
      <w:marRight w:val="0"/>
      <w:marTop w:val="0"/>
      <w:marBottom w:val="0"/>
      <w:divBdr>
        <w:top w:val="none" w:sz="0" w:space="0" w:color="auto"/>
        <w:left w:val="none" w:sz="0" w:space="0" w:color="auto"/>
        <w:bottom w:val="none" w:sz="0" w:space="0" w:color="auto"/>
        <w:right w:val="none" w:sz="0" w:space="0" w:color="auto"/>
      </w:divBdr>
    </w:div>
    <w:div w:id="713501212">
      <w:bodyDiv w:val="1"/>
      <w:marLeft w:val="0"/>
      <w:marRight w:val="0"/>
      <w:marTop w:val="0"/>
      <w:marBottom w:val="0"/>
      <w:divBdr>
        <w:top w:val="none" w:sz="0" w:space="0" w:color="auto"/>
        <w:left w:val="none" w:sz="0" w:space="0" w:color="auto"/>
        <w:bottom w:val="none" w:sz="0" w:space="0" w:color="auto"/>
        <w:right w:val="none" w:sz="0" w:space="0" w:color="auto"/>
      </w:divBdr>
    </w:div>
    <w:div w:id="775903212">
      <w:bodyDiv w:val="1"/>
      <w:marLeft w:val="0"/>
      <w:marRight w:val="0"/>
      <w:marTop w:val="0"/>
      <w:marBottom w:val="0"/>
      <w:divBdr>
        <w:top w:val="none" w:sz="0" w:space="0" w:color="auto"/>
        <w:left w:val="none" w:sz="0" w:space="0" w:color="auto"/>
        <w:bottom w:val="none" w:sz="0" w:space="0" w:color="auto"/>
        <w:right w:val="none" w:sz="0" w:space="0" w:color="auto"/>
      </w:divBdr>
      <w:divsChild>
        <w:div w:id="774520922">
          <w:marLeft w:val="0"/>
          <w:marRight w:val="0"/>
          <w:marTop w:val="0"/>
          <w:marBottom w:val="0"/>
          <w:divBdr>
            <w:top w:val="none" w:sz="0" w:space="0" w:color="auto"/>
            <w:left w:val="none" w:sz="0" w:space="0" w:color="auto"/>
            <w:bottom w:val="none" w:sz="0" w:space="0" w:color="auto"/>
            <w:right w:val="none" w:sz="0" w:space="0" w:color="auto"/>
          </w:divBdr>
        </w:div>
        <w:div w:id="1884095371">
          <w:marLeft w:val="0"/>
          <w:marRight w:val="0"/>
          <w:marTop w:val="0"/>
          <w:marBottom w:val="0"/>
          <w:divBdr>
            <w:top w:val="none" w:sz="0" w:space="0" w:color="auto"/>
            <w:left w:val="none" w:sz="0" w:space="0" w:color="auto"/>
            <w:bottom w:val="none" w:sz="0" w:space="0" w:color="auto"/>
            <w:right w:val="none" w:sz="0" w:space="0" w:color="auto"/>
          </w:divBdr>
          <w:divsChild>
            <w:div w:id="1469123841">
              <w:marLeft w:val="0"/>
              <w:marRight w:val="0"/>
              <w:marTop w:val="0"/>
              <w:marBottom w:val="0"/>
              <w:divBdr>
                <w:top w:val="none" w:sz="0" w:space="0" w:color="auto"/>
                <w:left w:val="none" w:sz="0" w:space="0" w:color="auto"/>
                <w:bottom w:val="none" w:sz="0" w:space="0" w:color="auto"/>
                <w:right w:val="none" w:sz="0" w:space="0" w:color="auto"/>
              </w:divBdr>
            </w:div>
          </w:divsChild>
        </w:div>
        <w:div w:id="2035836469">
          <w:marLeft w:val="0"/>
          <w:marRight w:val="0"/>
          <w:marTop w:val="0"/>
          <w:marBottom w:val="0"/>
          <w:divBdr>
            <w:top w:val="none" w:sz="0" w:space="0" w:color="auto"/>
            <w:left w:val="none" w:sz="0" w:space="0" w:color="auto"/>
            <w:bottom w:val="none" w:sz="0" w:space="0" w:color="auto"/>
            <w:right w:val="none" w:sz="0" w:space="0" w:color="auto"/>
          </w:divBdr>
          <w:divsChild>
            <w:div w:id="273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3346">
      <w:bodyDiv w:val="1"/>
      <w:marLeft w:val="0"/>
      <w:marRight w:val="0"/>
      <w:marTop w:val="0"/>
      <w:marBottom w:val="0"/>
      <w:divBdr>
        <w:top w:val="none" w:sz="0" w:space="0" w:color="auto"/>
        <w:left w:val="none" w:sz="0" w:space="0" w:color="auto"/>
        <w:bottom w:val="none" w:sz="0" w:space="0" w:color="auto"/>
        <w:right w:val="none" w:sz="0" w:space="0" w:color="auto"/>
      </w:divBdr>
      <w:divsChild>
        <w:div w:id="1903124">
          <w:marLeft w:val="0"/>
          <w:marRight w:val="0"/>
          <w:marTop w:val="0"/>
          <w:marBottom w:val="0"/>
          <w:divBdr>
            <w:top w:val="none" w:sz="0" w:space="0" w:color="auto"/>
            <w:left w:val="none" w:sz="0" w:space="0" w:color="auto"/>
            <w:bottom w:val="none" w:sz="0" w:space="0" w:color="auto"/>
            <w:right w:val="none" w:sz="0" w:space="0" w:color="auto"/>
          </w:divBdr>
          <w:divsChild>
            <w:div w:id="763575297">
              <w:marLeft w:val="0"/>
              <w:marRight w:val="0"/>
              <w:marTop w:val="0"/>
              <w:marBottom w:val="0"/>
              <w:divBdr>
                <w:top w:val="none" w:sz="0" w:space="0" w:color="auto"/>
                <w:left w:val="none" w:sz="0" w:space="0" w:color="auto"/>
                <w:bottom w:val="none" w:sz="0" w:space="0" w:color="auto"/>
                <w:right w:val="none" w:sz="0" w:space="0" w:color="auto"/>
              </w:divBdr>
            </w:div>
          </w:divsChild>
        </w:div>
        <w:div w:id="924261959">
          <w:marLeft w:val="0"/>
          <w:marRight w:val="0"/>
          <w:marTop w:val="0"/>
          <w:marBottom w:val="0"/>
          <w:divBdr>
            <w:top w:val="none" w:sz="0" w:space="0" w:color="auto"/>
            <w:left w:val="none" w:sz="0" w:space="0" w:color="auto"/>
            <w:bottom w:val="none" w:sz="0" w:space="0" w:color="auto"/>
            <w:right w:val="none" w:sz="0" w:space="0" w:color="auto"/>
          </w:divBdr>
        </w:div>
        <w:div w:id="1304844522">
          <w:marLeft w:val="0"/>
          <w:marRight w:val="0"/>
          <w:marTop w:val="0"/>
          <w:marBottom w:val="0"/>
          <w:divBdr>
            <w:top w:val="none" w:sz="0" w:space="0" w:color="auto"/>
            <w:left w:val="none" w:sz="0" w:space="0" w:color="auto"/>
            <w:bottom w:val="none" w:sz="0" w:space="0" w:color="auto"/>
            <w:right w:val="none" w:sz="0" w:space="0" w:color="auto"/>
          </w:divBdr>
          <w:divsChild>
            <w:div w:id="4423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1019">
      <w:bodyDiv w:val="1"/>
      <w:marLeft w:val="0"/>
      <w:marRight w:val="0"/>
      <w:marTop w:val="0"/>
      <w:marBottom w:val="0"/>
      <w:divBdr>
        <w:top w:val="none" w:sz="0" w:space="0" w:color="auto"/>
        <w:left w:val="none" w:sz="0" w:space="0" w:color="auto"/>
        <w:bottom w:val="none" w:sz="0" w:space="0" w:color="auto"/>
        <w:right w:val="none" w:sz="0" w:space="0" w:color="auto"/>
      </w:divBdr>
      <w:divsChild>
        <w:div w:id="921643625">
          <w:marLeft w:val="0"/>
          <w:marRight w:val="0"/>
          <w:marTop w:val="0"/>
          <w:marBottom w:val="0"/>
          <w:divBdr>
            <w:top w:val="none" w:sz="0" w:space="0" w:color="auto"/>
            <w:left w:val="none" w:sz="0" w:space="0" w:color="auto"/>
            <w:bottom w:val="none" w:sz="0" w:space="0" w:color="auto"/>
            <w:right w:val="none" w:sz="0" w:space="0" w:color="auto"/>
          </w:divBdr>
        </w:div>
        <w:div w:id="1478953252">
          <w:marLeft w:val="0"/>
          <w:marRight w:val="0"/>
          <w:marTop w:val="0"/>
          <w:marBottom w:val="0"/>
          <w:divBdr>
            <w:top w:val="none" w:sz="0" w:space="0" w:color="auto"/>
            <w:left w:val="none" w:sz="0" w:space="0" w:color="auto"/>
            <w:bottom w:val="none" w:sz="0" w:space="0" w:color="auto"/>
            <w:right w:val="none" w:sz="0" w:space="0" w:color="auto"/>
          </w:divBdr>
          <w:divsChild>
            <w:div w:id="1370952477">
              <w:marLeft w:val="0"/>
              <w:marRight w:val="0"/>
              <w:marTop w:val="0"/>
              <w:marBottom w:val="0"/>
              <w:divBdr>
                <w:top w:val="none" w:sz="0" w:space="0" w:color="auto"/>
                <w:left w:val="none" w:sz="0" w:space="0" w:color="auto"/>
                <w:bottom w:val="none" w:sz="0" w:space="0" w:color="auto"/>
                <w:right w:val="none" w:sz="0" w:space="0" w:color="auto"/>
              </w:divBdr>
            </w:div>
          </w:divsChild>
        </w:div>
        <w:div w:id="1688095631">
          <w:marLeft w:val="0"/>
          <w:marRight w:val="0"/>
          <w:marTop w:val="0"/>
          <w:marBottom w:val="0"/>
          <w:divBdr>
            <w:top w:val="none" w:sz="0" w:space="0" w:color="auto"/>
            <w:left w:val="none" w:sz="0" w:space="0" w:color="auto"/>
            <w:bottom w:val="none" w:sz="0" w:space="0" w:color="auto"/>
            <w:right w:val="none" w:sz="0" w:space="0" w:color="auto"/>
          </w:divBdr>
          <w:divsChild>
            <w:div w:id="4206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1804">
      <w:bodyDiv w:val="1"/>
      <w:marLeft w:val="0"/>
      <w:marRight w:val="0"/>
      <w:marTop w:val="0"/>
      <w:marBottom w:val="0"/>
      <w:divBdr>
        <w:top w:val="none" w:sz="0" w:space="0" w:color="auto"/>
        <w:left w:val="none" w:sz="0" w:space="0" w:color="auto"/>
        <w:bottom w:val="none" w:sz="0" w:space="0" w:color="auto"/>
        <w:right w:val="none" w:sz="0" w:space="0" w:color="auto"/>
      </w:divBdr>
      <w:divsChild>
        <w:div w:id="1341203356">
          <w:marLeft w:val="0"/>
          <w:marRight w:val="0"/>
          <w:marTop w:val="0"/>
          <w:marBottom w:val="150"/>
          <w:divBdr>
            <w:top w:val="none" w:sz="0" w:space="0" w:color="auto"/>
            <w:left w:val="none" w:sz="0" w:space="0" w:color="auto"/>
            <w:bottom w:val="none" w:sz="0" w:space="0" w:color="auto"/>
            <w:right w:val="none" w:sz="0" w:space="0" w:color="auto"/>
          </w:divBdr>
          <w:divsChild>
            <w:div w:id="1965500688">
              <w:marLeft w:val="0"/>
              <w:marRight w:val="0"/>
              <w:marTop w:val="0"/>
              <w:marBottom w:val="0"/>
              <w:divBdr>
                <w:top w:val="none" w:sz="0" w:space="0" w:color="auto"/>
                <w:left w:val="none" w:sz="0" w:space="0" w:color="auto"/>
                <w:bottom w:val="none" w:sz="0" w:space="0" w:color="auto"/>
                <w:right w:val="none" w:sz="0" w:space="0" w:color="auto"/>
              </w:divBdr>
              <w:divsChild>
                <w:div w:id="14633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75580">
          <w:marLeft w:val="0"/>
          <w:marRight w:val="0"/>
          <w:marTop w:val="0"/>
          <w:marBottom w:val="150"/>
          <w:divBdr>
            <w:top w:val="none" w:sz="0" w:space="0" w:color="auto"/>
            <w:left w:val="none" w:sz="0" w:space="0" w:color="auto"/>
            <w:bottom w:val="none" w:sz="0" w:space="0" w:color="auto"/>
            <w:right w:val="none" w:sz="0" w:space="0" w:color="auto"/>
          </w:divBdr>
          <w:divsChild>
            <w:div w:id="15160768">
              <w:marLeft w:val="0"/>
              <w:marRight w:val="0"/>
              <w:marTop w:val="0"/>
              <w:marBottom w:val="0"/>
              <w:divBdr>
                <w:top w:val="none" w:sz="0" w:space="0" w:color="auto"/>
                <w:left w:val="none" w:sz="0" w:space="0" w:color="auto"/>
                <w:bottom w:val="none" w:sz="0" w:space="0" w:color="auto"/>
                <w:right w:val="none" w:sz="0" w:space="0" w:color="auto"/>
              </w:divBdr>
              <w:divsChild>
                <w:div w:id="4511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71728">
      <w:bodyDiv w:val="1"/>
      <w:marLeft w:val="0"/>
      <w:marRight w:val="0"/>
      <w:marTop w:val="0"/>
      <w:marBottom w:val="0"/>
      <w:divBdr>
        <w:top w:val="none" w:sz="0" w:space="0" w:color="auto"/>
        <w:left w:val="none" w:sz="0" w:space="0" w:color="auto"/>
        <w:bottom w:val="none" w:sz="0" w:space="0" w:color="auto"/>
        <w:right w:val="none" w:sz="0" w:space="0" w:color="auto"/>
      </w:divBdr>
      <w:divsChild>
        <w:div w:id="1339581999">
          <w:marLeft w:val="0"/>
          <w:marRight w:val="0"/>
          <w:marTop w:val="0"/>
          <w:marBottom w:val="0"/>
          <w:divBdr>
            <w:top w:val="none" w:sz="0" w:space="0" w:color="auto"/>
            <w:left w:val="none" w:sz="0" w:space="0" w:color="auto"/>
            <w:bottom w:val="none" w:sz="0" w:space="0" w:color="auto"/>
            <w:right w:val="none" w:sz="0" w:space="0" w:color="auto"/>
          </w:divBdr>
          <w:divsChild>
            <w:div w:id="2006785482">
              <w:marLeft w:val="0"/>
              <w:marRight w:val="0"/>
              <w:marTop w:val="0"/>
              <w:marBottom w:val="0"/>
              <w:divBdr>
                <w:top w:val="none" w:sz="0" w:space="0" w:color="auto"/>
                <w:left w:val="none" w:sz="0" w:space="0" w:color="auto"/>
                <w:bottom w:val="none" w:sz="0" w:space="0" w:color="auto"/>
                <w:right w:val="none" w:sz="0" w:space="0" w:color="auto"/>
              </w:divBdr>
            </w:div>
          </w:divsChild>
        </w:div>
        <w:div w:id="1539513275">
          <w:marLeft w:val="0"/>
          <w:marRight w:val="0"/>
          <w:marTop w:val="0"/>
          <w:marBottom w:val="0"/>
          <w:divBdr>
            <w:top w:val="none" w:sz="0" w:space="0" w:color="auto"/>
            <w:left w:val="none" w:sz="0" w:space="0" w:color="auto"/>
            <w:bottom w:val="none" w:sz="0" w:space="0" w:color="auto"/>
            <w:right w:val="none" w:sz="0" w:space="0" w:color="auto"/>
          </w:divBdr>
          <w:divsChild>
            <w:div w:id="325060347">
              <w:marLeft w:val="0"/>
              <w:marRight w:val="0"/>
              <w:marTop w:val="0"/>
              <w:marBottom w:val="0"/>
              <w:divBdr>
                <w:top w:val="none" w:sz="0" w:space="0" w:color="auto"/>
                <w:left w:val="none" w:sz="0" w:space="0" w:color="auto"/>
                <w:bottom w:val="none" w:sz="0" w:space="0" w:color="auto"/>
                <w:right w:val="none" w:sz="0" w:space="0" w:color="auto"/>
              </w:divBdr>
            </w:div>
          </w:divsChild>
        </w:div>
        <w:div w:id="1950698051">
          <w:marLeft w:val="0"/>
          <w:marRight w:val="0"/>
          <w:marTop w:val="0"/>
          <w:marBottom w:val="0"/>
          <w:divBdr>
            <w:top w:val="none" w:sz="0" w:space="0" w:color="auto"/>
            <w:left w:val="none" w:sz="0" w:space="0" w:color="auto"/>
            <w:bottom w:val="none" w:sz="0" w:space="0" w:color="auto"/>
            <w:right w:val="none" w:sz="0" w:space="0" w:color="auto"/>
          </w:divBdr>
        </w:div>
      </w:divsChild>
    </w:div>
    <w:div w:id="922758332">
      <w:bodyDiv w:val="1"/>
      <w:marLeft w:val="0"/>
      <w:marRight w:val="0"/>
      <w:marTop w:val="0"/>
      <w:marBottom w:val="0"/>
      <w:divBdr>
        <w:top w:val="none" w:sz="0" w:space="0" w:color="auto"/>
        <w:left w:val="none" w:sz="0" w:space="0" w:color="auto"/>
        <w:bottom w:val="none" w:sz="0" w:space="0" w:color="auto"/>
        <w:right w:val="none" w:sz="0" w:space="0" w:color="auto"/>
      </w:divBdr>
    </w:div>
    <w:div w:id="944767851">
      <w:bodyDiv w:val="1"/>
      <w:marLeft w:val="0"/>
      <w:marRight w:val="0"/>
      <w:marTop w:val="0"/>
      <w:marBottom w:val="0"/>
      <w:divBdr>
        <w:top w:val="none" w:sz="0" w:space="0" w:color="auto"/>
        <w:left w:val="none" w:sz="0" w:space="0" w:color="auto"/>
        <w:bottom w:val="none" w:sz="0" w:space="0" w:color="auto"/>
        <w:right w:val="none" w:sz="0" w:space="0" w:color="auto"/>
      </w:divBdr>
    </w:div>
    <w:div w:id="948583148">
      <w:bodyDiv w:val="1"/>
      <w:marLeft w:val="0"/>
      <w:marRight w:val="0"/>
      <w:marTop w:val="0"/>
      <w:marBottom w:val="0"/>
      <w:divBdr>
        <w:top w:val="none" w:sz="0" w:space="0" w:color="auto"/>
        <w:left w:val="none" w:sz="0" w:space="0" w:color="auto"/>
        <w:bottom w:val="none" w:sz="0" w:space="0" w:color="auto"/>
        <w:right w:val="none" w:sz="0" w:space="0" w:color="auto"/>
      </w:divBdr>
    </w:div>
    <w:div w:id="984092344">
      <w:bodyDiv w:val="1"/>
      <w:marLeft w:val="0"/>
      <w:marRight w:val="0"/>
      <w:marTop w:val="0"/>
      <w:marBottom w:val="0"/>
      <w:divBdr>
        <w:top w:val="none" w:sz="0" w:space="0" w:color="auto"/>
        <w:left w:val="none" w:sz="0" w:space="0" w:color="auto"/>
        <w:bottom w:val="none" w:sz="0" w:space="0" w:color="auto"/>
        <w:right w:val="none" w:sz="0" w:space="0" w:color="auto"/>
      </w:divBdr>
    </w:div>
    <w:div w:id="996222886">
      <w:bodyDiv w:val="1"/>
      <w:marLeft w:val="0"/>
      <w:marRight w:val="0"/>
      <w:marTop w:val="0"/>
      <w:marBottom w:val="0"/>
      <w:divBdr>
        <w:top w:val="none" w:sz="0" w:space="0" w:color="auto"/>
        <w:left w:val="none" w:sz="0" w:space="0" w:color="auto"/>
        <w:bottom w:val="none" w:sz="0" w:space="0" w:color="auto"/>
        <w:right w:val="none" w:sz="0" w:space="0" w:color="auto"/>
      </w:divBdr>
    </w:div>
    <w:div w:id="1037465328">
      <w:bodyDiv w:val="1"/>
      <w:marLeft w:val="0"/>
      <w:marRight w:val="0"/>
      <w:marTop w:val="0"/>
      <w:marBottom w:val="0"/>
      <w:divBdr>
        <w:top w:val="none" w:sz="0" w:space="0" w:color="auto"/>
        <w:left w:val="none" w:sz="0" w:space="0" w:color="auto"/>
        <w:bottom w:val="none" w:sz="0" w:space="0" w:color="auto"/>
        <w:right w:val="none" w:sz="0" w:space="0" w:color="auto"/>
      </w:divBdr>
      <w:divsChild>
        <w:div w:id="474612694">
          <w:marLeft w:val="0"/>
          <w:marRight w:val="0"/>
          <w:marTop w:val="0"/>
          <w:marBottom w:val="0"/>
          <w:divBdr>
            <w:top w:val="none" w:sz="0" w:space="0" w:color="auto"/>
            <w:left w:val="none" w:sz="0" w:space="0" w:color="auto"/>
            <w:bottom w:val="none" w:sz="0" w:space="0" w:color="auto"/>
            <w:right w:val="none" w:sz="0" w:space="0" w:color="auto"/>
          </w:divBdr>
        </w:div>
        <w:div w:id="622738497">
          <w:marLeft w:val="0"/>
          <w:marRight w:val="0"/>
          <w:marTop w:val="0"/>
          <w:marBottom w:val="0"/>
          <w:divBdr>
            <w:top w:val="none" w:sz="0" w:space="0" w:color="auto"/>
            <w:left w:val="none" w:sz="0" w:space="0" w:color="auto"/>
            <w:bottom w:val="none" w:sz="0" w:space="0" w:color="auto"/>
            <w:right w:val="none" w:sz="0" w:space="0" w:color="auto"/>
          </w:divBdr>
        </w:div>
        <w:div w:id="863399925">
          <w:marLeft w:val="0"/>
          <w:marRight w:val="0"/>
          <w:marTop w:val="0"/>
          <w:marBottom w:val="0"/>
          <w:divBdr>
            <w:top w:val="none" w:sz="0" w:space="0" w:color="auto"/>
            <w:left w:val="none" w:sz="0" w:space="0" w:color="auto"/>
            <w:bottom w:val="none" w:sz="0" w:space="0" w:color="auto"/>
            <w:right w:val="none" w:sz="0" w:space="0" w:color="auto"/>
          </w:divBdr>
        </w:div>
      </w:divsChild>
    </w:div>
    <w:div w:id="1075398156">
      <w:bodyDiv w:val="1"/>
      <w:marLeft w:val="0"/>
      <w:marRight w:val="0"/>
      <w:marTop w:val="0"/>
      <w:marBottom w:val="0"/>
      <w:divBdr>
        <w:top w:val="none" w:sz="0" w:space="0" w:color="auto"/>
        <w:left w:val="none" w:sz="0" w:space="0" w:color="auto"/>
        <w:bottom w:val="none" w:sz="0" w:space="0" w:color="auto"/>
        <w:right w:val="none" w:sz="0" w:space="0" w:color="auto"/>
      </w:divBdr>
      <w:divsChild>
        <w:div w:id="1218397953">
          <w:marLeft w:val="0"/>
          <w:marRight w:val="0"/>
          <w:marTop w:val="0"/>
          <w:marBottom w:val="0"/>
          <w:divBdr>
            <w:top w:val="none" w:sz="0" w:space="0" w:color="auto"/>
            <w:left w:val="none" w:sz="0" w:space="0" w:color="auto"/>
            <w:bottom w:val="none" w:sz="0" w:space="0" w:color="auto"/>
            <w:right w:val="none" w:sz="0" w:space="0" w:color="auto"/>
          </w:divBdr>
        </w:div>
        <w:div w:id="1310162858">
          <w:marLeft w:val="0"/>
          <w:marRight w:val="0"/>
          <w:marTop w:val="0"/>
          <w:marBottom w:val="0"/>
          <w:divBdr>
            <w:top w:val="none" w:sz="0" w:space="0" w:color="auto"/>
            <w:left w:val="none" w:sz="0" w:space="0" w:color="auto"/>
            <w:bottom w:val="none" w:sz="0" w:space="0" w:color="auto"/>
            <w:right w:val="none" w:sz="0" w:space="0" w:color="auto"/>
          </w:divBdr>
        </w:div>
        <w:div w:id="1516381156">
          <w:marLeft w:val="0"/>
          <w:marRight w:val="0"/>
          <w:marTop w:val="0"/>
          <w:marBottom w:val="0"/>
          <w:divBdr>
            <w:top w:val="none" w:sz="0" w:space="0" w:color="auto"/>
            <w:left w:val="none" w:sz="0" w:space="0" w:color="auto"/>
            <w:bottom w:val="none" w:sz="0" w:space="0" w:color="auto"/>
            <w:right w:val="none" w:sz="0" w:space="0" w:color="auto"/>
          </w:divBdr>
        </w:div>
        <w:div w:id="1927225987">
          <w:marLeft w:val="0"/>
          <w:marRight w:val="0"/>
          <w:marTop w:val="0"/>
          <w:marBottom w:val="0"/>
          <w:divBdr>
            <w:top w:val="none" w:sz="0" w:space="0" w:color="auto"/>
            <w:left w:val="none" w:sz="0" w:space="0" w:color="auto"/>
            <w:bottom w:val="none" w:sz="0" w:space="0" w:color="auto"/>
            <w:right w:val="none" w:sz="0" w:space="0" w:color="auto"/>
          </w:divBdr>
        </w:div>
        <w:div w:id="2104565487">
          <w:marLeft w:val="0"/>
          <w:marRight w:val="0"/>
          <w:marTop w:val="0"/>
          <w:marBottom w:val="0"/>
          <w:divBdr>
            <w:top w:val="none" w:sz="0" w:space="0" w:color="auto"/>
            <w:left w:val="none" w:sz="0" w:space="0" w:color="auto"/>
            <w:bottom w:val="none" w:sz="0" w:space="0" w:color="auto"/>
            <w:right w:val="none" w:sz="0" w:space="0" w:color="auto"/>
          </w:divBdr>
        </w:div>
        <w:div w:id="2121338600">
          <w:marLeft w:val="0"/>
          <w:marRight w:val="0"/>
          <w:marTop w:val="0"/>
          <w:marBottom w:val="0"/>
          <w:divBdr>
            <w:top w:val="none" w:sz="0" w:space="0" w:color="auto"/>
            <w:left w:val="none" w:sz="0" w:space="0" w:color="auto"/>
            <w:bottom w:val="none" w:sz="0" w:space="0" w:color="auto"/>
            <w:right w:val="none" w:sz="0" w:space="0" w:color="auto"/>
          </w:divBdr>
        </w:div>
      </w:divsChild>
    </w:div>
    <w:div w:id="1078135993">
      <w:bodyDiv w:val="1"/>
      <w:marLeft w:val="0"/>
      <w:marRight w:val="0"/>
      <w:marTop w:val="0"/>
      <w:marBottom w:val="0"/>
      <w:divBdr>
        <w:top w:val="none" w:sz="0" w:space="0" w:color="auto"/>
        <w:left w:val="none" w:sz="0" w:space="0" w:color="auto"/>
        <w:bottom w:val="none" w:sz="0" w:space="0" w:color="auto"/>
        <w:right w:val="none" w:sz="0" w:space="0" w:color="auto"/>
      </w:divBdr>
    </w:div>
    <w:div w:id="1351109271">
      <w:bodyDiv w:val="1"/>
      <w:marLeft w:val="0"/>
      <w:marRight w:val="0"/>
      <w:marTop w:val="0"/>
      <w:marBottom w:val="0"/>
      <w:divBdr>
        <w:top w:val="none" w:sz="0" w:space="0" w:color="auto"/>
        <w:left w:val="none" w:sz="0" w:space="0" w:color="auto"/>
        <w:bottom w:val="none" w:sz="0" w:space="0" w:color="auto"/>
        <w:right w:val="none" w:sz="0" w:space="0" w:color="auto"/>
      </w:divBdr>
      <w:divsChild>
        <w:div w:id="550926783">
          <w:marLeft w:val="0"/>
          <w:marRight w:val="0"/>
          <w:marTop w:val="0"/>
          <w:marBottom w:val="0"/>
          <w:divBdr>
            <w:top w:val="none" w:sz="0" w:space="0" w:color="auto"/>
            <w:left w:val="none" w:sz="0" w:space="0" w:color="auto"/>
            <w:bottom w:val="none" w:sz="0" w:space="0" w:color="auto"/>
            <w:right w:val="none" w:sz="0" w:space="0" w:color="auto"/>
          </w:divBdr>
        </w:div>
        <w:div w:id="553850585">
          <w:marLeft w:val="0"/>
          <w:marRight w:val="0"/>
          <w:marTop w:val="0"/>
          <w:marBottom w:val="0"/>
          <w:divBdr>
            <w:top w:val="none" w:sz="0" w:space="0" w:color="auto"/>
            <w:left w:val="none" w:sz="0" w:space="0" w:color="auto"/>
            <w:bottom w:val="none" w:sz="0" w:space="0" w:color="auto"/>
            <w:right w:val="none" w:sz="0" w:space="0" w:color="auto"/>
          </w:divBdr>
        </w:div>
      </w:divsChild>
    </w:div>
    <w:div w:id="1376929223">
      <w:bodyDiv w:val="1"/>
      <w:marLeft w:val="0"/>
      <w:marRight w:val="0"/>
      <w:marTop w:val="0"/>
      <w:marBottom w:val="0"/>
      <w:divBdr>
        <w:top w:val="none" w:sz="0" w:space="0" w:color="auto"/>
        <w:left w:val="none" w:sz="0" w:space="0" w:color="auto"/>
        <w:bottom w:val="none" w:sz="0" w:space="0" w:color="auto"/>
        <w:right w:val="none" w:sz="0" w:space="0" w:color="auto"/>
      </w:divBdr>
    </w:div>
    <w:div w:id="1470898014">
      <w:bodyDiv w:val="1"/>
      <w:marLeft w:val="0"/>
      <w:marRight w:val="0"/>
      <w:marTop w:val="0"/>
      <w:marBottom w:val="0"/>
      <w:divBdr>
        <w:top w:val="none" w:sz="0" w:space="0" w:color="auto"/>
        <w:left w:val="none" w:sz="0" w:space="0" w:color="auto"/>
        <w:bottom w:val="none" w:sz="0" w:space="0" w:color="auto"/>
        <w:right w:val="none" w:sz="0" w:space="0" w:color="auto"/>
      </w:divBdr>
    </w:div>
    <w:div w:id="1640038456">
      <w:bodyDiv w:val="1"/>
      <w:marLeft w:val="0"/>
      <w:marRight w:val="0"/>
      <w:marTop w:val="0"/>
      <w:marBottom w:val="0"/>
      <w:divBdr>
        <w:top w:val="none" w:sz="0" w:space="0" w:color="auto"/>
        <w:left w:val="none" w:sz="0" w:space="0" w:color="auto"/>
        <w:bottom w:val="none" w:sz="0" w:space="0" w:color="auto"/>
        <w:right w:val="none" w:sz="0" w:space="0" w:color="auto"/>
      </w:divBdr>
      <w:divsChild>
        <w:div w:id="386998182">
          <w:marLeft w:val="0"/>
          <w:marRight w:val="0"/>
          <w:marTop w:val="0"/>
          <w:marBottom w:val="0"/>
          <w:divBdr>
            <w:top w:val="none" w:sz="0" w:space="0" w:color="auto"/>
            <w:left w:val="none" w:sz="0" w:space="0" w:color="auto"/>
            <w:bottom w:val="none" w:sz="0" w:space="0" w:color="auto"/>
            <w:right w:val="none" w:sz="0" w:space="0" w:color="auto"/>
          </w:divBdr>
          <w:divsChild>
            <w:div w:id="201093599">
              <w:marLeft w:val="0"/>
              <w:marRight w:val="0"/>
              <w:marTop w:val="0"/>
              <w:marBottom w:val="0"/>
              <w:divBdr>
                <w:top w:val="none" w:sz="0" w:space="0" w:color="auto"/>
                <w:left w:val="none" w:sz="0" w:space="0" w:color="auto"/>
                <w:bottom w:val="none" w:sz="0" w:space="0" w:color="auto"/>
                <w:right w:val="none" w:sz="0" w:space="0" w:color="auto"/>
              </w:divBdr>
            </w:div>
          </w:divsChild>
        </w:div>
        <w:div w:id="801387980">
          <w:marLeft w:val="0"/>
          <w:marRight w:val="0"/>
          <w:marTop w:val="0"/>
          <w:marBottom w:val="0"/>
          <w:divBdr>
            <w:top w:val="none" w:sz="0" w:space="0" w:color="auto"/>
            <w:left w:val="none" w:sz="0" w:space="0" w:color="auto"/>
            <w:bottom w:val="none" w:sz="0" w:space="0" w:color="auto"/>
            <w:right w:val="none" w:sz="0" w:space="0" w:color="auto"/>
          </w:divBdr>
          <w:divsChild>
            <w:div w:id="1058288228">
              <w:marLeft w:val="0"/>
              <w:marRight w:val="0"/>
              <w:marTop w:val="0"/>
              <w:marBottom w:val="0"/>
              <w:divBdr>
                <w:top w:val="none" w:sz="0" w:space="0" w:color="auto"/>
                <w:left w:val="none" w:sz="0" w:space="0" w:color="auto"/>
                <w:bottom w:val="none" w:sz="0" w:space="0" w:color="auto"/>
                <w:right w:val="none" w:sz="0" w:space="0" w:color="auto"/>
              </w:divBdr>
            </w:div>
          </w:divsChild>
        </w:div>
        <w:div w:id="1701080245">
          <w:marLeft w:val="0"/>
          <w:marRight w:val="0"/>
          <w:marTop w:val="0"/>
          <w:marBottom w:val="0"/>
          <w:divBdr>
            <w:top w:val="none" w:sz="0" w:space="0" w:color="auto"/>
            <w:left w:val="none" w:sz="0" w:space="0" w:color="auto"/>
            <w:bottom w:val="none" w:sz="0" w:space="0" w:color="auto"/>
            <w:right w:val="none" w:sz="0" w:space="0" w:color="auto"/>
          </w:divBdr>
        </w:div>
      </w:divsChild>
    </w:div>
    <w:div w:id="1657219483">
      <w:bodyDiv w:val="1"/>
      <w:marLeft w:val="0"/>
      <w:marRight w:val="0"/>
      <w:marTop w:val="0"/>
      <w:marBottom w:val="0"/>
      <w:divBdr>
        <w:top w:val="none" w:sz="0" w:space="0" w:color="auto"/>
        <w:left w:val="none" w:sz="0" w:space="0" w:color="auto"/>
        <w:bottom w:val="none" w:sz="0" w:space="0" w:color="auto"/>
        <w:right w:val="none" w:sz="0" w:space="0" w:color="auto"/>
      </w:divBdr>
      <w:divsChild>
        <w:div w:id="112676877">
          <w:marLeft w:val="0"/>
          <w:marRight w:val="0"/>
          <w:marTop w:val="0"/>
          <w:marBottom w:val="0"/>
          <w:divBdr>
            <w:top w:val="none" w:sz="0" w:space="0" w:color="auto"/>
            <w:left w:val="none" w:sz="0" w:space="0" w:color="auto"/>
            <w:bottom w:val="none" w:sz="0" w:space="0" w:color="auto"/>
            <w:right w:val="none" w:sz="0" w:space="0" w:color="auto"/>
          </w:divBdr>
        </w:div>
        <w:div w:id="190995919">
          <w:marLeft w:val="0"/>
          <w:marRight w:val="0"/>
          <w:marTop w:val="0"/>
          <w:marBottom w:val="0"/>
          <w:divBdr>
            <w:top w:val="none" w:sz="0" w:space="0" w:color="auto"/>
            <w:left w:val="none" w:sz="0" w:space="0" w:color="auto"/>
            <w:bottom w:val="none" w:sz="0" w:space="0" w:color="auto"/>
            <w:right w:val="none" w:sz="0" w:space="0" w:color="auto"/>
          </w:divBdr>
        </w:div>
        <w:div w:id="413550174">
          <w:marLeft w:val="0"/>
          <w:marRight w:val="0"/>
          <w:marTop w:val="0"/>
          <w:marBottom w:val="0"/>
          <w:divBdr>
            <w:top w:val="none" w:sz="0" w:space="0" w:color="auto"/>
            <w:left w:val="none" w:sz="0" w:space="0" w:color="auto"/>
            <w:bottom w:val="none" w:sz="0" w:space="0" w:color="auto"/>
            <w:right w:val="none" w:sz="0" w:space="0" w:color="auto"/>
          </w:divBdr>
        </w:div>
        <w:div w:id="427501170">
          <w:marLeft w:val="0"/>
          <w:marRight w:val="0"/>
          <w:marTop w:val="0"/>
          <w:marBottom w:val="0"/>
          <w:divBdr>
            <w:top w:val="none" w:sz="0" w:space="0" w:color="auto"/>
            <w:left w:val="none" w:sz="0" w:space="0" w:color="auto"/>
            <w:bottom w:val="none" w:sz="0" w:space="0" w:color="auto"/>
            <w:right w:val="none" w:sz="0" w:space="0" w:color="auto"/>
          </w:divBdr>
        </w:div>
        <w:div w:id="674920986">
          <w:marLeft w:val="0"/>
          <w:marRight w:val="0"/>
          <w:marTop w:val="0"/>
          <w:marBottom w:val="0"/>
          <w:divBdr>
            <w:top w:val="none" w:sz="0" w:space="0" w:color="auto"/>
            <w:left w:val="none" w:sz="0" w:space="0" w:color="auto"/>
            <w:bottom w:val="none" w:sz="0" w:space="0" w:color="auto"/>
            <w:right w:val="none" w:sz="0" w:space="0" w:color="auto"/>
          </w:divBdr>
        </w:div>
        <w:div w:id="691226802">
          <w:marLeft w:val="0"/>
          <w:marRight w:val="0"/>
          <w:marTop w:val="0"/>
          <w:marBottom w:val="0"/>
          <w:divBdr>
            <w:top w:val="none" w:sz="0" w:space="0" w:color="auto"/>
            <w:left w:val="none" w:sz="0" w:space="0" w:color="auto"/>
            <w:bottom w:val="none" w:sz="0" w:space="0" w:color="auto"/>
            <w:right w:val="none" w:sz="0" w:space="0" w:color="auto"/>
          </w:divBdr>
        </w:div>
        <w:div w:id="722212080">
          <w:marLeft w:val="0"/>
          <w:marRight w:val="0"/>
          <w:marTop w:val="0"/>
          <w:marBottom w:val="0"/>
          <w:divBdr>
            <w:top w:val="none" w:sz="0" w:space="0" w:color="auto"/>
            <w:left w:val="none" w:sz="0" w:space="0" w:color="auto"/>
            <w:bottom w:val="none" w:sz="0" w:space="0" w:color="auto"/>
            <w:right w:val="none" w:sz="0" w:space="0" w:color="auto"/>
          </w:divBdr>
        </w:div>
        <w:div w:id="800685421">
          <w:marLeft w:val="0"/>
          <w:marRight w:val="0"/>
          <w:marTop w:val="0"/>
          <w:marBottom w:val="0"/>
          <w:divBdr>
            <w:top w:val="none" w:sz="0" w:space="0" w:color="auto"/>
            <w:left w:val="none" w:sz="0" w:space="0" w:color="auto"/>
            <w:bottom w:val="none" w:sz="0" w:space="0" w:color="auto"/>
            <w:right w:val="none" w:sz="0" w:space="0" w:color="auto"/>
          </w:divBdr>
        </w:div>
        <w:div w:id="888760313">
          <w:marLeft w:val="0"/>
          <w:marRight w:val="0"/>
          <w:marTop w:val="0"/>
          <w:marBottom w:val="0"/>
          <w:divBdr>
            <w:top w:val="none" w:sz="0" w:space="0" w:color="auto"/>
            <w:left w:val="none" w:sz="0" w:space="0" w:color="auto"/>
            <w:bottom w:val="none" w:sz="0" w:space="0" w:color="auto"/>
            <w:right w:val="none" w:sz="0" w:space="0" w:color="auto"/>
          </w:divBdr>
        </w:div>
        <w:div w:id="914632072">
          <w:marLeft w:val="0"/>
          <w:marRight w:val="0"/>
          <w:marTop w:val="0"/>
          <w:marBottom w:val="0"/>
          <w:divBdr>
            <w:top w:val="none" w:sz="0" w:space="0" w:color="auto"/>
            <w:left w:val="none" w:sz="0" w:space="0" w:color="auto"/>
            <w:bottom w:val="none" w:sz="0" w:space="0" w:color="auto"/>
            <w:right w:val="none" w:sz="0" w:space="0" w:color="auto"/>
          </w:divBdr>
        </w:div>
        <w:div w:id="1254587415">
          <w:marLeft w:val="0"/>
          <w:marRight w:val="0"/>
          <w:marTop w:val="0"/>
          <w:marBottom w:val="0"/>
          <w:divBdr>
            <w:top w:val="none" w:sz="0" w:space="0" w:color="auto"/>
            <w:left w:val="none" w:sz="0" w:space="0" w:color="auto"/>
            <w:bottom w:val="none" w:sz="0" w:space="0" w:color="auto"/>
            <w:right w:val="none" w:sz="0" w:space="0" w:color="auto"/>
          </w:divBdr>
        </w:div>
        <w:div w:id="1297368751">
          <w:marLeft w:val="0"/>
          <w:marRight w:val="0"/>
          <w:marTop w:val="0"/>
          <w:marBottom w:val="0"/>
          <w:divBdr>
            <w:top w:val="none" w:sz="0" w:space="0" w:color="auto"/>
            <w:left w:val="none" w:sz="0" w:space="0" w:color="auto"/>
            <w:bottom w:val="none" w:sz="0" w:space="0" w:color="auto"/>
            <w:right w:val="none" w:sz="0" w:space="0" w:color="auto"/>
          </w:divBdr>
        </w:div>
        <w:div w:id="1464885269">
          <w:marLeft w:val="0"/>
          <w:marRight w:val="0"/>
          <w:marTop w:val="0"/>
          <w:marBottom w:val="0"/>
          <w:divBdr>
            <w:top w:val="none" w:sz="0" w:space="0" w:color="auto"/>
            <w:left w:val="none" w:sz="0" w:space="0" w:color="auto"/>
            <w:bottom w:val="none" w:sz="0" w:space="0" w:color="auto"/>
            <w:right w:val="none" w:sz="0" w:space="0" w:color="auto"/>
          </w:divBdr>
        </w:div>
        <w:div w:id="1466704386">
          <w:marLeft w:val="0"/>
          <w:marRight w:val="0"/>
          <w:marTop w:val="0"/>
          <w:marBottom w:val="0"/>
          <w:divBdr>
            <w:top w:val="none" w:sz="0" w:space="0" w:color="auto"/>
            <w:left w:val="none" w:sz="0" w:space="0" w:color="auto"/>
            <w:bottom w:val="none" w:sz="0" w:space="0" w:color="auto"/>
            <w:right w:val="none" w:sz="0" w:space="0" w:color="auto"/>
          </w:divBdr>
        </w:div>
        <w:div w:id="1525827041">
          <w:marLeft w:val="0"/>
          <w:marRight w:val="0"/>
          <w:marTop w:val="0"/>
          <w:marBottom w:val="0"/>
          <w:divBdr>
            <w:top w:val="none" w:sz="0" w:space="0" w:color="auto"/>
            <w:left w:val="none" w:sz="0" w:space="0" w:color="auto"/>
            <w:bottom w:val="none" w:sz="0" w:space="0" w:color="auto"/>
            <w:right w:val="none" w:sz="0" w:space="0" w:color="auto"/>
          </w:divBdr>
        </w:div>
        <w:div w:id="1633635860">
          <w:marLeft w:val="0"/>
          <w:marRight w:val="0"/>
          <w:marTop w:val="0"/>
          <w:marBottom w:val="0"/>
          <w:divBdr>
            <w:top w:val="none" w:sz="0" w:space="0" w:color="auto"/>
            <w:left w:val="none" w:sz="0" w:space="0" w:color="auto"/>
            <w:bottom w:val="none" w:sz="0" w:space="0" w:color="auto"/>
            <w:right w:val="none" w:sz="0" w:space="0" w:color="auto"/>
          </w:divBdr>
        </w:div>
        <w:div w:id="1726221067">
          <w:marLeft w:val="0"/>
          <w:marRight w:val="0"/>
          <w:marTop w:val="0"/>
          <w:marBottom w:val="0"/>
          <w:divBdr>
            <w:top w:val="none" w:sz="0" w:space="0" w:color="auto"/>
            <w:left w:val="none" w:sz="0" w:space="0" w:color="auto"/>
            <w:bottom w:val="none" w:sz="0" w:space="0" w:color="auto"/>
            <w:right w:val="none" w:sz="0" w:space="0" w:color="auto"/>
          </w:divBdr>
        </w:div>
        <w:div w:id="1736272611">
          <w:marLeft w:val="0"/>
          <w:marRight w:val="0"/>
          <w:marTop w:val="0"/>
          <w:marBottom w:val="0"/>
          <w:divBdr>
            <w:top w:val="none" w:sz="0" w:space="0" w:color="auto"/>
            <w:left w:val="none" w:sz="0" w:space="0" w:color="auto"/>
            <w:bottom w:val="none" w:sz="0" w:space="0" w:color="auto"/>
            <w:right w:val="none" w:sz="0" w:space="0" w:color="auto"/>
          </w:divBdr>
        </w:div>
        <w:div w:id="1775515709">
          <w:marLeft w:val="0"/>
          <w:marRight w:val="0"/>
          <w:marTop w:val="0"/>
          <w:marBottom w:val="0"/>
          <w:divBdr>
            <w:top w:val="none" w:sz="0" w:space="0" w:color="auto"/>
            <w:left w:val="none" w:sz="0" w:space="0" w:color="auto"/>
            <w:bottom w:val="none" w:sz="0" w:space="0" w:color="auto"/>
            <w:right w:val="none" w:sz="0" w:space="0" w:color="auto"/>
          </w:divBdr>
        </w:div>
        <w:div w:id="1798714067">
          <w:marLeft w:val="0"/>
          <w:marRight w:val="0"/>
          <w:marTop w:val="0"/>
          <w:marBottom w:val="0"/>
          <w:divBdr>
            <w:top w:val="none" w:sz="0" w:space="0" w:color="auto"/>
            <w:left w:val="none" w:sz="0" w:space="0" w:color="auto"/>
            <w:bottom w:val="none" w:sz="0" w:space="0" w:color="auto"/>
            <w:right w:val="none" w:sz="0" w:space="0" w:color="auto"/>
          </w:divBdr>
        </w:div>
        <w:div w:id="1852062139">
          <w:marLeft w:val="0"/>
          <w:marRight w:val="0"/>
          <w:marTop w:val="0"/>
          <w:marBottom w:val="0"/>
          <w:divBdr>
            <w:top w:val="none" w:sz="0" w:space="0" w:color="auto"/>
            <w:left w:val="none" w:sz="0" w:space="0" w:color="auto"/>
            <w:bottom w:val="none" w:sz="0" w:space="0" w:color="auto"/>
            <w:right w:val="none" w:sz="0" w:space="0" w:color="auto"/>
          </w:divBdr>
        </w:div>
        <w:div w:id="1886677035">
          <w:marLeft w:val="0"/>
          <w:marRight w:val="0"/>
          <w:marTop w:val="0"/>
          <w:marBottom w:val="0"/>
          <w:divBdr>
            <w:top w:val="none" w:sz="0" w:space="0" w:color="auto"/>
            <w:left w:val="none" w:sz="0" w:space="0" w:color="auto"/>
            <w:bottom w:val="none" w:sz="0" w:space="0" w:color="auto"/>
            <w:right w:val="none" w:sz="0" w:space="0" w:color="auto"/>
          </w:divBdr>
        </w:div>
        <w:div w:id="1996907550">
          <w:marLeft w:val="0"/>
          <w:marRight w:val="0"/>
          <w:marTop w:val="0"/>
          <w:marBottom w:val="0"/>
          <w:divBdr>
            <w:top w:val="none" w:sz="0" w:space="0" w:color="auto"/>
            <w:left w:val="none" w:sz="0" w:space="0" w:color="auto"/>
            <w:bottom w:val="none" w:sz="0" w:space="0" w:color="auto"/>
            <w:right w:val="none" w:sz="0" w:space="0" w:color="auto"/>
          </w:divBdr>
        </w:div>
        <w:div w:id="2003965229">
          <w:marLeft w:val="0"/>
          <w:marRight w:val="0"/>
          <w:marTop w:val="0"/>
          <w:marBottom w:val="0"/>
          <w:divBdr>
            <w:top w:val="none" w:sz="0" w:space="0" w:color="auto"/>
            <w:left w:val="none" w:sz="0" w:space="0" w:color="auto"/>
            <w:bottom w:val="none" w:sz="0" w:space="0" w:color="auto"/>
            <w:right w:val="none" w:sz="0" w:space="0" w:color="auto"/>
          </w:divBdr>
        </w:div>
      </w:divsChild>
    </w:div>
    <w:div w:id="1821801797">
      <w:bodyDiv w:val="1"/>
      <w:marLeft w:val="0"/>
      <w:marRight w:val="0"/>
      <w:marTop w:val="0"/>
      <w:marBottom w:val="0"/>
      <w:divBdr>
        <w:top w:val="none" w:sz="0" w:space="0" w:color="auto"/>
        <w:left w:val="none" w:sz="0" w:space="0" w:color="auto"/>
        <w:bottom w:val="none" w:sz="0" w:space="0" w:color="auto"/>
        <w:right w:val="none" w:sz="0" w:space="0" w:color="auto"/>
      </w:divBdr>
    </w:div>
    <w:div w:id="1825704921">
      <w:bodyDiv w:val="1"/>
      <w:marLeft w:val="0"/>
      <w:marRight w:val="0"/>
      <w:marTop w:val="0"/>
      <w:marBottom w:val="0"/>
      <w:divBdr>
        <w:top w:val="none" w:sz="0" w:space="0" w:color="auto"/>
        <w:left w:val="none" w:sz="0" w:space="0" w:color="auto"/>
        <w:bottom w:val="none" w:sz="0" w:space="0" w:color="auto"/>
        <w:right w:val="none" w:sz="0" w:space="0" w:color="auto"/>
      </w:divBdr>
      <w:divsChild>
        <w:div w:id="261843004">
          <w:marLeft w:val="0"/>
          <w:marRight w:val="0"/>
          <w:marTop w:val="0"/>
          <w:marBottom w:val="0"/>
          <w:divBdr>
            <w:top w:val="none" w:sz="0" w:space="0" w:color="auto"/>
            <w:left w:val="none" w:sz="0" w:space="0" w:color="auto"/>
            <w:bottom w:val="none" w:sz="0" w:space="0" w:color="auto"/>
            <w:right w:val="none" w:sz="0" w:space="0" w:color="auto"/>
          </w:divBdr>
          <w:divsChild>
            <w:div w:id="1538351214">
              <w:marLeft w:val="0"/>
              <w:marRight w:val="0"/>
              <w:marTop w:val="0"/>
              <w:marBottom w:val="0"/>
              <w:divBdr>
                <w:top w:val="none" w:sz="0" w:space="0" w:color="auto"/>
                <w:left w:val="none" w:sz="0" w:space="0" w:color="auto"/>
                <w:bottom w:val="none" w:sz="0" w:space="0" w:color="auto"/>
                <w:right w:val="none" w:sz="0" w:space="0" w:color="auto"/>
              </w:divBdr>
            </w:div>
          </w:divsChild>
        </w:div>
        <w:div w:id="916936395">
          <w:marLeft w:val="0"/>
          <w:marRight w:val="0"/>
          <w:marTop w:val="0"/>
          <w:marBottom w:val="0"/>
          <w:divBdr>
            <w:top w:val="none" w:sz="0" w:space="0" w:color="auto"/>
            <w:left w:val="none" w:sz="0" w:space="0" w:color="auto"/>
            <w:bottom w:val="none" w:sz="0" w:space="0" w:color="auto"/>
            <w:right w:val="none" w:sz="0" w:space="0" w:color="auto"/>
          </w:divBdr>
          <w:divsChild>
            <w:div w:id="18211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1802">
      <w:bodyDiv w:val="1"/>
      <w:marLeft w:val="0"/>
      <w:marRight w:val="0"/>
      <w:marTop w:val="0"/>
      <w:marBottom w:val="0"/>
      <w:divBdr>
        <w:top w:val="none" w:sz="0" w:space="0" w:color="auto"/>
        <w:left w:val="none" w:sz="0" w:space="0" w:color="auto"/>
        <w:bottom w:val="none" w:sz="0" w:space="0" w:color="auto"/>
        <w:right w:val="none" w:sz="0" w:space="0" w:color="auto"/>
      </w:divBdr>
    </w:div>
    <w:div w:id="1839465587">
      <w:bodyDiv w:val="1"/>
      <w:marLeft w:val="0"/>
      <w:marRight w:val="0"/>
      <w:marTop w:val="0"/>
      <w:marBottom w:val="0"/>
      <w:divBdr>
        <w:top w:val="none" w:sz="0" w:space="0" w:color="auto"/>
        <w:left w:val="none" w:sz="0" w:space="0" w:color="auto"/>
        <w:bottom w:val="none" w:sz="0" w:space="0" w:color="auto"/>
        <w:right w:val="none" w:sz="0" w:space="0" w:color="auto"/>
      </w:divBdr>
    </w:div>
    <w:div w:id="1919712166">
      <w:bodyDiv w:val="1"/>
      <w:marLeft w:val="0"/>
      <w:marRight w:val="0"/>
      <w:marTop w:val="0"/>
      <w:marBottom w:val="0"/>
      <w:divBdr>
        <w:top w:val="none" w:sz="0" w:space="0" w:color="auto"/>
        <w:left w:val="none" w:sz="0" w:space="0" w:color="auto"/>
        <w:bottom w:val="none" w:sz="0" w:space="0" w:color="auto"/>
        <w:right w:val="none" w:sz="0" w:space="0" w:color="auto"/>
      </w:divBdr>
      <w:divsChild>
        <w:div w:id="1606647323">
          <w:marLeft w:val="0"/>
          <w:marRight w:val="0"/>
          <w:marTop w:val="0"/>
          <w:marBottom w:val="0"/>
          <w:divBdr>
            <w:top w:val="none" w:sz="0" w:space="0" w:color="auto"/>
            <w:left w:val="none" w:sz="0" w:space="0" w:color="auto"/>
            <w:bottom w:val="none" w:sz="0" w:space="0" w:color="auto"/>
            <w:right w:val="none" w:sz="0" w:space="0" w:color="auto"/>
          </w:divBdr>
        </w:div>
        <w:div w:id="1974867175">
          <w:marLeft w:val="0"/>
          <w:marRight w:val="0"/>
          <w:marTop w:val="0"/>
          <w:marBottom w:val="0"/>
          <w:divBdr>
            <w:top w:val="none" w:sz="0" w:space="0" w:color="auto"/>
            <w:left w:val="none" w:sz="0" w:space="0" w:color="auto"/>
            <w:bottom w:val="none" w:sz="0" w:space="0" w:color="auto"/>
            <w:right w:val="none" w:sz="0" w:space="0" w:color="auto"/>
          </w:divBdr>
        </w:div>
      </w:divsChild>
    </w:div>
    <w:div w:id="1965496218">
      <w:bodyDiv w:val="1"/>
      <w:marLeft w:val="0"/>
      <w:marRight w:val="0"/>
      <w:marTop w:val="0"/>
      <w:marBottom w:val="0"/>
      <w:divBdr>
        <w:top w:val="none" w:sz="0" w:space="0" w:color="auto"/>
        <w:left w:val="none" w:sz="0" w:space="0" w:color="auto"/>
        <w:bottom w:val="none" w:sz="0" w:space="0" w:color="auto"/>
        <w:right w:val="none" w:sz="0" w:space="0" w:color="auto"/>
      </w:divBdr>
    </w:div>
    <w:div w:id="2049791878">
      <w:bodyDiv w:val="1"/>
      <w:marLeft w:val="0"/>
      <w:marRight w:val="0"/>
      <w:marTop w:val="0"/>
      <w:marBottom w:val="0"/>
      <w:divBdr>
        <w:top w:val="none" w:sz="0" w:space="0" w:color="auto"/>
        <w:left w:val="none" w:sz="0" w:space="0" w:color="auto"/>
        <w:bottom w:val="none" w:sz="0" w:space="0" w:color="auto"/>
        <w:right w:val="none" w:sz="0" w:space="0" w:color="auto"/>
      </w:divBdr>
      <w:divsChild>
        <w:div w:id="58094980">
          <w:marLeft w:val="0"/>
          <w:marRight w:val="0"/>
          <w:marTop w:val="0"/>
          <w:marBottom w:val="0"/>
          <w:divBdr>
            <w:top w:val="none" w:sz="0" w:space="0" w:color="auto"/>
            <w:left w:val="none" w:sz="0" w:space="0" w:color="auto"/>
            <w:bottom w:val="none" w:sz="0" w:space="0" w:color="auto"/>
            <w:right w:val="none" w:sz="0" w:space="0" w:color="auto"/>
          </w:divBdr>
        </w:div>
        <w:div w:id="322583426">
          <w:marLeft w:val="0"/>
          <w:marRight w:val="0"/>
          <w:marTop w:val="0"/>
          <w:marBottom w:val="0"/>
          <w:divBdr>
            <w:top w:val="none" w:sz="0" w:space="0" w:color="auto"/>
            <w:left w:val="none" w:sz="0" w:space="0" w:color="auto"/>
            <w:bottom w:val="none" w:sz="0" w:space="0" w:color="auto"/>
            <w:right w:val="none" w:sz="0" w:space="0" w:color="auto"/>
          </w:divBdr>
          <w:divsChild>
            <w:div w:id="1085885175">
              <w:marLeft w:val="0"/>
              <w:marRight w:val="0"/>
              <w:marTop w:val="0"/>
              <w:marBottom w:val="0"/>
              <w:divBdr>
                <w:top w:val="none" w:sz="0" w:space="0" w:color="auto"/>
                <w:left w:val="none" w:sz="0" w:space="0" w:color="auto"/>
                <w:bottom w:val="none" w:sz="0" w:space="0" w:color="auto"/>
                <w:right w:val="none" w:sz="0" w:space="0" w:color="auto"/>
              </w:divBdr>
            </w:div>
          </w:divsChild>
        </w:div>
        <w:div w:id="1435437916">
          <w:marLeft w:val="0"/>
          <w:marRight w:val="0"/>
          <w:marTop w:val="0"/>
          <w:marBottom w:val="0"/>
          <w:divBdr>
            <w:top w:val="none" w:sz="0" w:space="0" w:color="auto"/>
            <w:left w:val="none" w:sz="0" w:space="0" w:color="auto"/>
            <w:bottom w:val="none" w:sz="0" w:space="0" w:color="auto"/>
            <w:right w:val="none" w:sz="0" w:space="0" w:color="auto"/>
          </w:divBdr>
          <w:divsChild>
            <w:div w:id="737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ece.org/trans/main/wp11/depnoti.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ece.org/trade/wp7/wp7-76th-202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ce.org/trade/wp7/ge11-29th-2021" TargetMode="External"/><Relationship Id="rId5" Type="http://schemas.openxmlformats.org/officeDocument/2006/relationships/numbering" Target="numbering.xml"/><Relationship Id="rId15" Type="http://schemas.openxmlformats.org/officeDocument/2006/relationships/hyperlink" Target="https://unece.org/atp-competent-authorities-and-testing-station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ce.org/atp-competent-authorities-and-testing-s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82FDB-598D-45FC-9DD2-CE61B617C1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19968C-2547-46A7-972E-1DA510408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8F383-5C01-4055-961F-1ABEA49DFE09}">
  <ds:schemaRefs>
    <ds:schemaRef ds:uri="http://schemas.microsoft.com/sharepoint/v3/contenttype/forms"/>
  </ds:schemaRefs>
</ds:datastoreItem>
</file>

<file path=customXml/itemProps4.xml><?xml version="1.0" encoding="utf-8"?>
<ds:datastoreItem xmlns:ds="http://schemas.openxmlformats.org/officeDocument/2006/customXml" ds:itemID="{7AFA9078-A9FB-4FA8-B326-F72A735E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7</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ECE/TRANS/WP.11/242/Add.1</vt:lpstr>
    </vt:vector>
  </TitlesOfParts>
  <Company>CSD</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ECE/TRANS/WP.11/242/Add.1</dc:title>
  <dc:subject>2001083</dc:subject>
  <dc:creator>Collet</dc:creator>
  <cp:keywords/>
  <dc:description/>
  <cp:lastModifiedBy>ECE/TRANS/WP.11/243</cp:lastModifiedBy>
  <cp:revision>55</cp:revision>
  <cp:lastPrinted>2019-07-25T22:31:00Z</cp:lastPrinted>
  <dcterms:created xsi:type="dcterms:W3CDTF">2021-10-21T19:43:00Z</dcterms:created>
  <dcterms:modified xsi:type="dcterms:W3CDTF">2021-10-22T08:35:00Z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10205800</vt:r8>
  </property>
</Properties>
</file>