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84405A" w:rsidRPr="0084405A" w14:paraId="57FD71C5" w14:textId="77777777" w:rsidTr="0001071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6CFB92" w14:textId="77777777" w:rsidR="0064636E" w:rsidRPr="0084405A" w:rsidRDefault="0064636E" w:rsidP="003C3936">
            <w:bookmarkStart w:id="0" w:name="_GoBack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1FBE7EF" w14:textId="0C7248C2" w:rsidR="0064636E" w:rsidRPr="0084405A" w:rsidRDefault="0064636E" w:rsidP="004B1908">
            <w:pPr>
              <w:jc w:val="right"/>
            </w:pPr>
            <w:r w:rsidRPr="0084405A">
              <w:rPr>
                <w:sz w:val="40"/>
              </w:rPr>
              <w:t>E</w:t>
            </w:r>
            <w:r w:rsidRPr="0084405A">
              <w:t>/ECE/324/</w:t>
            </w:r>
            <w:r w:rsidR="00841EB5" w:rsidRPr="0084405A">
              <w:t>Rev.</w:t>
            </w:r>
            <w:r w:rsidR="0065215B" w:rsidRPr="0084405A">
              <w:t>2</w:t>
            </w:r>
            <w:r w:rsidR="00841EB5" w:rsidRPr="0084405A">
              <w:t>/</w:t>
            </w:r>
            <w:r w:rsidRPr="0084405A">
              <w:t>Add.</w:t>
            </w:r>
            <w:r w:rsidR="00EC75F2" w:rsidRPr="0084405A">
              <w:t>1</w:t>
            </w:r>
            <w:r w:rsidR="00203BCE" w:rsidRPr="0084405A">
              <w:t>2</w:t>
            </w:r>
            <w:r w:rsidR="00651737" w:rsidRPr="0084405A">
              <w:t>0</w:t>
            </w:r>
            <w:r w:rsidR="000C3BA6" w:rsidRPr="0084405A">
              <w:t>/Rev.</w:t>
            </w:r>
            <w:r w:rsidR="00C95D91" w:rsidRPr="0084405A">
              <w:t>2</w:t>
            </w:r>
            <w:r w:rsidR="00EE0446" w:rsidRPr="0084405A">
              <w:t>/Amend.</w:t>
            </w:r>
            <w:r w:rsidR="00B3680D" w:rsidRPr="0084405A">
              <w:t>4</w:t>
            </w:r>
            <w:r w:rsidRPr="0084405A">
              <w:t>−</w:t>
            </w:r>
            <w:r w:rsidRPr="0084405A">
              <w:rPr>
                <w:sz w:val="40"/>
              </w:rPr>
              <w:t>E</w:t>
            </w:r>
            <w:r w:rsidRPr="0084405A">
              <w:t>/ECE/TRANS/505</w:t>
            </w:r>
            <w:r w:rsidR="00841EB5" w:rsidRPr="0084405A">
              <w:t>/Rev.</w:t>
            </w:r>
            <w:r w:rsidR="0065215B" w:rsidRPr="0084405A">
              <w:t>2</w:t>
            </w:r>
            <w:r w:rsidR="00841EB5" w:rsidRPr="0084405A">
              <w:t>/Add.</w:t>
            </w:r>
            <w:r w:rsidR="00EC75F2" w:rsidRPr="0084405A">
              <w:t>1</w:t>
            </w:r>
            <w:r w:rsidR="00203BCE" w:rsidRPr="0084405A">
              <w:t>2</w:t>
            </w:r>
            <w:r w:rsidR="00EC75F2" w:rsidRPr="0084405A">
              <w:t>0</w:t>
            </w:r>
            <w:r w:rsidR="00EE0446" w:rsidRPr="0084405A">
              <w:t>/Rev.</w:t>
            </w:r>
            <w:r w:rsidR="00C95D91" w:rsidRPr="0084405A">
              <w:t>2</w:t>
            </w:r>
            <w:r w:rsidR="00EE0446" w:rsidRPr="0084405A">
              <w:t>/Amend.</w:t>
            </w:r>
            <w:r w:rsidR="00B3680D" w:rsidRPr="0084405A">
              <w:t>4</w:t>
            </w:r>
          </w:p>
        </w:tc>
      </w:tr>
      <w:tr w:rsidR="0084405A" w:rsidRPr="0084405A" w14:paraId="6F985C55" w14:textId="77777777" w:rsidTr="0001071D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1028A61" w14:textId="77777777" w:rsidR="003C3936" w:rsidRPr="0084405A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49836FB9" w14:textId="77777777" w:rsidR="003C3936" w:rsidRPr="0084405A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261E6CB" w14:textId="77777777" w:rsidR="003C3936" w:rsidRPr="0084405A" w:rsidRDefault="003C3936" w:rsidP="003C3936">
            <w:pPr>
              <w:spacing w:before="120"/>
            </w:pPr>
          </w:p>
          <w:p w14:paraId="10DFEABE" w14:textId="77777777" w:rsidR="00D623A7" w:rsidRPr="0084405A" w:rsidRDefault="00D623A7" w:rsidP="003C3936">
            <w:pPr>
              <w:spacing w:before="120"/>
            </w:pPr>
          </w:p>
          <w:p w14:paraId="3AAF3BDD" w14:textId="05806FCB" w:rsidR="00C84414" w:rsidRPr="0084405A" w:rsidRDefault="00C44323" w:rsidP="004B1908">
            <w:pPr>
              <w:spacing w:before="120"/>
            </w:pPr>
            <w:r w:rsidRPr="0084405A">
              <w:t>2 November</w:t>
            </w:r>
            <w:r w:rsidR="000D6586" w:rsidRPr="0084405A">
              <w:t xml:space="preserve"> 20</w:t>
            </w:r>
            <w:r w:rsidR="00B3680D" w:rsidRPr="0084405A">
              <w:t>20</w:t>
            </w:r>
          </w:p>
        </w:tc>
      </w:tr>
    </w:tbl>
    <w:p w14:paraId="6E623396" w14:textId="77777777" w:rsidR="004B1908" w:rsidRPr="0084405A" w:rsidRDefault="004B1908" w:rsidP="004B1908">
      <w:pPr>
        <w:pStyle w:val="HChG"/>
        <w:spacing w:before="240" w:after="120"/>
      </w:pPr>
      <w:r w:rsidRPr="0084405A">
        <w:tab/>
      </w:r>
      <w:r w:rsidRPr="0084405A">
        <w:tab/>
      </w:r>
      <w:bookmarkStart w:id="1" w:name="_Toc340666199"/>
      <w:bookmarkStart w:id="2" w:name="_Toc340745062"/>
      <w:r w:rsidRPr="0084405A">
        <w:t>Agreement</w:t>
      </w:r>
      <w:bookmarkEnd w:id="1"/>
      <w:bookmarkEnd w:id="2"/>
    </w:p>
    <w:p w14:paraId="4861E3B9" w14:textId="77777777" w:rsidR="004B1908" w:rsidRPr="0084405A" w:rsidRDefault="004B1908" w:rsidP="004B1908">
      <w:pPr>
        <w:pStyle w:val="H1G"/>
        <w:spacing w:before="240"/>
      </w:pPr>
      <w:r w:rsidRPr="0084405A">
        <w:rPr>
          <w:rStyle w:val="H1GChar"/>
        </w:rPr>
        <w:tab/>
      </w:r>
      <w:r w:rsidRPr="0084405A">
        <w:rPr>
          <w:rStyle w:val="H1GChar"/>
        </w:rPr>
        <w:tab/>
      </w:r>
      <w:r w:rsidRPr="0084405A">
        <w:t>Concerning the</w:t>
      </w:r>
      <w:r w:rsidRPr="0084405A">
        <w:rPr>
          <w:smallCaps/>
        </w:rPr>
        <w:t xml:space="preserve"> </w:t>
      </w:r>
      <w:r w:rsidRPr="0084405A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84405A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6E6A0F23" w14:textId="77777777" w:rsidR="004B1908" w:rsidRPr="0084405A" w:rsidRDefault="004B1908" w:rsidP="004B1908">
      <w:pPr>
        <w:pStyle w:val="SingleTxtG"/>
        <w:spacing w:before="120"/>
      </w:pPr>
      <w:r w:rsidRPr="0084405A">
        <w:t>(Revision 3, including the amendments which entered into force on 14 September 2017)</w:t>
      </w:r>
    </w:p>
    <w:p w14:paraId="75D3B73C" w14:textId="77777777" w:rsidR="004B1908" w:rsidRPr="0084405A" w:rsidRDefault="004B1908" w:rsidP="004B1908">
      <w:pPr>
        <w:pStyle w:val="H1G"/>
        <w:spacing w:before="120"/>
        <w:ind w:left="0" w:right="0" w:firstLine="0"/>
        <w:jc w:val="center"/>
      </w:pPr>
      <w:r w:rsidRPr="0084405A">
        <w:t>_________</w:t>
      </w:r>
    </w:p>
    <w:p w14:paraId="1E020283" w14:textId="46AAF78D" w:rsidR="0064636E" w:rsidRPr="0084405A" w:rsidRDefault="0064636E" w:rsidP="000D2F72">
      <w:pPr>
        <w:pStyle w:val="HChG"/>
      </w:pPr>
      <w:r w:rsidRPr="0084405A">
        <w:tab/>
      </w:r>
      <w:r w:rsidRPr="0084405A">
        <w:tab/>
        <w:t xml:space="preserve">Addendum </w:t>
      </w:r>
      <w:r w:rsidR="00EC75F2" w:rsidRPr="0084405A">
        <w:t>1</w:t>
      </w:r>
      <w:r w:rsidR="00203BCE" w:rsidRPr="0084405A">
        <w:t>20</w:t>
      </w:r>
      <w:r w:rsidR="00EE0446" w:rsidRPr="0084405A">
        <w:t xml:space="preserve"> </w:t>
      </w:r>
      <w:r w:rsidRPr="0084405A">
        <w:t xml:space="preserve">– </w:t>
      </w:r>
      <w:r w:rsidR="004B1908" w:rsidRPr="0084405A">
        <w:t xml:space="preserve">UN </w:t>
      </w:r>
      <w:r w:rsidRPr="0084405A">
        <w:t>Regulation No.</w:t>
      </w:r>
      <w:r w:rsidR="00271A7F" w:rsidRPr="0084405A">
        <w:t xml:space="preserve"> </w:t>
      </w:r>
      <w:r w:rsidR="00EC75F2" w:rsidRPr="0084405A">
        <w:t>1</w:t>
      </w:r>
      <w:r w:rsidR="00203BCE" w:rsidRPr="0084405A">
        <w:t>2</w:t>
      </w:r>
      <w:r w:rsidR="00651737" w:rsidRPr="0084405A">
        <w:t>1</w:t>
      </w:r>
    </w:p>
    <w:p w14:paraId="4E272B2A" w14:textId="38AC028C" w:rsidR="0064636E" w:rsidRPr="0084405A" w:rsidRDefault="0064636E" w:rsidP="00A41529">
      <w:pPr>
        <w:pStyle w:val="H1G"/>
        <w:spacing w:before="240"/>
      </w:pPr>
      <w:r w:rsidRPr="0084405A">
        <w:tab/>
      </w:r>
      <w:r w:rsidRPr="0084405A">
        <w:tab/>
        <w:t xml:space="preserve">Revision </w:t>
      </w:r>
      <w:r w:rsidR="00C95D91" w:rsidRPr="0084405A">
        <w:t>2</w:t>
      </w:r>
      <w:r w:rsidRPr="0084405A">
        <w:t xml:space="preserve"> - </w:t>
      </w:r>
      <w:r w:rsidR="00D623A7" w:rsidRPr="0084405A">
        <w:t>Amendment</w:t>
      </w:r>
      <w:r w:rsidRPr="0084405A">
        <w:t xml:space="preserve"> </w:t>
      </w:r>
      <w:r w:rsidR="00B3680D" w:rsidRPr="0084405A">
        <w:t>4</w:t>
      </w:r>
    </w:p>
    <w:p w14:paraId="76E5CD1F" w14:textId="67E451C4" w:rsidR="000D6586" w:rsidRPr="0084405A" w:rsidRDefault="000D6586" w:rsidP="000D6586">
      <w:pPr>
        <w:pStyle w:val="SingleTxtG"/>
        <w:spacing w:after="360"/>
        <w:rPr>
          <w:spacing w:val="-2"/>
        </w:rPr>
      </w:pPr>
      <w:r w:rsidRPr="0084405A">
        <w:rPr>
          <w:spacing w:val="-2"/>
        </w:rPr>
        <w:t xml:space="preserve">Supplement </w:t>
      </w:r>
      <w:r w:rsidR="00B3680D" w:rsidRPr="0084405A">
        <w:rPr>
          <w:spacing w:val="-2"/>
        </w:rPr>
        <w:t>4</w:t>
      </w:r>
      <w:r w:rsidRPr="0084405A">
        <w:rPr>
          <w:spacing w:val="-2"/>
        </w:rPr>
        <w:t xml:space="preserve"> to the 01 series of amendments — Date of entry into force: </w:t>
      </w:r>
      <w:r w:rsidR="00B3680D" w:rsidRPr="0084405A">
        <w:t>25 September 2020</w:t>
      </w:r>
    </w:p>
    <w:p w14:paraId="68FB1CAA" w14:textId="77777777" w:rsidR="000D6586" w:rsidRPr="0084405A" w:rsidRDefault="000D6586" w:rsidP="000D6586">
      <w:pPr>
        <w:pStyle w:val="H1G"/>
        <w:spacing w:before="120" w:after="120" w:line="240" w:lineRule="exact"/>
        <w:rPr>
          <w:lang w:val="en-US"/>
        </w:rPr>
      </w:pPr>
      <w:r w:rsidRPr="0084405A">
        <w:rPr>
          <w:lang w:val="en-US"/>
        </w:rPr>
        <w:tab/>
      </w:r>
      <w:r w:rsidRPr="0084405A">
        <w:rPr>
          <w:lang w:val="en-US"/>
        </w:rPr>
        <w:tab/>
        <w:t xml:space="preserve">Uniform provisions concerning the approval of vehicles </w:t>
      </w:r>
      <w:proofErr w:type="gramStart"/>
      <w:r w:rsidRPr="0084405A">
        <w:rPr>
          <w:lang w:val="en-US"/>
        </w:rPr>
        <w:t>with regard to</w:t>
      </w:r>
      <w:proofErr w:type="gramEnd"/>
      <w:r w:rsidRPr="0084405A">
        <w:rPr>
          <w:lang w:val="en-US"/>
        </w:rPr>
        <w:t xml:space="preserve"> the location and identification of hand controls, tell-tales and indicators</w:t>
      </w:r>
    </w:p>
    <w:p w14:paraId="02EF65D0" w14:textId="7AEDA039" w:rsidR="00A41529" w:rsidRPr="0084405A" w:rsidRDefault="000D6586" w:rsidP="00A41529">
      <w:pPr>
        <w:pStyle w:val="SingleTxtG"/>
        <w:spacing w:after="0"/>
        <w:rPr>
          <w:spacing w:val="-6"/>
          <w:lang w:eastAsia="en-GB"/>
        </w:rPr>
      </w:pPr>
      <w:r w:rsidRPr="0084405A">
        <w:rPr>
          <w:spacing w:val="-4"/>
          <w:lang w:eastAsia="en-GB"/>
        </w:rPr>
        <w:t>This document is meant purely as documentation tool. The authentic and legal binding texts is:</w:t>
      </w:r>
      <w:r w:rsidRPr="0084405A">
        <w:rPr>
          <w:lang w:eastAsia="en-GB"/>
        </w:rPr>
        <w:t xml:space="preserve"> </w:t>
      </w:r>
      <w:r w:rsidRPr="0084405A">
        <w:rPr>
          <w:lang w:eastAsia="en-GB"/>
        </w:rPr>
        <w:tab/>
      </w:r>
      <w:r w:rsidRPr="0084405A">
        <w:rPr>
          <w:spacing w:val="-6"/>
          <w:lang w:eastAsia="en-GB"/>
        </w:rPr>
        <w:t>ECE/TRANS/WP.29/20</w:t>
      </w:r>
      <w:r w:rsidR="00B3680D" w:rsidRPr="0084405A">
        <w:rPr>
          <w:spacing w:val="-6"/>
          <w:lang w:eastAsia="en-GB"/>
        </w:rPr>
        <w:t>20</w:t>
      </w:r>
      <w:r w:rsidRPr="0084405A">
        <w:rPr>
          <w:spacing w:val="-6"/>
          <w:lang w:eastAsia="en-GB"/>
        </w:rPr>
        <w:t>/</w:t>
      </w:r>
      <w:r w:rsidR="00B3680D" w:rsidRPr="0084405A">
        <w:rPr>
          <w:spacing w:val="-6"/>
          <w:lang w:eastAsia="en-GB"/>
        </w:rPr>
        <w:t>22</w:t>
      </w:r>
      <w:r w:rsidRPr="0084405A">
        <w:rPr>
          <w:spacing w:val="-6"/>
          <w:lang w:eastAsia="en-GB"/>
        </w:rPr>
        <w:t>.</w:t>
      </w:r>
    </w:p>
    <w:p w14:paraId="62CDCABF" w14:textId="3243C074" w:rsidR="000D3A4F" w:rsidRPr="0084405A" w:rsidRDefault="00F55704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84405A">
        <w:rPr>
          <w:b/>
          <w:noProof/>
          <w:sz w:val="24"/>
          <w:lang w:val="en-US"/>
        </w:rPr>
        <w:drawing>
          <wp:anchor distT="0" distB="137160" distL="114300" distR="114300" simplePos="0" relativeHeight="251657728" behindDoc="0" locked="0" layoutInCell="1" allowOverlap="1" wp14:anchorId="1A9092C3" wp14:editId="0C339765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84405A">
        <w:rPr>
          <w:b/>
          <w:sz w:val="24"/>
        </w:rPr>
        <w:t>_________</w:t>
      </w:r>
    </w:p>
    <w:p w14:paraId="484BB43A" w14:textId="147FABD1" w:rsidR="00C711C7" w:rsidRPr="0084405A" w:rsidRDefault="000D3A4F" w:rsidP="00651737">
      <w:pPr>
        <w:suppressAutoHyphens w:val="0"/>
        <w:spacing w:line="240" w:lineRule="auto"/>
        <w:jc w:val="center"/>
      </w:pPr>
      <w:r w:rsidRPr="0084405A">
        <w:rPr>
          <w:b/>
          <w:sz w:val="24"/>
        </w:rPr>
        <w:t>UNITED NATIONS</w:t>
      </w:r>
    </w:p>
    <w:p w14:paraId="26BF1293" w14:textId="77777777" w:rsidR="00B3680D" w:rsidRDefault="00D5540C" w:rsidP="00B3680D">
      <w:pPr>
        <w:tabs>
          <w:tab w:val="left" w:pos="2835"/>
        </w:tabs>
        <w:spacing w:before="120" w:after="120"/>
        <w:ind w:left="2268" w:right="1134" w:hanging="1134"/>
        <w:jc w:val="both"/>
        <w:rPr>
          <w:lang w:eastAsia="fr-FR"/>
        </w:rPr>
      </w:pPr>
      <w:r w:rsidRPr="00C44323">
        <w:rPr>
          <w:color w:val="FF0000"/>
        </w:rPr>
        <w:br w:type="page"/>
      </w:r>
      <w:r w:rsidR="00B3680D">
        <w:rPr>
          <w:i/>
        </w:rPr>
        <w:lastRenderedPageBreak/>
        <w:t>Table 1</w:t>
      </w:r>
      <w:r w:rsidR="00B3680D">
        <w:t xml:space="preserve">, amend to read (adding the references to footnote </w:t>
      </w:r>
      <w:r w:rsidR="00B3680D">
        <w:rPr>
          <w:vertAlign w:val="superscript"/>
        </w:rPr>
        <w:t>18</w:t>
      </w:r>
      <w:r w:rsidR="00B3680D">
        <w:t>):</w:t>
      </w:r>
    </w:p>
    <w:p w14:paraId="0B386A92" w14:textId="77777777" w:rsidR="00B3680D" w:rsidRDefault="00B3680D" w:rsidP="00B3680D">
      <w:pPr>
        <w:tabs>
          <w:tab w:val="left" w:pos="2835"/>
        </w:tabs>
        <w:spacing w:before="120" w:after="120"/>
        <w:ind w:left="2268" w:right="1134" w:hanging="1134"/>
        <w:jc w:val="both"/>
      </w:pPr>
      <w:r>
        <w:t>"</w:t>
      </w:r>
    </w:p>
    <w:tbl>
      <w:tblPr>
        <w:tblW w:w="921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1842"/>
        <w:gridCol w:w="1275"/>
        <w:gridCol w:w="1274"/>
        <w:gridCol w:w="1417"/>
      </w:tblGrid>
      <w:tr w:rsidR="00B3680D" w14:paraId="181C0730" w14:textId="77777777" w:rsidTr="00B3680D">
        <w:trPr>
          <w:cantSplit/>
          <w:tblHeader/>
        </w:trPr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D1C5D" w14:textId="77777777" w:rsidR="00B3680D" w:rsidRDefault="00B3680D">
            <w:pPr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5CD8A" w14:textId="77777777" w:rsidR="00B3680D" w:rsidRDefault="00B3680D">
            <w:pPr>
              <w:spacing w:before="80" w:after="80"/>
              <w:rPr>
                <w:i/>
              </w:rPr>
            </w:pPr>
            <w:r>
              <w:rPr>
                <w:i/>
              </w:rPr>
              <w:t>Column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AF1FC" w14:textId="77777777" w:rsidR="00B3680D" w:rsidRDefault="00B3680D">
            <w:pPr>
              <w:pStyle w:val="Heading3"/>
              <w:spacing w:before="80" w:after="80" w:line="256" w:lineRule="auto"/>
              <w:rPr>
                <w:bCs/>
                <w:i/>
              </w:rPr>
            </w:pPr>
            <w:r>
              <w:rPr>
                <w:bCs/>
                <w:i/>
              </w:rPr>
              <w:t>Column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A23BFF" w14:textId="77777777" w:rsidR="00B3680D" w:rsidRDefault="00B3680D">
            <w:pPr>
              <w:spacing w:before="80" w:after="80"/>
              <w:rPr>
                <w:i/>
              </w:rPr>
            </w:pPr>
            <w:r>
              <w:rPr>
                <w:i/>
              </w:rPr>
              <w:t>Column 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E46B3F" w14:textId="77777777" w:rsidR="00B3680D" w:rsidRDefault="00B3680D">
            <w:pPr>
              <w:spacing w:before="80" w:after="80"/>
              <w:rPr>
                <w:i/>
              </w:rPr>
            </w:pPr>
            <w:r>
              <w:rPr>
                <w:i/>
              </w:rPr>
              <w:t>Column 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31FE8" w14:textId="77777777" w:rsidR="00B3680D" w:rsidRDefault="00B3680D">
            <w:pPr>
              <w:spacing w:before="80" w:after="80"/>
              <w:rPr>
                <w:i/>
              </w:rPr>
            </w:pPr>
            <w:r>
              <w:rPr>
                <w:i/>
              </w:rPr>
              <w:t>Column 5</w:t>
            </w:r>
          </w:p>
        </w:tc>
      </w:tr>
      <w:tr w:rsidR="00B3680D" w14:paraId="684D5AE2" w14:textId="77777777" w:rsidTr="00B3680D">
        <w:trPr>
          <w:cantSplit/>
          <w:trHeight w:val="374"/>
          <w:tblHeader/>
        </w:trPr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C723D" w14:textId="77777777" w:rsidR="00B3680D" w:rsidRDefault="00B3680D"/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C751AC" w14:textId="77777777" w:rsidR="00B3680D" w:rsidRDefault="00B3680D" w:rsidP="00B3680D">
            <w:pPr>
              <w:spacing w:before="80" w:after="8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Item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2950037" w14:textId="77777777" w:rsidR="00B3680D" w:rsidRDefault="00B3680D" w:rsidP="00B3680D">
            <w:pPr>
              <w:spacing w:before="80" w:after="8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 xml:space="preserve">Symbol </w:t>
            </w:r>
            <w:r w:rsidRPr="00B3680D">
              <w:rPr>
                <w:rStyle w:val="FootnoteTextChar"/>
                <w:b/>
                <w:i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35F175" w14:textId="77777777" w:rsidR="00B3680D" w:rsidRDefault="00B3680D" w:rsidP="00B3680D">
            <w:pPr>
              <w:spacing w:before="80" w:after="8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Function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7CE72D" w14:textId="77777777" w:rsidR="00B3680D" w:rsidRDefault="00B3680D" w:rsidP="00B3680D">
            <w:pPr>
              <w:spacing w:before="80" w:after="8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Illumination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BD82BD" w14:textId="77777777" w:rsidR="00B3680D" w:rsidRDefault="00B3680D" w:rsidP="00B3680D">
            <w:pPr>
              <w:spacing w:before="80" w:after="8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Colour</w:t>
            </w:r>
          </w:p>
        </w:tc>
      </w:tr>
      <w:tr w:rsidR="00B3680D" w14:paraId="25B1F183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8237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46A53" w14:textId="77777777" w:rsidR="00B3680D" w:rsidRDefault="00B3680D">
            <w:pPr>
              <w:spacing w:before="40" w:after="40"/>
            </w:pPr>
            <w:r>
              <w:t>…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ACD2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D6BE" w14:textId="77777777" w:rsidR="00B3680D" w:rsidRDefault="00B3680D">
            <w:pPr>
              <w:spacing w:before="40" w:after="4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2AC9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534A" w14:textId="77777777" w:rsidR="00B3680D" w:rsidRDefault="00B3680D">
            <w:pPr>
              <w:spacing w:before="40" w:after="40"/>
            </w:pPr>
          </w:p>
        </w:tc>
      </w:tr>
      <w:tr w:rsidR="00B3680D" w14:paraId="27D5E5D6" w14:textId="77777777" w:rsidTr="00B3680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368AE7D6" w14:textId="77777777" w:rsidR="00B3680D" w:rsidRDefault="00B3680D">
            <w: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ECDC48" w14:textId="77777777" w:rsidR="00B3680D" w:rsidRDefault="00B3680D">
            <w:pPr>
              <w:spacing w:before="40" w:after="40"/>
            </w:pPr>
            <w:r>
              <w:t>Front fog lamps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B59F8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7788E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8A3EB" w14:textId="77777777" w:rsidR="00B3680D" w:rsidRDefault="00B3680D">
            <w:pPr>
              <w:spacing w:before="40" w:after="40"/>
            </w:pPr>
            <w:r>
              <w:t>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6164" w14:textId="77777777" w:rsidR="00B3680D" w:rsidRDefault="00B3680D">
            <w:pPr>
              <w:spacing w:before="40" w:after="40"/>
            </w:pPr>
          </w:p>
        </w:tc>
      </w:tr>
      <w:tr w:rsidR="00B3680D" w14:paraId="42DE5A75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3DF1889" w14:textId="77777777" w:rsidR="00B3680D" w:rsidRDefault="00B3680D">
            <w:pPr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BD18C9" w14:textId="77777777" w:rsidR="00B3680D" w:rsidRDefault="00B3680D">
            <w:pPr>
              <w:spacing w:before="40" w:after="4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6CA8C4" w14:textId="57FB3B58" w:rsidR="00B3680D" w:rsidRDefault="00B3680D">
            <w:pPr>
              <w:spacing w:before="40" w:after="4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883B98" wp14:editId="68BA8E8A">
                  <wp:extent cx="276225" cy="2571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34790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D296B" w14:textId="77777777" w:rsidR="00B3680D" w:rsidRDefault="00B3680D">
            <w:pPr>
              <w:spacing w:before="40" w:after="40"/>
            </w:pPr>
            <w:r>
              <w:t xml:space="preserve">Yes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AB9FF" w14:textId="77777777" w:rsidR="00B3680D" w:rsidRDefault="00B3680D">
            <w:pPr>
              <w:spacing w:before="40" w:after="40"/>
            </w:pPr>
            <w:r>
              <w:t>Green</w:t>
            </w:r>
          </w:p>
        </w:tc>
      </w:tr>
      <w:tr w:rsidR="00B3680D" w14:paraId="4DC1A8E2" w14:textId="77777777" w:rsidTr="00B3680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674106C7" w14:textId="77777777" w:rsidR="00B3680D" w:rsidRDefault="00B3680D">
            <w: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ADFD0C" w14:textId="77777777" w:rsidR="00B3680D" w:rsidRDefault="00B3680D">
            <w:pPr>
              <w:spacing w:before="40" w:after="40"/>
            </w:pPr>
            <w:r>
              <w:t>Rear fog lamp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D19FC1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AAC9E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D0CC0" w14:textId="77777777" w:rsidR="00B3680D" w:rsidRDefault="00B3680D">
            <w:pPr>
              <w:spacing w:before="40" w:after="40"/>
            </w:pPr>
            <w:r>
              <w:t>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1C69" w14:textId="77777777" w:rsidR="00B3680D" w:rsidRDefault="00B3680D">
            <w:pPr>
              <w:spacing w:before="40" w:after="40"/>
            </w:pPr>
          </w:p>
        </w:tc>
      </w:tr>
      <w:tr w:rsidR="00B3680D" w14:paraId="262E91D7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78BD8C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565C" w14:textId="77777777" w:rsidR="00B3680D" w:rsidRDefault="00B3680D">
            <w:pPr>
              <w:spacing w:before="40" w:after="4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9F199" w14:textId="59EE7C26" w:rsidR="00B3680D" w:rsidRDefault="00B3680D">
            <w:pPr>
              <w:spacing w:before="40" w:after="4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630C77" wp14:editId="6AF1D111">
                  <wp:extent cx="342900" cy="342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vertAlign w:val="superscript"/>
              </w:rPr>
              <w:t>1</w:t>
            </w:r>
            <w:r>
              <w:rPr>
                <w:b/>
                <w:vertAlign w:val="superscript"/>
              </w:rPr>
              <w:t>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3CD2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80DA5" w14:textId="77777777" w:rsidR="00B3680D" w:rsidRDefault="00B3680D">
            <w:pPr>
              <w:spacing w:before="40" w:after="40"/>
            </w:pPr>
            <w:r>
              <w:t xml:space="preserve">Yes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461D" w14:textId="77777777" w:rsidR="00B3680D" w:rsidRDefault="00B3680D">
            <w:pPr>
              <w:spacing w:before="40" w:after="40"/>
            </w:pPr>
            <w:r>
              <w:t>Yellow</w:t>
            </w:r>
          </w:p>
        </w:tc>
      </w:tr>
      <w:tr w:rsidR="00B3680D" w14:paraId="0D5FEA47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DADA2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B1976" w14:textId="77777777" w:rsidR="00B3680D" w:rsidRDefault="00B3680D">
            <w:pPr>
              <w:spacing w:before="40" w:after="40"/>
            </w:pPr>
            <w:r>
              <w:t>…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9624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A77D" w14:textId="77777777" w:rsidR="00B3680D" w:rsidRDefault="00B3680D">
            <w:pPr>
              <w:spacing w:before="40" w:after="4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3A07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13A8" w14:textId="77777777" w:rsidR="00B3680D" w:rsidRDefault="00B3680D">
            <w:pPr>
              <w:spacing w:before="40" w:after="40"/>
            </w:pPr>
          </w:p>
        </w:tc>
      </w:tr>
      <w:tr w:rsidR="00B3680D" w14:paraId="5BC50956" w14:textId="77777777" w:rsidTr="00B3680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33AB5BE4" w14:textId="77777777" w:rsidR="00B3680D" w:rsidRDefault="00B3680D">
            <w:r>
              <w:t>17.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F11936" w14:textId="77777777" w:rsidR="00B3680D" w:rsidRDefault="00B3680D">
            <w:pPr>
              <w:spacing w:before="40" w:after="40"/>
            </w:pPr>
            <w:r>
              <w:t>Windscreen defrosting and defogging system</w:t>
            </w:r>
          </w:p>
          <w:p w14:paraId="6F610F38" w14:textId="77777777" w:rsidR="00B3680D" w:rsidRDefault="00B3680D">
            <w:pPr>
              <w:spacing w:before="40" w:after="40"/>
            </w:pPr>
            <w:r>
              <w:t>(with separate operating control)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91D90B" w14:textId="1BF37364" w:rsidR="00B3680D" w:rsidRDefault="00B3680D">
            <w:pPr>
              <w:spacing w:before="40" w:after="4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E1E753" wp14:editId="15EF649C">
                  <wp:extent cx="390525" cy="3143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ertAlign w:val="superscript"/>
              </w:rPr>
              <w:t xml:space="preserve">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6504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04B8F" w14:textId="77777777" w:rsidR="00B3680D" w:rsidRDefault="00B3680D">
            <w:pPr>
              <w:spacing w:before="40" w:after="40"/>
            </w:pPr>
            <w:r>
              <w:t>Yes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5F3B" w14:textId="77777777" w:rsidR="00B3680D" w:rsidRDefault="00B3680D">
            <w:pPr>
              <w:spacing w:before="40" w:after="40"/>
            </w:pPr>
          </w:p>
        </w:tc>
      </w:tr>
      <w:tr w:rsidR="00B3680D" w14:paraId="13290436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041D35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1427D" w14:textId="77777777" w:rsidR="00B3680D" w:rsidRDefault="00B3680D">
            <w:pPr>
              <w:spacing w:before="40" w:after="4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06CC9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A1769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1006B" w14:textId="77777777" w:rsidR="00B3680D" w:rsidRDefault="00B3680D">
            <w:pPr>
              <w:spacing w:before="40" w:after="40"/>
            </w:pPr>
            <w:r>
              <w:t xml:space="preserve">Yes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9EA94" w14:textId="77777777" w:rsidR="00B3680D" w:rsidRDefault="00B3680D">
            <w:pPr>
              <w:spacing w:before="40" w:after="40"/>
            </w:pPr>
            <w:r>
              <w:t>Yellow</w:t>
            </w:r>
          </w:p>
        </w:tc>
      </w:tr>
      <w:tr w:rsidR="00B3680D" w14:paraId="3943C93E" w14:textId="77777777" w:rsidTr="00B3680D">
        <w:trPr>
          <w:cantSplit/>
          <w:trHeight w:val="5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7935A4B" w14:textId="77777777" w:rsidR="00B3680D" w:rsidRDefault="00B3680D">
            <w:r>
              <w:t>18.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AFBBE72" w14:textId="77777777" w:rsidR="00B3680D" w:rsidRDefault="00B3680D">
            <w:pPr>
              <w:spacing w:before="40" w:after="40"/>
            </w:pPr>
            <w:r>
              <w:t>Rear window defrosting and defogging system</w:t>
            </w:r>
          </w:p>
          <w:p w14:paraId="06C5F508" w14:textId="77777777" w:rsidR="00B3680D" w:rsidRDefault="00B3680D">
            <w:pPr>
              <w:spacing w:before="40" w:after="40"/>
            </w:pPr>
            <w:r>
              <w:t>(with separate operating control)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55F0AC" w14:textId="3A7F4508" w:rsidR="00B3680D" w:rsidRDefault="00B3680D">
            <w:pPr>
              <w:spacing w:before="40" w:after="4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7460E6" wp14:editId="6D142FEB">
                  <wp:extent cx="342900" cy="2952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ertAlign w:val="superscript"/>
              </w:rPr>
              <w:t xml:space="preserve"> 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FEDC3D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3DD69" w14:textId="77777777" w:rsidR="00B3680D" w:rsidRDefault="00B3680D">
            <w:pPr>
              <w:spacing w:before="40" w:after="40"/>
            </w:pPr>
            <w:r>
              <w:t>Yes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E967" w14:textId="77777777" w:rsidR="00B3680D" w:rsidRDefault="00B3680D">
            <w:pPr>
              <w:spacing w:before="40" w:after="40"/>
            </w:pPr>
          </w:p>
        </w:tc>
      </w:tr>
      <w:tr w:rsidR="00B3680D" w14:paraId="646A3E2D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88C2B88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F02B5" w14:textId="77777777" w:rsidR="00B3680D" w:rsidRDefault="00B3680D">
            <w:pPr>
              <w:spacing w:before="40" w:after="40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7AECD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9A82C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54E37" w14:textId="77777777" w:rsidR="00B3680D" w:rsidRDefault="00B3680D">
            <w:pPr>
              <w:spacing w:before="40" w:after="40"/>
            </w:pPr>
            <w:r>
              <w:t xml:space="preserve">Yes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67097" w14:textId="77777777" w:rsidR="00B3680D" w:rsidRDefault="00B3680D">
            <w:pPr>
              <w:spacing w:before="40" w:after="40"/>
            </w:pPr>
            <w:r>
              <w:t>Yellow</w:t>
            </w:r>
          </w:p>
        </w:tc>
      </w:tr>
      <w:tr w:rsidR="00B3680D" w14:paraId="70C3FBC1" w14:textId="77777777" w:rsidTr="00B3680D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E01EB6" w14:textId="77777777" w:rsidR="00B3680D" w:rsidRDefault="00B3680D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70834" w14:textId="77777777" w:rsidR="00B3680D" w:rsidRDefault="00B3680D">
            <w:pPr>
              <w:spacing w:before="40" w:after="40"/>
            </w:pPr>
            <w:r>
              <w:t>…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95CC" w14:textId="77777777" w:rsidR="00B3680D" w:rsidRDefault="00B3680D">
            <w:pPr>
              <w:spacing w:before="40" w:after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83F4" w14:textId="77777777" w:rsidR="00B3680D" w:rsidRDefault="00B3680D">
            <w:pPr>
              <w:spacing w:before="40" w:after="4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2779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FBF0" w14:textId="77777777" w:rsidR="00B3680D" w:rsidRDefault="00B3680D">
            <w:pPr>
              <w:spacing w:before="40" w:after="40"/>
            </w:pPr>
          </w:p>
        </w:tc>
      </w:tr>
      <w:tr w:rsidR="00B3680D" w14:paraId="4A6F1945" w14:textId="77777777" w:rsidTr="00B3680D">
        <w:trPr>
          <w:cantSplit/>
          <w:trHeight w:val="268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9E0597" w14:textId="77777777" w:rsidR="00B3680D" w:rsidRDefault="00B3680D">
            <w:r>
              <w:t>20.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929AE" w14:textId="77777777" w:rsidR="00B3680D" w:rsidRDefault="00B3680D">
            <w:pPr>
              <w:spacing w:before="40" w:after="40"/>
            </w:pPr>
            <w:r>
              <w:t>Parking lamps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B80D" w14:textId="1E994217" w:rsidR="00B3680D" w:rsidRDefault="00B3680D">
            <w:pPr>
              <w:spacing w:before="40" w:after="40"/>
              <w:jc w:val="center"/>
            </w:pPr>
            <w:r>
              <w:rPr>
                <w:b/>
                <w:noProof/>
                <w:vertAlign w:val="superscript"/>
                <w:lang w:val="en-US" w:eastAsia="zh-CN"/>
              </w:rPr>
              <w:drawing>
                <wp:inline distT="0" distB="0" distL="0" distR="0" wp14:anchorId="33B63A3C" wp14:editId="654B8E26">
                  <wp:extent cx="304800" cy="2952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ertAlign w:val="superscript"/>
              </w:rPr>
              <w:t xml:space="preserve">  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19B46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E8A05" w14:textId="77777777" w:rsidR="00B3680D" w:rsidRDefault="00B3680D">
            <w:pPr>
              <w:spacing w:before="40" w:after="40"/>
            </w:pPr>
            <w:r>
              <w:t>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C77F" w14:textId="77777777" w:rsidR="00B3680D" w:rsidRDefault="00B3680D">
            <w:pPr>
              <w:spacing w:before="40" w:after="40"/>
            </w:pPr>
          </w:p>
        </w:tc>
      </w:tr>
      <w:tr w:rsidR="00B3680D" w14:paraId="4D0F4B4A" w14:textId="77777777" w:rsidTr="00B3680D">
        <w:trPr>
          <w:cantSplit/>
          <w:trHeight w:val="1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94682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2A5EC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40729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35AC1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D7F8F" w14:textId="77777777" w:rsidR="00B3680D" w:rsidRDefault="00B3680D">
            <w:pPr>
              <w:spacing w:before="40" w:after="40"/>
            </w:pPr>
            <w:r>
              <w:t>Yes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36039" w14:textId="77777777" w:rsidR="00B3680D" w:rsidRDefault="00B3680D">
            <w:pPr>
              <w:spacing w:before="40" w:after="40"/>
            </w:pPr>
            <w:r>
              <w:t>Green</w:t>
            </w:r>
          </w:p>
        </w:tc>
      </w:tr>
      <w:tr w:rsidR="00B3680D" w14:paraId="662415BB" w14:textId="77777777" w:rsidTr="00B3680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834E4" w14:textId="77777777" w:rsidR="00B3680D" w:rsidRDefault="00B3680D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1F4F5" w14:textId="77777777" w:rsidR="00B3680D" w:rsidRDefault="00B3680D">
            <w:pPr>
              <w:spacing w:before="40" w:after="40"/>
            </w:pPr>
            <w: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495" w14:textId="77777777" w:rsidR="00B3680D" w:rsidRDefault="00B3680D">
            <w:pPr>
              <w:spacing w:before="40" w:after="40"/>
              <w:ind w:lef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5033" w14:textId="77777777" w:rsidR="00B3680D" w:rsidRDefault="00B3680D">
            <w:pPr>
              <w:spacing w:before="40" w:after="4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046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E7C5" w14:textId="77777777" w:rsidR="00B3680D" w:rsidRDefault="00B3680D">
            <w:pPr>
              <w:spacing w:before="40" w:after="40"/>
            </w:pPr>
          </w:p>
        </w:tc>
      </w:tr>
      <w:tr w:rsidR="00B3680D" w14:paraId="74F4E5AC" w14:textId="77777777" w:rsidTr="00B3680D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29B5E" w14:textId="77777777" w:rsidR="00B3680D" w:rsidRDefault="00B3680D">
            <w:r>
              <w:t>31.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13AF" w14:textId="77777777" w:rsidR="00B3680D" w:rsidRDefault="00B3680D">
            <w:pPr>
              <w:spacing w:before="40" w:after="40"/>
            </w:pPr>
            <w:r>
              <w:t>Diesel pre-heat</w:t>
            </w:r>
          </w:p>
          <w:p w14:paraId="04D2CC56" w14:textId="77777777" w:rsidR="00B3680D" w:rsidRDefault="00B3680D">
            <w:pPr>
              <w:spacing w:before="40" w:after="4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F5B5B8" w14:textId="6ACE9813" w:rsidR="00B3680D" w:rsidRDefault="00B3680D">
            <w:pPr>
              <w:spacing w:before="40" w:after="40"/>
              <w:ind w:left="-136" w:right="-80"/>
              <w:jc w:val="center"/>
            </w:pPr>
            <w:r>
              <w:rPr>
                <w:b/>
                <w:noProof/>
                <w:vertAlign w:val="superscript"/>
                <w:lang w:val="en-US" w:eastAsia="zh-CN"/>
              </w:rPr>
              <w:drawing>
                <wp:inline distT="0" distB="0" distL="0" distR="0" wp14:anchorId="70E4F21A" wp14:editId="76DBD6DB">
                  <wp:extent cx="371475" cy="238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ertAlign w:val="superscript"/>
              </w:rPr>
              <w:t xml:space="preserve"> 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0957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842F8" w14:textId="77777777" w:rsidR="00B3680D" w:rsidRDefault="00B3680D">
            <w:pPr>
              <w:spacing w:before="40" w:after="40"/>
            </w:pPr>
            <w:r>
              <w:t>Yes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E014D" w14:textId="77777777" w:rsidR="00B3680D" w:rsidRDefault="00B3680D">
            <w:pPr>
              <w:spacing w:before="40" w:after="40"/>
            </w:pPr>
            <w:r>
              <w:t>Yellow</w:t>
            </w:r>
          </w:p>
        </w:tc>
      </w:tr>
      <w:tr w:rsidR="00B3680D" w14:paraId="3DC05F11" w14:textId="77777777" w:rsidTr="00B3680D">
        <w:trPr>
          <w:cantSplit/>
          <w:trHeight w:val="3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1BFDAE" w14:textId="77777777" w:rsidR="00B3680D" w:rsidRDefault="00B3680D">
            <w:r>
              <w:t>32.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FE257" w14:textId="77777777" w:rsidR="00B3680D" w:rsidRDefault="00B3680D">
            <w:pPr>
              <w:spacing w:before="40" w:after="40"/>
            </w:pPr>
            <w:r>
              <w:t>Choke (cold starting device)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AED43" w14:textId="2A28D2E7" w:rsidR="00B3680D" w:rsidRDefault="00B3680D">
            <w:pPr>
              <w:spacing w:before="40" w:after="40"/>
              <w:ind w:left="-136" w:right="-80"/>
              <w:jc w:val="center"/>
            </w:pPr>
            <w:r>
              <w:rPr>
                <w:b/>
                <w:noProof/>
                <w:vertAlign w:val="superscript"/>
                <w:lang w:val="en-US" w:eastAsia="zh-CN"/>
              </w:rPr>
              <w:drawing>
                <wp:inline distT="0" distB="0" distL="0" distR="0" wp14:anchorId="1A28B547" wp14:editId="7A9E68D6">
                  <wp:extent cx="304800" cy="314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ertAlign w:val="superscript"/>
                <w:lang w:val="en-US"/>
              </w:rPr>
              <w:t xml:space="preserve"> </w:t>
            </w:r>
            <w:r>
              <w:rPr>
                <w:b/>
                <w:vertAlign w:val="superscript"/>
              </w:rPr>
              <w:t xml:space="preserve">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CEC05" w14:textId="77777777" w:rsidR="00B3680D" w:rsidRDefault="00B3680D">
            <w:pPr>
              <w:spacing w:before="40" w:after="40"/>
            </w:pPr>
            <w:r>
              <w:t>Control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75CFF" w14:textId="77777777" w:rsidR="00B3680D" w:rsidRDefault="00B3680D">
            <w:pPr>
              <w:spacing w:before="40" w:after="40"/>
            </w:pPr>
            <w:r>
              <w:t>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9308" w14:textId="77777777" w:rsidR="00B3680D" w:rsidRDefault="00B3680D">
            <w:pPr>
              <w:spacing w:before="40" w:after="40"/>
            </w:pPr>
          </w:p>
        </w:tc>
      </w:tr>
      <w:tr w:rsidR="00B3680D" w14:paraId="580B2E5F" w14:textId="77777777" w:rsidTr="00B3680D">
        <w:trPr>
          <w:cantSplit/>
          <w:trHeight w:val="33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BDBC1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A4705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33E5E" w14:textId="77777777" w:rsidR="00B3680D" w:rsidRDefault="00B3680D">
            <w:pPr>
              <w:suppressAutoHyphens w:val="0"/>
              <w:spacing w:line="256" w:lineRule="auto"/>
              <w:rPr>
                <w:lang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C74CB" w14:textId="77777777" w:rsidR="00B3680D" w:rsidRDefault="00B3680D">
            <w:pPr>
              <w:spacing w:before="40" w:after="40"/>
            </w:pPr>
            <w:r>
              <w:t>Tell-tale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3EA6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55B45" w14:textId="77777777" w:rsidR="00B3680D" w:rsidRDefault="00B3680D">
            <w:pPr>
              <w:spacing w:before="40" w:after="40"/>
            </w:pPr>
            <w:r>
              <w:t>Yellow</w:t>
            </w:r>
          </w:p>
        </w:tc>
      </w:tr>
      <w:tr w:rsidR="00B3680D" w14:paraId="0B40F36F" w14:textId="77777777" w:rsidTr="00B3680D">
        <w:trPr>
          <w:cantSplit/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D737" w14:textId="77777777" w:rsidR="00B3680D" w:rsidRDefault="00B3680D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3379E" w14:textId="77777777" w:rsidR="00B3680D" w:rsidRDefault="00B3680D">
            <w:pPr>
              <w:spacing w:before="40" w:after="40"/>
            </w:pPr>
            <w: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6BAF" w14:textId="77777777" w:rsidR="00B3680D" w:rsidRDefault="00B3680D">
            <w:pPr>
              <w:spacing w:before="40" w:after="40"/>
              <w:ind w:left="-136" w:right="-80"/>
              <w:jc w:val="center"/>
              <w:rPr>
                <w:noProof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6C3" w14:textId="77777777" w:rsidR="00B3680D" w:rsidRDefault="00B3680D">
            <w:pPr>
              <w:spacing w:before="40" w:after="4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56AE" w14:textId="77777777" w:rsidR="00B3680D" w:rsidRDefault="00B3680D">
            <w:pPr>
              <w:spacing w:before="40" w:after="4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21C1" w14:textId="77777777" w:rsidR="00B3680D" w:rsidRDefault="00B3680D">
            <w:pPr>
              <w:spacing w:before="40" w:after="40"/>
            </w:pPr>
          </w:p>
        </w:tc>
      </w:tr>
    </w:tbl>
    <w:p w14:paraId="55C7A8CA" w14:textId="77777777" w:rsidR="00B3680D" w:rsidRDefault="00B3680D" w:rsidP="00B3680D">
      <w:pPr>
        <w:pStyle w:val="FootnoteText"/>
        <w:tabs>
          <w:tab w:val="clear" w:pos="1021"/>
          <w:tab w:val="right" w:pos="900"/>
          <w:tab w:val="right" w:pos="1100"/>
          <w:tab w:val="right" w:pos="1700"/>
          <w:tab w:val="right" w:pos="2100"/>
        </w:tabs>
        <w:ind w:left="1500" w:hanging="300"/>
        <w:rPr>
          <w:lang w:eastAsia="fr-FR"/>
        </w:rPr>
      </w:pPr>
      <w:r>
        <w:rPr>
          <w:vertAlign w:val="superscript"/>
        </w:rPr>
        <w:t>…</w:t>
      </w:r>
    </w:p>
    <w:p w14:paraId="67A32173" w14:textId="77777777" w:rsidR="00B3680D" w:rsidRDefault="00B3680D" w:rsidP="00B3680D">
      <w:pPr>
        <w:pStyle w:val="FootnoteText"/>
        <w:tabs>
          <w:tab w:val="clear" w:pos="1021"/>
          <w:tab w:val="right" w:pos="900"/>
          <w:tab w:val="right" w:pos="1700"/>
          <w:tab w:val="right" w:pos="2100"/>
        </w:tabs>
        <w:ind w:left="1500" w:hanging="300"/>
      </w:pPr>
      <w:r>
        <w:rPr>
          <w:vertAlign w:val="superscript"/>
        </w:rPr>
        <w:t>18</w:t>
      </w:r>
      <w:r>
        <w:tab/>
      </w:r>
      <w:r>
        <w:tab/>
        <w:t>Symbol may be shown in other colours than specified in column 5 in order to convey different meanings according to the general colour coding as proposed in paragraph 5 of ISO 2575-2004.</w:t>
      </w:r>
    </w:p>
    <w:p w14:paraId="78473155" w14:textId="77777777" w:rsidR="00B3680D" w:rsidRDefault="00B3680D" w:rsidP="00C44323">
      <w:pPr>
        <w:pStyle w:val="SingleTxtG"/>
        <w:spacing w:before="120"/>
      </w:pPr>
      <w:r>
        <w:rPr>
          <w:vertAlign w:val="superscript"/>
          <w:lang w:val="en-US"/>
        </w:rPr>
        <w:t xml:space="preserve">… </w:t>
      </w:r>
      <w:r>
        <w:t>"</w:t>
      </w:r>
    </w:p>
    <w:p w14:paraId="10CF13D5" w14:textId="1DF04EE9" w:rsidR="009952F1" w:rsidRPr="00F43A63" w:rsidRDefault="00B3680D" w:rsidP="00530B15">
      <w:pPr>
        <w:ind w:left="4395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952F1" w:rsidRPr="00F43A63" w:rsidSect="00C4432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5D94" w14:textId="77777777" w:rsidR="00E53330" w:rsidRDefault="00E53330"/>
  </w:endnote>
  <w:endnote w:type="continuationSeparator" w:id="0">
    <w:p w14:paraId="5FDF1A6D" w14:textId="77777777" w:rsidR="00E53330" w:rsidRDefault="00E53330"/>
  </w:endnote>
  <w:endnote w:type="continuationNotice" w:id="1">
    <w:p w14:paraId="30142910" w14:textId="77777777" w:rsidR="00E53330" w:rsidRDefault="00E53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0473" w14:textId="01AC2704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BC6E0B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877D" w14:textId="05B7D156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4B1908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92AE" w14:textId="17DAFB96" w:rsidR="00272A9C" w:rsidRDefault="00272A9C" w:rsidP="00272A9C">
    <w:pPr>
      <w:pStyle w:val="Footer"/>
    </w:pPr>
    <w:r>
      <w:rPr>
        <w:lang w:eastAsia="zh-CN"/>
      </w:rPr>
      <w:drawing>
        <wp:anchor distT="0" distB="0" distL="114300" distR="114300" simplePos="0" relativeHeight="251659264" behindDoc="1" locked="1" layoutInCell="1" allowOverlap="1" wp14:anchorId="17CF4589" wp14:editId="05AB4DF9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270D3" w14:textId="1D4A5CD2" w:rsidR="00272A9C" w:rsidRDefault="00272A9C" w:rsidP="00272A9C">
    <w:pPr>
      <w:pStyle w:val="Footer"/>
      <w:ind w:right="1134"/>
      <w:rPr>
        <w:sz w:val="20"/>
      </w:rPr>
    </w:pPr>
    <w:r>
      <w:rPr>
        <w:sz w:val="20"/>
      </w:rPr>
      <w:t>GE.20-14499(E)</w:t>
    </w:r>
  </w:p>
  <w:p w14:paraId="48D7A3C1" w14:textId="1A973736" w:rsidR="00272A9C" w:rsidRPr="00272A9C" w:rsidRDefault="00272A9C" w:rsidP="00272A9C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*2014499*</w:t>
    </w:r>
    <w:r>
      <w:rPr>
        <w:rFonts w:ascii="C39T30Lfz" w:hAnsi="C39T30Lfz"/>
        <w:noProof/>
        <w:sz w:val="56"/>
      </w:rPr>
      <w:drawing>
        <wp:anchor distT="0" distB="0" distL="114300" distR="114300" simplePos="0" relativeHeight="251660288" behindDoc="0" locked="0" layoutInCell="1" allowOverlap="1" wp14:anchorId="4B89367D" wp14:editId="416B3414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3D869" w14:textId="77777777" w:rsidR="00E53330" w:rsidRPr="000B175B" w:rsidRDefault="00E5333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85D0CF" w14:textId="77777777" w:rsidR="00E53330" w:rsidRPr="00FC68B7" w:rsidRDefault="00E5333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5C7DD35" w14:textId="77777777" w:rsidR="00E53330" w:rsidRDefault="00E53330"/>
  </w:footnote>
  <w:footnote w:id="2">
    <w:p w14:paraId="56296D02" w14:textId="77777777" w:rsidR="004B1908" w:rsidRPr="0084405A" w:rsidRDefault="004B1908" w:rsidP="004B1908">
      <w:pPr>
        <w:pStyle w:val="FootnoteText"/>
      </w:pPr>
      <w:r w:rsidRPr="0084405A">
        <w:tab/>
      </w:r>
      <w:r w:rsidRPr="0084405A">
        <w:rPr>
          <w:rStyle w:val="FootnoteReference"/>
          <w:sz w:val="20"/>
        </w:rPr>
        <w:t>*</w:t>
      </w:r>
      <w:r w:rsidRPr="0084405A">
        <w:rPr>
          <w:sz w:val="20"/>
        </w:rPr>
        <w:tab/>
      </w:r>
      <w:r w:rsidRPr="0084405A">
        <w:t>Former titles of the Agreement:</w:t>
      </w:r>
    </w:p>
    <w:p w14:paraId="0E47DB71" w14:textId="77777777" w:rsidR="004B1908" w:rsidRPr="0084405A" w:rsidRDefault="004B1908" w:rsidP="004B1908">
      <w:pPr>
        <w:pStyle w:val="FootnoteText"/>
        <w:rPr>
          <w:sz w:val="20"/>
        </w:rPr>
      </w:pPr>
      <w:r w:rsidRPr="0084405A">
        <w:tab/>
      </w:r>
      <w:r w:rsidRPr="0084405A">
        <w:tab/>
      </w:r>
      <w:r w:rsidRPr="0084405A"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5BA3F3C" w14:textId="77777777" w:rsidR="004B1908" w:rsidRPr="00E53330" w:rsidRDefault="004B1908" w:rsidP="004B1908">
      <w:pPr>
        <w:pStyle w:val="FootnoteText"/>
      </w:pPr>
      <w:r w:rsidRPr="0084405A">
        <w:tab/>
      </w:r>
      <w:r w:rsidRPr="0084405A"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0B60" w14:textId="346597EE" w:rsidR="00B701B3" w:rsidRDefault="00B701B3">
    <w:pPr>
      <w:pStyle w:val="Header"/>
    </w:pPr>
    <w:r w:rsidRPr="00D623A7">
      <w:t>E/ECE/324</w:t>
    </w:r>
    <w:r w:rsidRPr="00841EB5">
      <w:t>/Rev.</w:t>
    </w:r>
    <w:r w:rsidR="0065215B">
      <w:t>2</w:t>
    </w:r>
    <w:r w:rsidRPr="00841EB5">
      <w:t>/</w:t>
    </w:r>
    <w:r w:rsidR="004D2C93" w:rsidRPr="00D623A7">
      <w:t>Add.</w:t>
    </w:r>
    <w:r w:rsidR="00425B9D">
      <w:t>1</w:t>
    </w:r>
    <w:r w:rsidR="00787C61">
      <w:t>20</w:t>
    </w:r>
    <w:r w:rsidR="004D2C93" w:rsidRPr="00D623A7">
      <w:t>/Rev.</w:t>
    </w:r>
    <w:r w:rsidR="00C95D91">
      <w:t>2</w:t>
    </w:r>
    <w:r w:rsidR="004D2C93" w:rsidRPr="00D623A7">
      <w:t>/Amend.</w:t>
    </w:r>
    <w:r w:rsidR="00B3680D">
      <w:t>4</w:t>
    </w:r>
    <w:r>
      <w:br/>
    </w:r>
    <w:r w:rsidRPr="00D623A7">
      <w:t>E/ECE/TRANS/505</w:t>
    </w:r>
    <w:r w:rsidRPr="00841EB5">
      <w:t>/</w:t>
    </w:r>
    <w:r w:rsidR="0001071D" w:rsidRPr="00841EB5">
      <w:t>Rev.</w:t>
    </w:r>
    <w:r w:rsidR="0065215B">
      <w:t>2</w:t>
    </w:r>
    <w:r w:rsidR="00CC4838" w:rsidRPr="00841EB5">
      <w:t>/</w:t>
    </w:r>
    <w:r w:rsidR="00CC4838" w:rsidRPr="00D623A7">
      <w:t>Add.</w:t>
    </w:r>
    <w:r w:rsidR="00425B9D">
      <w:t>1</w:t>
    </w:r>
    <w:r w:rsidR="00787C61">
      <w:t>20</w:t>
    </w:r>
    <w:r w:rsidR="00CC4838" w:rsidRPr="00D623A7">
      <w:t>/Rev.</w:t>
    </w:r>
    <w:r w:rsidR="00C95D91">
      <w:t>2/</w:t>
    </w:r>
    <w:r w:rsidR="00CC4838" w:rsidRPr="00D623A7">
      <w:t>Amend.</w:t>
    </w:r>
    <w:r w:rsidR="00B3680D">
      <w:t>4</w:t>
    </w:r>
  </w:p>
  <w:p w14:paraId="30CE593D" w14:textId="77777777" w:rsidR="00BF4A36" w:rsidRPr="00BF4A36" w:rsidRDefault="00BF4A36" w:rsidP="00BF4A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837B" w14:textId="05029079" w:rsidR="00B701B3" w:rsidRDefault="00B701B3" w:rsidP="00776D12">
    <w:pPr>
      <w:pStyle w:val="Header"/>
      <w:jc w:val="right"/>
    </w:pPr>
    <w:r w:rsidRPr="00D623A7">
      <w:t>E/ECE/324/</w:t>
    </w:r>
    <w:r w:rsidR="0001071D">
      <w:t>Rev.</w:t>
    </w:r>
    <w:r w:rsidR="004B1908">
      <w:t>2</w:t>
    </w:r>
    <w:r w:rsidR="0001071D">
      <w:t>/</w:t>
    </w:r>
    <w:r w:rsidR="00CC4838" w:rsidRPr="00D623A7">
      <w:t>Add.</w:t>
    </w:r>
    <w:r w:rsidR="00425B9D">
      <w:t>1</w:t>
    </w:r>
    <w:r w:rsidR="004B1908">
      <w:t>20</w:t>
    </w:r>
    <w:r w:rsidR="00CC4838" w:rsidRPr="00D623A7">
      <w:t>/Rev.</w:t>
    </w:r>
    <w:r w:rsidR="004B1908">
      <w:t>2</w:t>
    </w:r>
    <w:r w:rsidR="00CC4838" w:rsidRPr="00D623A7">
      <w:t>/Amend.</w:t>
    </w:r>
    <w:r w:rsidR="000D6586">
      <w:t>3</w:t>
    </w:r>
    <w:r>
      <w:br/>
    </w:r>
    <w:r w:rsidRPr="00D623A7">
      <w:t>E/ECE/TRANS/505/</w:t>
    </w:r>
    <w:r w:rsidR="0001071D">
      <w:t>Rev.</w:t>
    </w:r>
    <w:r w:rsidR="004B1908">
      <w:t>2</w:t>
    </w:r>
    <w:r w:rsidR="00CC4838">
      <w:t>/</w:t>
    </w:r>
    <w:r w:rsidR="00CC4838" w:rsidRPr="00D623A7">
      <w:t>Add.</w:t>
    </w:r>
    <w:r w:rsidR="00425B9D">
      <w:t>1</w:t>
    </w:r>
    <w:r w:rsidR="004B1908">
      <w:t>20</w:t>
    </w:r>
    <w:r w:rsidR="00CC4838" w:rsidRPr="00D623A7">
      <w:t>/Rev.</w:t>
    </w:r>
    <w:r w:rsidR="004B1908">
      <w:t>2</w:t>
    </w:r>
    <w:r w:rsidR="00CC4838" w:rsidRPr="00D623A7">
      <w:t>/Amend.</w:t>
    </w:r>
    <w:r w:rsidR="000D6586">
      <w:t>3</w:t>
    </w:r>
  </w:p>
  <w:p w14:paraId="4823CE24" w14:textId="77777777" w:rsidR="00BF4A36" w:rsidRPr="00BF4A36" w:rsidRDefault="00BF4A36" w:rsidP="00BF4A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09880" w14:textId="77777777" w:rsidR="00D5540C" w:rsidRDefault="00D5540C" w:rsidP="008518D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DE17F08"/>
    <w:multiLevelType w:val="multilevel"/>
    <w:tmpl w:val="3D401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8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4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3" w15:restartNumberingAfterBreak="0">
    <w:nsid w:val="61BF174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7"/>
    </w:lvlOverride>
    <w:lvlOverride w:ilvl="1">
      <w:startOverride w:val="7"/>
    </w:lvlOverride>
    <w:lvlOverride w:ilvl="2">
      <w:startOverride w:val="8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30"/>
    <w:rsid w:val="00007250"/>
    <w:rsid w:val="0001071D"/>
    <w:rsid w:val="000213D5"/>
    <w:rsid w:val="00032C26"/>
    <w:rsid w:val="00050F6B"/>
    <w:rsid w:val="00072C8C"/>
    <w:rsid w:val="00086287"/>
    <w:rsid w:val="000931C0"/>
    <w:rsid w:val="000B175B"/>
    <w:rsid w:val="000B3A0F"/>
    <w:rsid w:val="000C3BA6"/>
    <w:rsid w:val="000D2F72"/>
    <w:rsid w:val="000D3A4F"/>
    <w:rsid w:val="000D6586"/>
    <w:rsid w:val="000E0415"/>
    <w:rsid w:val="000E0A9C"/>
    <w:rsid w:val="000F580C"/>
    <w:rsid w:val="001220B8"/>
    <w:rsid w:val="00134B40"/>
    <w:rsid w:val="001352D9"/>
    <w:rsid w:val="00165E82"/>
    <w:rsid w:val="001B4B04"/>
    <w:rsid w:val="001C6663"/>
    <w:rsid w:val="001C7895"/>
    <w:rsid w:val="001D26DF"/>
    <w:rsid w:val="0020139A"/>
    <w:rsid w:val="00203BCE"/>
    <w:rsid w:val="002070FE"/>
    <w:rsid w:val="00211E0B"/>
    <w:rsid w:val="002405A7"/>
    <w:rsid w:val="00271A7F"/>
    <w:rsid w:val="00272A9C"/>
    <w:rsid w:val="00285C8F"/>
    <w:rsid w:val="00295CB5"/>
    <w:rsid w:val="002A1E3A"/>
    <w:rsid w:val="002A7FC2"/>
    <w:rsid w:val="002D1113"/>
    <w:rsid w:val="003107FA"/>
    <w:rsid w:val="00312E48"/>
    <w:rsid w:val="003229D8"/>
    <w:rsid w:val="0033745A"/>
    <w:rsid w:val="00360F43"/>
    <w:rsid w:val="003852F5"/>
    <w:rsid w:val="0039277A"/>
    <w:rsid w:val="003972E0"/>
    <w:rsid w:val="003C2CC4"/>
    <w:rsid w:val="003C3936"/>
    <w:rsid w:val="003D4B23"/>
    <w:rsid w:val="003F1ED3"/>
    <w:rsid w:val="00425B9D"/>
    <w:rsid w:val="004325CB"/>
    <w:rsid w:val="00440758"/>
    <w:rsid w:val="00445C26"/>
    <w:rsid w:val="00445DB5"/>
    <w:rsid w:val="00446DE4"/>
    <w:rsid w:val="004A2836"/>
    <w:rsid w:val="004A41CA"/>
    <w:rsid w:val="004B1908"/>
    <w:rsid w:val="004D2C93"/>
    <w:rsid w:val="004E3FEB"/>
    <w:rsid w:val="004F5176"/>
    <w:rsid w:val="00503228"/>
    <w:rsid w:val="00504750"/>
    <w:rsid w:val="00505384"/>
    <w:rsid w:val="00530B15"/>
    <w:rsid w:val="005420F2"/>
    <w:rsid w:val="0054561B"/>
    <w:rsid w:val="00582B38"/>
    <w:rsid w:val="005B3DB3"/>
    <w:rsid w:val="005D61CF"/>
    <w:rsid w:val="005E1409"/>
    <w:rsid w:val="00611FC4"/>
    <w:rsid w:val="006176FB"/>
    <w:rsid w:val="00627ED0"/>
    <w:rsid w:val="00640B26"/>
    <w:rsid w:val="0064636E"/>
    <w:rsid w:val="00651737"/>
    <w:rsid w:val="0065215B"/>
    <w:rsid w:val="00665595"/>
    <w:rsid w:val="0069341E"/>
    <w:rsid w:val="00694209"/>
    <w:rsid w:val="006A67EF"/>
    <w:rsid w:val="006A7392"/>
    <w:rsid w:val="006D00FE"/>
    <w:rsid w:val="006D65E5"/>
    <w:rsid w:val="006E564B"/>
    <w:rsid w:val="006F5576"/>
    <w:rsid w:val="00713BD8"/>
    <w:rsid w:val="0072632A"/>
    <w:rsid w:val="00743CD6"/>
    <w:rsid w:val="00750602"/>
    <w:rsid w:val="007530E7"/>
    <w:rsid w:val="00760C4D"/>
    <w:rsid w:val="00765A38"/>
    <w:rsid w:val="00773197"/>
    <w:rsid w:val="00776D12"/>
    <w:rsid w:val="00784B94"/>
    <w:rsid w:val="00787C61"/>
    <w:rsid w:val="007B6BA5"/>
    <w:rsid w:val="007C3390"/>
    <w:rsid w:val="007C4F4B"/>
    <w:rsid w:val="007F0B83"/>
    <w:rsid w:val="007F6611"/>
    <w:rsid w:val="008159AF"/>
    <w:rsid w:val="008175E9"/>
    <w:rsid w:val="008242D7"/>
    <w:rsid w:val="00827E05"/>
    <w:rsid w:val="008311A3"/>
    <w:rsid w:val="00841EB5"/>
    <w:rsid w:val="0084405A"/>
    <w:rsid w:val="008518D5"/>
    <w:rsid w:val="00871FD5"/>
    <w:rsid w:val="008724B7"/>
    <w:rsid w:val="008979B1"/>
    <w:rsid w:val="008A6B25"/>
    <w:rsid w:val="008A6C4F"/>
    <w:rsid w:val="008C3804"/>
    <w:rsid w:val="008E0E46"/>
    <w:rsid w:val="008E725F"/>
    <w:rsid w:val="00907AD2"/>
    <w:rsid w:val="00963CBA"/>
    <w:rsid w:val="009672A1"/>
    <w:rsid w:val="00974A8D"/>
    <w:rsid w:val="00991261"/>
    <w:rsid w:val="009952F1"/>
    <w:rsid w:val="009B7652"/>
    <w:rsid w:val="009F015A"/>
    <w:rsid w:val="009F3A17"/>
    <w:rsid w:val="00A034CA"/>
    <w:rsid w:val="00A1427D"/>
    <w:rsid w:val="00A22277"/>
    <w:rsid w:val="00A41529"/>
    <w:rsid w:val="00A45A11"/>
    <w:rsid w:val="00A569D6"/>
    <w:rsid w:val="00A72F22"/>
    <w:rsid w:val="00A748A6"/>
    <w:rsid w:val="00A85956"/>
    <w:rsid w:val="00A85E41"/>
    <w:rsid w:val="00A879A4"/>
    <w:rsid w:val="00A87FCE"/>
    <w:rsid w:val="00AA4B8A"/>
    <w:rsid w:val="00B1438E"/>
    <w:rsid w:val="00B30179"/>
    <w:rsid w:val="00B32121"/>
    <w:rsid w:val="00B33EC0"/>
    <w:rsid w:val="00B3680D"/>
    <w:rsid w:val="00B701B3"/>
    <w:rsid w:val="00B81E12"/>
    <w:rsid w:val="00BC2683"/>
    <w:rsid w:val="00BC358D"/>
    <w:rsid w:val="00BC6E0B"/>
    <w:rsid w:val="00BC74E9"/>
    <w:rsid w:val="00BD2146"/>
    <w:rsid w:val="00BD221C"/>
    <w:rsid w:val="00BD538F"/>
    <w:rsid w:val="00BE4F74"/>
    <w:rsid w:val="00BE618E"/>
    <w:rsid w:val="00BF4A36"/>
    <w:rsid w:val="00C1099A"/>
    <w:rsid w:val="00C17699"/>
    <w:rsid w:val="00C41A28"/>
    <w:rsid w:val="00C44323"/>
    <w:rsid w:val="00C463DD"/>
    <w:rsid w:val="00C711C7"/>
    <w:rsid w:val="00C71A58"/>
    <w:rsid w:val="00C745C3"/>
    <w:rsid w:val="00C84414"/>
    <w:rsid w:val="00C95D91"/>
    <w:rsid w:val="00CC4838"/>
    <w:rsid w:val="00CD6208"/>
    <w:rsid w:val="00CE4A8F"/>
    <w:rsid w:val="00CE5E33"/>
    <w:rsid w:val="00CF4C18"/>
    <w:rsid w:val="00D2031B"/>
    <w:rsid w:val="00D25FE2"/>
    <w:rsid w:val="00D317BB"/>
    <w:rsid w:val="00D43252"/>
    <w:rsid w:val="00D5540C"/>
    <w:rsid w:val="00D623A7"/>
    <w:rsid w:val="00D62A81"/>
    <w:rsid w:val="00D6614F"/>
    <w:rsid w:val="00D74225"/>
    <w:rsid w:val="00D978C6"/>
    <w:rsid w:val="00DA67AD"/>
    <w:rsid w:val="00DB5D0F"/>
    <w:rsid w:val="00DC3F07"/>
    <w:rsid w:val="00DF12F7"/>
    <w:rsid w:val="00DF3A2D"/>
    <w:rsid w:val="00E02C81"/>
    <w:rsid w:val="00E10908"/>
    <w:rsid w:val="00E130AB"/>
    <w:rsid w:val="00E20CBA"/>
    <w:rsid w:val="00E313A7"/>
    <w:rsid w:val="00E506F0"/>
    <w:rsid w:val="00E511B0"/>
    <w:rsid w:val="00E53330"/>
    <w:rsid w:val="00E7260F"/>
    <w:rsid w:val="00E77FF9"/>
    <w:rsid w:val="00E87921"/>
    <w:rsid w:val="00E96630"/>
    <w:rsid w:val="00EA0206"/>
    <w:rsid w:val="00EA0ED6"/>
    <w:rsid w:val="00EA264E"/>
    <w:rsid w:val="00EC75F2"/>
    <w:rsid w:val="00ED3114"/>
    <w:rsid w:val="00ED7A2A"/>
    <w:rsid w:val="00ED7F82"/>
    <w:rsid w:val="00EE0446"/>
    <w:rsid w:val="00EF0CD1"/>
    <w:rsid w:val="00EF1D7F"/>
    <w:rsid w:val="00F134E9"/>
    <w:rsid w:val="00F43A63"/>
    <w:rsid w:val="00F43C58"/>
    <w:rsid w:val="00F53EDA"/>
    <w:rsid w:val="00F55704"/>
    <w:rsid w:val="00F60A2D"/>
    <w:rsid w:val="00F67B72"/>
    <w:rsid w:val="00F7753D"/>
    <w:rsid w:val="00F85F34"/>
    <w:rsid w:val="00FA06F7"/>
    <w:rsid w:val="00FA2495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4:docId w14:val="46B0A858"/>
  <w15:docId w15:val="{31FFB701-ADE8-4EE5-A618-06C1B40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">
    <w:name w:val="Footnote Text Char"/>
    <w:aliases w:val="5_G Char,PP Char,5_G_6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Table_G Char"/>
    <w:link w:val="Heading1"/>
    <w:rsid w:val="0001071D"/>
    <w:rPr>
      <w:lang w:eastAsia="en-US"/>
    </w:rPr>
  </w:style>
  <w:style w:type="character" w:customStyle="1" w:styleId="paraChar">
    <w:name w:val="para Char"/>
    <w:link w:val="para"/>
    <w:locked/>
    <w:rsid w:val="0001071D"/>
    <w:rPr>
      <w:lang w:eastAsia="en-US"/>
    </w:rPr>
  </w:style>
  <w:style w:type="paragraph" w:styleId="ListParagraph">
    <w:name w:val="List Paragraph"/>
    <w:basedOn w:val="Normal"/>
    <w:uiPriority w:val="34"/>
    <w:qFormat/>
    <w:rsid w:val="00F60A2D"/>
    <w:pPr>
      <w:ind w:left="720"/>
      <w:contextualSpacing/>
    </w:pPr>
    <w:rPr>
      <w:lang w:val="fr-CH"/>
    </w:rPr>
  </w:style>
  <w:style w:type="numbering" w:styleId="ArticleSection">
    <w:name w:val="Outline List 3"/>
    <w:basedOn w:val="NoList"/>
    <w:rsid w:val="00CC483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0DD0B-BCB4-4C78-BDF0-0945E6B2BE85}"/>
</file>

<file path=customXml/itemProps2.xml><?xml version="1.0" encoding="utf-8"?>
<ds:datastoreItem xmlns:ds="http://schemas.openxmlformats.org/officeDocument/2006/customXml" ds:itemID="{FA53E9FD-4621-4C52-99B7-C051BDA1B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BC28C-0A82-4A69-A5A6-190A72796ECA}">
  <ds:schemaRefs>
    <ds:schemaRef ds:uri="4b4a1c0d-4a69-4996-a84a-fc699b9f49de"/>
    <ds:schemaRef ds:uri="http://schemas.microsoft.com/office/2006/documentManagement/types"/>
    <ds:schemaRef ds:uri="acccb6d4-dbe5-46d2-b4d3-5733603d8cc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1526</Characters>
  <Application>Microsoft Office Word</Application>
  <DocSecurity>0</DocSecurity>
  <Lines>159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E/ECE/324/Rev.2/Add.120/Rev.2/Amend.4</dc:title>
  <dc:subject>2014499</dc:subject>
  <dc:creator>Una Philippa GILTSOFF</dc:creator>
  <cp:keywords/>
  <dc:description/>
  <cp:lastModifiedBy>Una Philippa GILTSOFF</cp:lastModifiedBy>
  <cp:revision>2</cp:revision>
  <cp:lastPrinted>2015-05-06T11:39:00Z</cp:lastPrinted>
  <dcterms:created xsi:type="dcterms:W3CDTF">2020-11-02T15:51:00Z</dcterms:created>
  <dcterms:modified xsi:type="dcterms:W3CDTF">2020-11-02T15:51:00Z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2454400</vt:r8>
  </property>
</Properties>
</file>