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5DD8" w14:textId="43D0978A" w:rsidR="00E77523" w:rsidRDefault="00C337ED" w:rsidP="00C337ED">
      <w:pPr>
        <w:pStyle w:val="HChG"/>
        <w:ind w:right="567"/>
      </w:pPr>
      <w:r>
        <w:tab/>
      </w:r>
      <w:r>
        <w:tab/>
      </w:r>
      <w:r w:rsidR="00F7244A">
        <w:t xml:space="preserve">OICA comments to the Draft Regulation on Direct Vision </w:t>
      </w:r>
    </w:p>
    <w:p w14:paraId="34526A04" w14:textId="71E19756" w:rsidR="00F7244A" w:rsidRPr="00F7244A" w:rsidRDefault="00F7244A" w:rsidP="00F7244A">
      <w:pPr>
        <w:jc w:val="center"/>
      </w:pPr>
      <w:r>
        <w:t>(document</w:t>
      </w:r>
      <w:r w:rsidR="00454268">
        <w:t>s</w:t>
      </w:r>
      <w:r>
        <w:t xml:space="preserve"> GRSG-122-24</w:t>
      </w:r>
      <w:r w:rsidR="00454268">
        <w:t xml:space="preserve"> &amp; GRSG-122-25</w:t>
      </w:r>
      <w:r>
        <w:t>)</w:t>
      </w:r>
    </w:p>
    <w:p w14:paraId="49961D5A" w14:textId="77777777" w:rsidR="00E426C8" w:rsidRPr="00E426C8" w:rsidRDefault="00E426C8" w:rsidP="00E426C8"/>
    <w:p w14:paraId="2E9FFC10" w14:textId="2DDD49EA" w:rsidR="00B37BE8" w:rsidRDefault="00F7244A" w:rsidP="000D246D">
      <w:pPr>
        <w:pStyle w:val="HChG"/>
        <w:numPr>
          <w:ilvl w:val="0"/>
          <w:numId w:val="1"/>
        </w:numPr>
        <w:rPr>
          <w:bCs/>
        </w:rPr>
      </w:pPr>
      <w:r w:rsidRPr="00F7244A">
        <w:rPr>
          <w:bCs/>
        </w:rPr>
        <w:t>General comment:</w:t>
      </w:r>
    </w:p>
    <w:p w14:paraId="0BE1EBE9" w14:textId="77777777" w:rsidR="00270B57" w:rsidRDefault="00F7244A" w:rsidP="00F7244A">
      <w:pPr>
        <w:spacing w:before="120" w:after="240"/>
        <w:ind w:left="851" w:right="1134"/>
        <w:jc w:val="both"/>
        <w:rPr>
          <w:iCs/>
        </w:rPr>
      </w:pPr>
      <w:r w:rsidRPr="00F7244A">
        <w:rPr>
          <w:iCs/>
        </w:rPr>
        <w:t xml:space="preserve">The presentation </w:t>
      </w:r>
      <w:r w:rsidR="00C9090D">
        <w:t>GRSG-122-</w:t>
      </w:r>
      <w:r w:rsidR="00454268">
        <w:t xml:space="preserve">25 </w:t>
      </w:r>
      <w:r w:rsidR="00C9090D">
        <w:rPr>
          <w:iCs/>
        </w:rPr>
        <w:t>may be misleading since it presumes</w:t>
      </w:r>
      <w:r w:rsidRPr="00F7244A">
        <w:rPr>
          <w:iCs/>
        </w:rPr>
        <w:t xml:space="preserve"> that the </w:t>
      </w:r>
      <w:r w:rsidR="00C9090D" w:rsidRPr="00F7244A">
        <w:rPr>
          <w:iCs/>
        </w:rPr>
        <w:t xml:space="preserve">proposed </w:t>
      </w:r>
      <w:r w:rsidR="00C9090D">
        <w:rPr>
          <w:iCs/>
        </w:rPr>
        <w:t>criterion</w:t>
      </w:r>
      <w:r w:rsidR="00C9090D" w:rsidRPr="00F7244A">
        <w:rPr>
          <w:iCs/>
        </w:rPr>
        <w:t xml:space="preserve"> </w:t>
      </w:r>
      <w:r w:rsidRPr="00F7244A">
        <w:rPr>
          <w:iCs/>
        </w:rPr>
        <w:t xml:space="preserve">for </w:t>
      </w:r>
      <w:r w:rsidR="00270B57">
        <w:rPr>
          <w:iCs/>
        </w:rPr>
        <w:t>d</w:t>
      </w:r>
      <w:r w:rsidRPr="00F7244A">
        <w:rPr>
          <w:iCs/>
        </w:rPr>
        <w:t xml:space="preserve">irect vision is all about the design of the truck cab. However, the absolute largest part of the volumetric performance is a </w:t>
      </w:r>
      <w:r w:rsidR="00C9090D">
        <w:rPr>
          <w:iCs/>
        </w:rPr>
        <w:t>direct function</w:t>
      </w:r>
      <w:r w:rsidRPr="00F7244A">
        <w:rPr>
          <w:iCs/>
        </w:rPr>
        <w:t xml:space="preserve"> of the truck chassis height and the </w:t>
      </w:r>
      <w:r w:rsidR="00C9090D" w:rsidRPr="00F7244A">
        <w:rPr>
          <w:iCs/>
        </w:rPr>
        <w:t xml:space="preserve">cab floor </w:t>
      </w:r>
      <w:r w:rsidR="00270B57" w:rsidRPr="00F7244A">
        <w:rPr>
          <w:iCs/>
        </w:rPr>
        <w:t>height,</w:t>
      </w:r>
      <w:r w:rsidRPr="00F7244A">
        <w:rPr>
          <w:iCs/>
        </w:rPr>
        <w:t xml:space="preserve"> </w:t>
      </w:r>
      <w:r w:rsidR="00C9090D">
        <w:rPr>
          <w:iCs/>
        </w:rPr>
        <w:t xml:space="preserve">and these characteristics are </w:t>
      </w:r>
      <w:r w:rsidRPr="00F7244A">
        <w:rPr>
          <w:iCs/>
        </w:rPr>
        <w:t xml:space="preserve">driven by transportation needs rather than design parameters that a truck manufacturer can influence. </w:t>
      </w:r>
    </w:p>
    <w:p w14:paraId="30BB2CE3" w14:textId="3B4CC9AE" w:rsidR="00C07288" w:rsidRDefault="00F7244A" w:rsidP="00F7244A">
      <w:pPr>
        <w:spacing w:before="120" w:after="240"/>
        <w:ind w:left="851" w:right="1134"/>
        <w:jc w:val="both"/>
        <w:rPr>
          <w:iCs/>
        </w:rPr>
      </w:pPr>
      <w:r w:rsidRPr="00F7244A">
        <w:rPr>
          <w:iCs/>
        </w:rPr>
        <w:t xml:space="preserve">With limit values </w:t>
      </w:r>
      <w:r w:rsidR="00C9090D">
        <w:rPr>
          <w:iCs/>
        </w:rPr>
        <w:t>pushed so</w:t>
      </w:r>
      <w:r w:rsidRPr="00F7244A">
        <w:rPr>
          <w:iCs/>
        </w:rPr>
        <w:t xml:space="preserve"> far</w:t>
      </w:r>
      <w:r w:rsidR="00C9090D">
        <w:rPr>
          <w:iCs/>
        </w:rPr>
        <w:t xml:space="preserve"> as in the proposal</w:t>
      </w:r>
      <w:r w:rsidRPr="00F7244A">
        <w:rPr>
          <w:iCs/>
        </w:rPr>
        <w:t xml:space="preserve">, the Direct Vision requirement becomes primarily a limitation on chassis height, secondly a limitation on cab floor height and only </w:t>
      </w:r>
      <w:r w:rsidR="00C9090D">
        <w:rPr>
          <w:iCs/>
        </w:rPr>
        <w:t>thirdly</w:t>
      </w:r>
      <w:r w:rsidR="00C9090D" w:rsidRPr="00F7244A">
        <w:rPr>
          <w:iCs/>
        </w:rPr>
        <w:t xml:space="preserve"> </w:t>
      </w:r>
      <w:r w:rsidRPr="00F7244A">
        <w:rPr>
          <w:iCs/>
        </w:rPr>
        <w:t xml:space="preserve">a design requirement for cab properties. This will result in </w:t>
      </w:r>
      <w:r w:rsidR="00C9090D">
        <w:rPr>
          <w:iCs/>
        </w:rPr>
        <w:t>detrimental</w:t>
      </w:r>
      <w:r w:rsidR="00C9090D" w:rsidRPr="00F7244A">
        <w:rPr>
          <w:iCs/>
        </w:rPr>
        <w:t xml:space="preserve"> </w:t>
      </w:r>
      <w:r w:rsidRPr="00F7244A">
        <w:rPr>
          <w:iCs/>
        </w:rPr>
        <w:t xml:space="preserve">effects on society and transport efficiency. </w:t>
      </w:r>
      <w:r w:rsidR="00C9090D">
        <w:rPr>
          <w:iCs/>
        </w:rPr>
        <w:t>OICA point</w:t>
      </w:r>
      <w:r w:rsidR="00454268">
        <w:rPr>
          <w:iCs/>
        </w:rPr>
        <w:t>s</w:t>
      </w:r>
      <w:r w:rsidR="00C9090D">
        <w:rPr>
          <w:iCs/>
        </w:rPr>
        <w:t xml:space="preserve"> out that such pure direct vision requirements </w:t>
      </w:r>
      <w:r w:rsidR="00454268">
        <w:rPr>
          <w:iCs/>
        </w:rPr>
        <w:t>will remove existing, approved vehicles from the market</w:t>
      </w:r>
      <w:r w:rsidRPr="00F7244A">
        <w:rPr>
          <w:iCs/>
        </w:rPr>
        <w:t>.</w:t>
      </w:r>
    </w:p>
    <w:p w14:paraId="52CDCE40" w14:textId="77777777" w:rsidR="00C9090D" w:rsidRPr="00C9090D" w:rsidRDefault="00C9090D" w:rsidP="00C9090D">
      <w:pPr>
        <w:pStyle w:val="HChG"/>
        <w:numPr>
          <w:ilvl w:val="0"/>
          <w:numId w:val="1"/>
        </w:numPr>
        <w:rPr>
          <w:bCs/>
        </w:rPr>
      </w:pPr>
      <w:r w:rsidRPr="00C9090D">
        <w:rPr>
          <w:bCs/>
        </w:rPr>
        <w:t>Slide 3:</w:t>
      </w:r>
    </w:p>
    <w:p w14:paraId="3C6E41C6" w14:textId="45905EEA" w:rsidR="00C9090D" w:rsidRPr="00C9090D" w:rsidRDefault="00454268" w:rsidP="00C9090D">
      <w:pPr>
        <w:spacing w:before="120" w:after="240"/>
        <w:ind w:left="851" w:right="1134"/>
        <w:rPr>
          <w:iCs/>
        </w:rPr>
      </w:pPr>
      <w:r w:rsidRPr="00270B57">
        <w:rPr>
          <w:iCs/>
        </w:rPr>
        <w:t>The</w:t>
      </w:r>
      <w:r w:rsidR="00C9090D" w:rsidRPr="00C9090D">
        <w:rPr>
          <w:iCs/>
        </w:rPr>
        <w:t xml:space="preserve"> “excellent correlation” </w:t>
      </w:r>
      <w:r w:rsidRPr="00270B57">
        <w:rPr>
          <w:iCs/>
        </w:rPr>
        <w:t xml:space="preserve">[between the proposed simplified test and the CAD data analysis] implies to evaluate </w:t>
      </w:r>
      <w:r w:rsidR="00C9090D" w:rsidRPr="00C9090D">
        <w:rPr>
          <w:iCs/>
        </w:rPr>
        <w:t xml:space="preserve">a huge amount of test positions, which contradicts </w:t>
      </w:r>
      <w:r w:rsidRPr="00270B57">
        <w:rPr>
          <w:iCs/>
        </w:rPr>
        <w:t>the objective of a</w:t>
      </w:r>
      <w:r w:rsidRPr="00C9090D">
        <w:rPr>
          <w:iCs/>
        </w:rPr>
        <w:t xml:space="preserve"> </w:t>
      </w:r>
      <w:r w:rsidR="00C9090D" w:rsidRPr="00C9090D">
        <w:rPr>
          <w:iCs/>
        </w:rPr>
        <w:t xml:space="preserve">simplification of a physical method. </w:t>
      </w:r>
      <w:r w:rsidRPr="00270B57">
        <w:rPr>
          <w:iCs/>
        </w:rPr>
        <w:t xml:space="preserve">OICA urges the Technical Services and GRSG experts to </w:t>
      </w:r>
      <w:r w:rsidR="00C9090D" w:rsidRPr="00C9090D">
        <w:rPr>
          <w:iCs/>
        </w:rPr>
        <w:t xml:space="preserve">really look to the physical test method proposed with regards to feasibility during type-approval or market surveillance </w:t>
      </w:r>
      <w:r w:rsidRPr="00270B57">
        <w:rPr>
          <w:iCs/>
        </w:rPr>
        <w:t xml:space="preserve">(e.g. </w:t>
      </w:r>
      <w:r w:rsidR="00C9090D" w:rsidRPr="00C9090D">
        <w:rPr>
          <w:iCs/>
        </w:rPr>
        <w:t>in the EU</w:t>
      </w:r>
      <w:r w:rsidRPr="00270B57">
        <w:rPr>
          <w:iCs/>
        </w:rPr>
        <w:t>)</w:t>
      </w:r>
      <w:r w:rsidR="00C9090D" w:rsidRPr="00C9090D">
        <w:rPr>
          <w:iCs/>
        </w:rPr>
        <w:t>, to help finding the best compromise.</w:t>
      </w:r>
    </w:p>
    <w:p w14:paraId="6CDE0F36" w14:textId="18C1D94B" w:rsidR="00C9090D" w:rsidRPr="00C9090D" w:rsidRDefault="00C9090D" w:rsidP="00C9090D">
      <w:pPr>
        <w:spacing w:before="120" w:after="240"/>
        <w:ind w:left="851" w:right="1134"/>
        <w:rPr>
          <w:iCs/>
        </w:rPr>
      </w:pPr>
      <w:r w:rsidRPr="00C9090D">
        <w:rPr>
          <w:iCs/>
        </w:rPr>
        <w:t xml:space="preserve">The method </w:t>
      </w:r>
      <w:r w:rsidR="00454268">
        <w:rPr>
          <w:iCs/>
        </w:rPr>
        <w:t>was never</w:t>
      </w:r>
      <w:r w:rsidRPr="00C9090D">
        <w:rPr>
          <w:iCs/>
        </w:rPr>
        <w:t xml:space="preserve"> evaluated by Technical Services</w:t>
      </w:r>
      <w:r w:rsidR="00454268">
        <w:rPr>
          <w:iCs/>
        </w:rPr>
        <w:t xml:space="preserve"> to date</w:t>
      </w:r>
      <w:r w:rsidRPr="00C9090D">
        <w:rPr>
          <w:iCs/>
        </w:rPr>
        <w:t xml:space="preserve"> and not yet performed by manufacturers. </w:t>
      </w:r>
      <w:r w:rsidR="00454268">
        <w:rPr>
          <w:iCs/>
        </w:rPr>
        <w:t>OICA requests that sound</w:t>
      </w:r>
      <w:r w:rsidR="00454268" w:rsidRPr="00C9090D">
        <w:rPr>
          <w:iCs/>
        </w:rPr>
        <w:t xml:space="preserve"> </w:t>
      </w:r>
      <w:r w:rsidRPr="00C9090D">
        <w:rPr>
          <w:iCs/>
        </w:rPr>
        <w:t xml:space="preserve">opinion from the Technical Services </w:t>
      </w:r>
      <w:r w:rsidR="00454268">
        <w:rPr>
          <w:iCs/>
        </w:rPr>
        <w:t>be at the basis of a GRSG decision about</w:t>
      </w:r>
      <w:r w:rsidRPr="00C9090D">
        <w:rPr>
          <w:iCs/>
        </w:rPr>
        <w:t xml:space="preserve"> the </w:t>
      </w:r>
      <w:r w:rsidR="00454268">
        <w:rPr>
          <w:iCs/>
        </w:rPr>
        <w:t xml:space="preserve">proposed </w:t>
      </w:r>
      <w:r w:rsidRPr="00C9090D">
        <w:rPr>
          <w:iCs/>
        </w:rPr>
        <w:t>method.</w:t>
      </w:r>
    </w:p>
    <w:p w14:paraId="2C1A552A" w14:textId="77777777" w:rsidR="00C9090D" w:rsidRPr="00C9090D" w:rsidRDefault="00C9090D" w:rsidP="00C9090D">
      <w:pPr>
        <w:pStyle w:val="HChG"/>
        <w:numPr>
          <w:ilvl w:val="0"/>
          <w:numId w:val="1"/>
        </w:numPr>
        <w:rPr>
          <w:bCs/>
        </w:rPr>
      </w:pPr>
      <w:r w:rsidRPr="00C9090D">
        <w:rPr>
          <w:bCs/>
        </w:rPr>
        <w:t>Slide 6:</w:t>
      </w:r>
    </w:p>
    <w:p w14:paraId="0941EC66" w14:textId="7932EA37" w:rsidR="00C9090D" w:rsidRPr="00C9090D" w:rsidRDefault="00454268" w:rsidP="00C9090D">
      <w:pPr>
        <w:spacing w:before="120" w:after="240"/>
        <w:ind w:left="851" w:right="1134"/>
        <w:rPr>
          <w:iCs/>
        </w:rPr>
      </w:pPr>
      <w:r>
        <w:rPr>
          <w:iCs/>
        </w:rPr>
        <w:t>the</w:t>
      </w:r>
      <w:r w:rsidR="00C9090D" w:rsidRPr="00C9090D">
        <w:rPr>
          <w:iCs/>
        </w:rPr>
        <w:t xml:space="preserve"> truck</w:t>
      </w:r>
      <w:r>
        <w:rPr>
          <w:iCs/>
        </w:rPr>
        <w:t xml:space="preserve"> shown in this slide</w:t>
      </w:r>
      <w:r w:rsidR="00C9090D" w:rsidRPr="00C9090D">
        <w:rPr>
          <w:iCs/>
        </w:rPr>
        <w:t xml:space="preserve"> is a worst case scenario. Also some of the grey VRU</w:t>
      </w:r>
      <w:r>
        <w:rPr>
          <w:iCs/>
        </w:rPr>
        <w:t>s</w:t>
      </w:r>
      <w:r w:rsidR="00C9090D" w:rsidRPr="00C9090D">
        <w:rPr>
          <w:iCs/>
        </w:rPr>
        <w:t xml:space="preserve"> are covered by MOIS and BSIS as from 2024. Indeed a vehicle with such bad performance as shown in the picture should be improved to </w:t>
      </w:r>
      <w:r w:rsidRPr="00C9090D">
        <w:rPr>
          <w:iCs/>
        </w:rPr>
        <w:t>accommodate</w:t>
      </w:r>
      <w:r w:rsidR="00C9090D" w:rsidRPr="00C9090D">
        <w:rPr>
          <w:iCs/>
        </w:rPr>
        <w:t xml:space="preserve"> the new regulation.</w:t>
      </w:r>
    </w:p>
    <w:p w14:paraId="227AEB02" w14:textId="5AA5A03D" w:rsidR="00C9090D" w:rsidRPr="00C9090D" w:rsidRDefault="00C9090D" w:rsidP="00C9090D">
      <w:pPr>
        <w:pStyle w:val="HChG"/>
        <w:numPr>
          <w:ilvl w:val="0"/>
          <w:numId w:val="1"/>
        </w:numPr>
        <w:rPr>
          <w:bCs/>
        </w:rPr>
      </w:pPr>
      <w:r w:rsidRPr="00C9090D">
        <w:rPr>
          <w:bCs/>
        </w:rPr>
        <w:t>Slide 7:</w:t>
      </w:r>
    </w:p>
    <w:p w14:paraId="6FA52695" w14:textId="6D39EE26" w:rsidR="00A919B4" w:rsidRDefault="00A919B4" w:rsidP="00C9090D">
      <w:pPr>
        <w:spacing w:before="120" w:after="240"/>
        <w:ind w:left="851" w:right="1134"/>
        <w:rPr>
          <w:iCs/>
        </w:rPr>
      </w:pPr>
      <w:r>
        <w:rPr>
          <w:iCs/>
        </w:rPr>
        <w:t>“</w:t>
      </w:r>
      <w:r w:rsidR="00C9090D" w:rsidRPr="00C9090D">
        <w:rPr>
          <w:iCs/>
        </w:rPr>
        <w:t>Mal-adjusted mirrors</w:t>
      </w:r>
      <w:r>
        <w:rPr>
          <w:iCs/>
        </w:rPr>
        <w:t>”</w:t>
      </w:r>
      <w:r w:rsidR="00C9090D" w:rsidRPr="00C9090D">
        <w:rPr>
          <w:iCs/>
        </w:rPr>
        <w:t xml:space="preserve"> is a matter of user behaviour, should not be used as an arguments since the same argument </w:t>
      </w:r>
      <w:r>
        <w:rPr>
          <w:iCs/>
        </w:rPr>
        <w:t>could then</w:t>
      </w:r>
      <w:r w:rsidRPr="00C9090D">
        <w:rPr>
          <w:iCs/>
        </w:rPr>
        <w:t xml:space="preserve"> </w:t>
      </w:r>
      <w:r w:rsidR="00C9090D" w:rsidRPr="00C9090D">
        <w:rPr>
          <w:iCs/>
        </w:rPr>
        <w:t>be used against direct vision: some field data suggests that accidents occurred despite VRU was visible</w:t>
      </w:r>
      <w:r>
        <w:rPr>
          <w:iCs/>
        </w:rPr>
        <w:t>,</w:t>
      </w:r>
      <w:r w:rsidR="00C9090D" w:rsidRPr="00C9090D">
        <w:rPr>
          <w:iCs/>
        </w:rPr>
        <w:t xml:space="preserve"> </w:t>
      </w:r>
      <w:r>
        <w:rPr>
          <w:iCs/>
        </w:rPr>
        <w:t>because</w:t>
      </w:r>
      <w:r w:rsidRPr="00C9090D">
        <w:rPr>
          <w:iCs/>
        </w:rPr>
        <w:t xml:space="preserve"> </w:t>
      </w:r>
      <w:r w:rsidR="00C9090D" w:rsidRPr="00C9090D">
        <w:rPr>
          <w:iCs/>
        </w:rPr>
        <w:t xml:space="preserve">the driver didn’t look in the right direction. </w:t>
      </w:r>
    </w:p>
    <w:p w14:paraId="60966C8A" w14:textId="23D5B66D" w:rsidR="00C9090D" w:rsidRPr="00C9090D" w:rsidRDefault="00A919B4" w:rsidP="00C9090D">
      <w:pPr>
        <w:spacing w:before="120" w:after="240"/>
        <w:ind w:left="851" w:right="1134"/>
        <w:rPr>
          <w:iCs/>
        </w:rPr>
      </w:pPr>
      <w:r>
        <w:rPr>
          <w:iCs/>
        </w:rPr>
        <w:t>OICA points out that Type Approval requirements and in-use behaviour should not be mixed-up</w:t>
      </w:r>
      <w:r w:rsidR="00C9090D" w:rsidRPr="00C9090D">
        <w:rPr>
          <w:iCs/>
        </w:rPr>
        <w:t xml:space="preserve">. </w:t>
      </w:r>
      <w:r>
        <w:rPr>
          <w:iCs/>
        </w:rPr>
        <w:t>As an example, the driver could place something on the dashboard, thereby jeopardising the direct vision, in a vehicle perfectly complying with the Type Approval requirements</w:t>
      </w:r>
      <w:r w:rsidR="00C9090D" w:rsidRPr="00C9090D">
        <w:rPr>
          <w:iCs/>
        </w:rPr>
        <w:t xml:space="preserve">. </w:t>
      </w:r>
      <w:r>
        <w:rPr>
          <w:iCs/>
        </w:rPr>
        <w:t>the concern of mirrors mal-adjustment can also be solved with CMS.</w:t>
      </w:r>
    </w:p>
    <w:p w14:paraId="68F0513D" w14:textId="77777777" w:rsidR="00C9090D" w:rsidRPr="00C9090D" w:rsidRDefault="00C9090D" w:rsidP="00C9090D">
      <w:pPr>
        <w:pStyle w:val="HChG"/>
        <w:numPr>
          <w:ilvl w:val="0"/>
          <w:numId w:val="1"/>
        </w:numPr>
        <w:rPr>
          <w:bCs/>
        </w:rPr>
      </w:pPr>
      <w:r w:rsidRPr="00C9090D">
        <w:rPr>
          <w:bCs/>
        </w:rPr>
        <w:lastRenderedPageBreak/>
        <w:t xml:space="preserve">Slide 9-11: </w:t>
      </w:r>
    </w:p>
    <w:p w14:paraId="66697BB5" w14:textId="17FE71DF" w:rsidR="00C9090D" w:rsidRPr="00C9090D" w:rsidRDefault="00A919B4" w:rsidP="00C9090D">
      <w:pPr>
        <w:spacing w:before="120" w:after="240"/>
        <w:ind w:left="851" w:right="1134"/>
        <w:rPr>
          <w:iCs/>
        </w:rPr>
      </w:pPr>
      <w:r>
        <w:rPr>
          <w:iCs/>
        </w:rPr>
        <w:t xml:space="preserve">These slides seem to forget the provisions of </w:t>
      </w:r>
      <w:r w:rsidR="00C9090D" w:rsidRPr="00C9090D">
        <w:rPr>
          <w:iCs/>
        </w:rPr>
        <w:t xml:space="preserve">MOIS and the BSIS for the proposed levels. </w:t>
      </w:r>
    </w:p>
    <w:p w14:paraId="76EECD7D" w14:textId="77777777" w:rsidR="00C9090D" w:rsidRPr="00C9090D" w:rsidRDefault="00C9090D" w:rsidP="00C9090D">
      <w:pPr>
        <w:pStyle w:val="HChG"/>
        <w:numPr>
          <w:ilvl w:val="0"/>
          <w:numId w:val="1"/>
        </w:numPr>
        <w:rPr>
          <w:bCs/>
        </w:rPr>
      </w:pPr>
      <w:r w:rsidRPr="00C9090D">
        <w:rPr>
          <w:bCs/>
        </w:rPr>
        <w:t xml:space="preserve">Slide 11: </w:t>
      </w:r>
    </w:p>
    <w:p w14:paraId="655FC59A" w14:textId="77777777" w:rsidR="007B4506" w:rsidRDefault="00C9090D" w:rsidP="00C9090D">
      <w:pPr>
        <w:spacing w:before="120" w:after="240"/>
        <w:ind w:left="851" w:right="1134"/>
        <w:rPr>
          <w:iCs/>
        </w:rPr>
      </w:pPr>
      <w:r w:rsidRPr="00C9090D">
        <w:rPr>
          <w:iCs/>
        </w:rPr>
        <w:t>In the current draft text of the regulation</w:t>
      </w:r>
      <w:r w:rsidR="006D32CF" w:rsidRPr="007B4506">
        <w:rPr>
          <w:iCs/>
        </w:rPr>
        <w:t>, the</w:t>
      </w:r>
      <w:r w:rsidRPr="00C9090D">
        <w:rPr>
          <w:iCs/>
        </w:rPr>
        <w:t xml:space="preserve"> requirements for different volumes around the vehicle are specified (see table 1 in GRSG-122-24). The “translation” of these volumes with respect to the shown field of indirect view cannot be achieved easily – </w:t>
      </w:r>
      <w:r w:rsidR="006D32CF" w:rsidRPr="007B4506">
        <w:rPr>
          <w:iCs/>
        </w:rPr>
        <w:t>it is unclear whether</w:t>
      </w:r>
      <w:r w:rsidRPr="00C9090D">
        <w:rPr>
          <w:iCs/>
        </w:rPr>
        <w:t xml:space="preserve"> this means an overlap of 1,2,3 or even more “rows” of ‘green’ VRU</w:t>
      </w:r>
      <w:r w:rsidR="006D32CF" w:rsidRPr="007B4506">
        <w:rPr>
          <w:iCs/>
        </w:rPr>
        <w:t>s</w:t>
      </w:r>
      <w:r w:rsidRPr="00C9090D">
        <w:rPr>
          <w:iCs/>
        </w:rPr>
        <w:t xml:space="preserve"> with the indirect field of vision. Therefore </w:t>
      </w:r>
      <w:r w:rsidR="006D32CF" w:rsidRPr="007B4506">
        <w:rPr>
          <w:iCs/>
        </w:rPr>
        <w:t>OICA urges the GRSG experts to</w:t>
      </w:r>
      <w:r w:rsidRPr="00C9090D">
        <w:rPr>
          <w:iCs/>
        </w:rPr>
        <w:t xml:space="preserve"> closely review these proposed limit values. </w:t>
      </w:r>
    </w:p>
    <w:p w14:paraId="424E2FD1" w14:textId="57374104" w:rsidR="00C9090D" w:rsidRPr="00C9090D" w:rsidRDefault="00C9090D" w:rsidP="00C9090D">
      <w:pPr>
        <w:spacing w:before="120" w:after="240"/>
        <w:ind w:left="851" w:right="1134"/>
        <w:rPr>
          <w:iCs/>
        </w:rPr>
      </w:pPr>
      <w:r w:rsidRPr="00C9090D">
        <w:rPr>
          <w:i/>
          <w:iCs/>
        </w:rPr>
        <w:t xml:space="preserve">Note: There is </w:t>
      </w:r>
      <w:r w:rsidR="006D32CF" w:rsidRPr="007B4506">
        <w:rPr>
          <w:i/>
          <w:iCs/>
        </w:rPr>
        <w:t xml:space="preserve">currently </w:t>
      </w:r>
      <w:r w:rsidRPr="00C9090D">
        <w:rPr>
          <w:i/>
          <w:iCs/>
        </w:rPr>
        <w:t xml:space="preserve">no consensus about the </w:t>
      </w:r>
      <w:r w:rsidR="006D32CF" w:rsidRPr="007B4506">
        <w:rPr>
          <w:i/>
          <w:iCs/>
        </w:rPr>
        <w:t>l</w:t>
      </w:r>
      <w:r w:rsidRPr="00C9090D">
        <w:rPr>
          <w:i/>
          <w:iCs/>
        </w:rPr>
        <w:t>imit values in the IWG</w:t>
      </w:r>
      <w:r w:rsidR="006D32CF" w:rsidRPr="007B4506">
        <w:rPr>
          <w:i/>
          <w:iCs/>
        </w:rPr>
        <w:t xml:space="preserve"> VRU-Proxi</w:t>
      </w:r>
      <w:r w:rsidRPr="00C9090D">
        <w:rPr>
          <w:i/>
          <w:iCs/>
        </w:rPr>
        <w:t>. Nevertheless, ‘[ ]’ were removed by a majority during last IWG session</w:t>
      </w:r>
      <w:r w:rsidR="00ED54A7">
        <w:rPr>
          <w:i/>
          <w:iCs/>
        </w:rPr>
        <w:t>.</w:t>
      </w:r>
    </w:p>
    <w:p w14:paraId="629F2C03" w14:textId="692FDF0D" w:rsidR="00C9090D" w:rsidRPr="00C9090D" w:rsidRDefault="003C5F8E" w:rsidP="00C9090D">
      <w:pPr>
        <w:pStyle w:val="HChG"/>
        <w:numPr>
          <w:ilvl w:val="0"/>
          <w:numId w:val="1"/>
        </w:numPr>
        <w:rPr>
          <w:bCs/>
        </w:rPr>
      </w:pPr>
      <w:r>
        <w:rPr>
          <w:bCs/>
        </w:rPr>
        <w:t xml:space="preserve">  </w:t>
      </w:r>
      <w:r w:rsidR="00C9090D" w:rsidRPr="00C9090D">
        <w:rPr>
          <w:bCs/>
        </w:rPr>
        <w:t>Slide 12:</w:t>
      </w:r>
    </w:p>
    <w:p w14:paraId="0F684795" w14:textId="41027879" w:rsidR="00C9090D" w:rsidRPr="00C9090D" w:rsidRDefault="00C9090D" w:rsidP="00C9090D">
      <w:pPr>
        <w:spacing w:before="120" w:after="240"/>
        <w:ind w:left="851" w:right="1134"/>
        <w:rPr>
          <w:iCs/>
        </w:rPr>
      </w:pPr>
      <w:r w:rsidRPr="00C9090D">
        <w:rPr>
          <w:iCs/>
        </w:rPr>
        <w:t xml:space="preserve">Industry </w:t>
      </w:r>
      <w:r w:rsidR="006D32CF">
        <w:rPr>
          <w:iCs/>
        </w:rPr>
        <w:t>is of the opinion</w:t>
      </w:r>
      <w:r w:rsidRPr="00C9090D">
        <w:rPr>
          <w:iCs/>
        </w:rPr>
        <w:t xml:space="preserve"> that the ambition level is over achieved and the requirements have great implications on future designs (as there are also other legislations to be considered)</w:t>
      </w:r>
    </w:p>
    <w:p w14:paraId="3B2C13B6" w14:textId="77777777" w:rsidR="00C9090D" w:rsidRPr="00C9090D" w:rsidRDefault="00C9090D" w:rsidP="00C9090D">
      <w:pPr>
        <w:pStyle w:val="HChG"/>
        <w:numPr>
          <w:ilvl w:val="0"/>
          <w:numId w:val="1"/>
        </w:numPr>
        <w:rPr>
          <w:bCs/>
        </w:rPr>
      </w:pPr>
      <w:r w:rsidRPr="00C9090D">
        <w:rPr>
          <w:bCs/>
        </w:rPr>
        <w:t>Slide 13:</w:t>
      </w:r>
    </w:p>
    <w:p w14:paraId="24FCF49A" w14:textId="0A55C740" w:rsidR="00C9090D" w:rsidRPr="00C9090D" w:rsidRDefault="00C9090D" w:rsidP="00C9090D">
      <w:pPr>
        <w:spacing w:before="120" w:after="240"/>
        <w:ind w:left="851" w:right="1134"/>
        <w:rPr>
          <w:iCs/>
        </w:rPr>
      </w:pPr>
      <w:r w:rsidRPr="00C9090D">
        <w:rPr>
          <w:iCs/>
        </w:rPr>
        <w:t xml:space="preserve">The draft text is </w:t>
      </w:r>
      <w:r w:rsidRPr="00C9090D">
        <w:rPr>
          <w:b/>
          <w:bCs/>
          <w:iCs/>
        </w:rPr>
        <w:t>not technology neutral</w:t>
      </w:r>
      <w:r w:rsidRPr="00C9090D">
        <w:rPr>
          <w:iCs/>
        </w:rPr>
        <w:t xml:space="preserve"> since it is focusing on a single solution “direct vision”, not allowing for any other technology to reach </w:t>
      </w:r>
      <w:r w:rsidR="006D32CF">
        <w:rPr>
          <w:iCs/>
        </w:rPr>
        <w:t xml:space="preserve">the </w:t>
      </w:r>
      <w:r w:rsidRPr="00C9090D">
        <w:rPr>
          <w:iCs/>
        </w:rPr>
        <w:t xml:space="preserve">same performance of driver awareness. In addition the </w:t>
      </w:r>
      <w:r w:rsidR="00F61CCB" w:rsidRPr="00C9090D">
        <w:rPr>
          <w:iCs/>
        </w:rPr>
        <w:t>text</w:t>
      </w:r>
      <w:r w:rsidRPr="00C9090D">
        <w:rPr>
          <w:iCs/>
        </w:rPr>
        <w:t xml:space="preserve"> is </w:t>
      </w:r>
      <w:r w:rsidRPr="00C9090D">
        <w:rPr>
          <w:b/>
          <w:bCs/>
          <w:iCs/>
        </w:rPr>
        <w:t>not design neutral</w:t>
      </w:r>
      <w:r w:rsidRPr="00C9090D">
        <w:rPr>
          <w:iCs/>
        </w:rPr>
        <w:t xml:space="preserve">. The text is based on current cab designs, </w:t>
      </w:r>
      <w:r w:rsidR="006D32CF">
        <w:rPr>
          <w:iCs/>
        </w:rPr>
        <w:t>but</w:t>
      </w:r>
      <w:r w:rsidR="006D32CF" w:rsidRPr="00C9090D">
        <w:rPr>
          <w:iCs/>
        </w:rPr>
        <w:t xml:space="preserve"> </w:t>
      </w:r>
      <w:r w:rsidRPr="00C9090D">
        <w:rPr>
          <w:iCs/>
        </w:rPr>
        <w:t>does not take into account future cab designs developed under other regulation constraints. As mentioned in other industry statements there are other legislations to be considered (e.g. emissions with new power trains</w:t>
      </w:r>
      <w:r w:rsidR="007B4506">
        <w:rPr>
          <w:iCs/>
        </w:rPr>
        <w:t>)</w:t>
      </w:r>
      <w:r w:rsidRPr="00C9090D">
        <w:rPr>
          <w:iCs/>
        </w:rPr>
        <w:t xml:space="preserve"> not only linked to “very unique designs”. This is the case for all </w:t>
      </w:r>
      <w:r w:rsidR="007B4506">
        <w:rPr>
          <w:iCs/>
        </w:rPr>
        <w:t xml:space="preserve">current </w:t>
      </w:r>
      <w:r w:rsidRPr="00C9090D">
        <w:rPr>
          <w:iCs/>
        </w:rPr>
        <w:t xml:space="preserve">designs and also </w:t>
      </w:r>
      <w:r w:rsidR="007B4506">
        <w:rPr>
          <w:iCs/>
        </w:rPr>
        <w:t xml:space="preserve">for </w:t>
      </w:r>
      <w:r w:rsidRPr="00C9090D">
        <w:rPr>
          <w:iCs/>
        </w:rPr>
        <w:t xml:space="preserve">future design. </w:t>
      </w:r>
    </w:p>
    <w:p w14:paraId="1740765D" w14:textId="77777777" w:rsidR="00C9090D" w:rsidRPr="00C9090D" w:rsidRDefault="00C9090D" w:rsidP="00C9090D">
      <w:pPr>
        <w:spacing w:before="120" w:after="240"/>
        <w:ind w:left="851" w:right="1134"/>
        <w:rPr>
          <w:iCs/>
        </w:rPr>
      </w:pPr>
      <w:r w:rsidRPr="00C9090D">
        <w:rPr>
          <w:iCs/>
        </w:rPr>
        <w:t xml:space="preserve">Example: Narrow cab designs which are preferable to comply to the CO2 regulation are penalized by the separate front volume approach.  </w:t>
      </w:r>
    </w:p>
    <w:p w14:paraId="1F098D07" w14:textId="6D1AA48F" w:rsidR="00C9090D" w:rsidRPr="00C9090D" w:rsidRDefault="006D32CF" w:rsidP="00C9090D">
      <w:pPr>
        <w:spacing w:before="120" w:after="240"/>
        <w:ind w:left="851" w:right="1134"/>
        <w:rPr>
          <w:iCs/>
        </w:rPr>
      </w:pPr>
      <w:r>
        <w:rPr>
          <w:iCs/>
        </w:rPr>
        <w:t xml:space="preserve">The wording </w:t>
      </w:r>
      <w:r w:rsidR="00C9090D" w:rsidRPr="00C9090D">
        <w:rPr>
          <w:iCs/>
        </w:rPr>
        <w:t>“</w:t>
      </w:r>
      <w:r>
        <w:rPr>
          <w:iCs/>
        </w:rPr>
        <w:t>i</w:t>
      </w:r>
      <w:r w:rsidR="00C9090D" w:rsidRPr="00C9090D">
        <w:rPr>
          <w:iCs/>
        </w:rPr>
        <w:t xml:space="preserve">mpossible” </w:t>
      </w:r>
      <w:r>
        <w:rPr>
          <w:iCs/>
        </w:rPr>
        <w:t xml:space="preserve">used in the slide </w:t>
      </w:r>
      <w:r w:rsidR="00C9090D" w:rsidRPr="00C9090D">
        <w:rPr>
          <w:iCs/>
        </w:rPr>
        <w:t>should be understood as not possible to continue supply</w:t>
      </w:r>
      <w:r>
        <w:rPr>
          <w:iCs/>
        </w:rPr>
        <w:t>ing</w:t>
      </w:r>
      <w:r w:rsidR="00C9090D" w:rsidRPr="00C9090D">
        <w:rPr>
          <w:iCs/>
        </w:rPr>
        <w:t xml:space="preserve"> the market with many truck specifications that are needed for continued transport efficiency, despite OEMs making all possible product changes. </w:t>
      </w:r>
      <w:r w:rsidR="00F61CCB" w:rsidRPr="00C9090D">
        <w:rPr>
          <w:iCs/>
        </w:rPr>
        <w:t>Therefore,</w:t>
      </w:r>
      <w:r w:rsidR="00C9090D" w:rsidRPr="00C9090D">
        <w:rPr>
          <w:iCs/>
        </w:rPr>
        <w:t xml:space="preserve"> it makes sense to introduce an amendment with reduced level of direct vision for those types, coupled with advanced </w:t>
      </w:r>
      <w:r>
        <w:rPr>
          <w:iCs/>
        </w:rPr>
        <w:t xml:space="preserve">assistance </w:t>
      </w:r>
      <w:r w:rsidR="00C9090D" w:rsidRPr="00C9090D">
        <w:rPr>
          <w:iCs/>
        </w:rPr>
        <w:t xml:space="preserve">safety systems. This will not primarily become a relaxation for OEMs but a means to continue supply the market with highly efficient </w:t>
      </w:r>
      <w:r w:rsidR="007B4506">
        <w:rPr>
          <w:iCs/>
        </w:rPr>
        <w:t>vehicles</w:t>
      </w:r>
      <w:r w:rsidR="007B4506" w:rsidRPr="00C9090D">
        <w:rPr>
          <w:iCs/>
        </w:rPr>
        <w:t xml:space="preserve"> </w:t>
      </w:r>
      <w:r w:rsidR="00C9090D" w:rsidRPr="00C9090D">
        <w:rPr>
          <w:iCs/>
        </w:rPr>
        <w:t>at a considerable higher safety level.</w:t>
      </w:r>
    </w:p>
    <w:p w14:paraId="19E57251" w14:textId="24DF70DE" w:rsidR="00C9090D" w:rsidRPr="00C9090D" w:rsidRDefault="00C9090D" w:rsidP="00C9090D">
      <w:pPr>
        <w:pStyle w:val="HChG"/>
        <w:numPr>
          <w:ilvl w:val="0"/>
          <w:numId w:val="1"/>
        </w:numPr>
        <w:rPr>
          <w:bCs/>
        </w:rPr>
      </w:pPr>
      <w:r w:rsidRPr="00C9090D">
        <w:rPr>
          <w:bCs/>
        </w:rPr>
        <w:t>Slide</w:t>
      </w:r>
      <w:r w:rsidR="003C5F8E">
        <w:rPr>
          <w:bCs/>
        </w:rPr>
        <w:t xml:space="preserve"> </w:t>
      </w:r>
      <w:r w:rsidRPr="00C9090D">
        <w:rPr>
          <w:bCs/>
        </w:rPr>
        <w:t xml:space="preserve">14: </w:t>
      </w:r>
    </w:p>
    <w:p w14:paraId="125F49BF" w14:textId="37FF7D8F" w:rsidR="00C9090D" w:rsidRPr="00C9090D" w:rsidRDefault="00C9090D" w:rsidP="00C9090D">
      <w:pPr>
        <w:spacing w:before="120" w:after="240"/>
        <w:ind w:left="851" w:right="1134"/>
        <w:rPr>
          <w:iCs/>
        </w:rPr>
      </w:pPr>
      <w:r w:rsidRPr="00C9090D">
        <w:rPr>
          <w:iCs/>
        </w:rPr>
        <w:t xml:space="preserve">The configuration shown on the picture is one </w:t>
      </w:r>
      <w:r w:rsidR="007B4506">
        <w:rPr>
          <w:iCs/>
        </w:rPr>
        <w:t>among</w:t>
      </w:r>
      <w:r w:rsidR="007B4506" w:rsidRPr="00C9090D">
        <w:rPr>
          <w:iCs/>
        </w:rPr>
        <w:t xml:space="preserve"> </w:t>
      </w:r>
      <w:r w:rsidRPr="00C9090D">
        <w:rPr>
          <w:iCs/>
        </w:rPr>
        <w:t>many possib</w:t>
      </w:r>
      <w:r w:rsidR="007B4506">
        <w:rPr>
          <w:iCs/>
        </w:rPr>
        <w:t>ilities</w:t>
      </w:r>
      <w:r w:rsidRPr="00C9090D">
        <w:rPr>
          <w:iCs/>
        </w:rPr>
        <w:t xml:space="preserve"> and giving therefore a wrong expectation. The left </w:t>
      </w:r>
      <w:r w:rsidR="007B4506">
        <w:rPr>
          <w:iCs/>
        </w:rPr>
        <w:t xml:space="preserve">and right </w:t>
      </w:r>
      <w:r w:rsidRPr="00C9090D">
        <w:rPr>
          <w:iCs/>
        </w:rPr>
        <w:t>picture</w:t>
      </w:r>
      <w:r w:rsidR="007B4506">
        <w:rPr>
          <w:iCs/>
        </w:rPr>
        <w:t>s do not show the same vehicle (left picture</w:t>
      </w:r>
      <w:r w:rsidRPr="00C9090D">
        <w:rPr>
          <w:iCs/>
        </w:rPr>
        <w:t xml:space="preserve"> shows a vehicle with mirrors</w:t>
      </w:r>
      <w:r w:rsidR="007B4506">
        <w:rPr>
          <w:iCs/>
        </w:rPr>
        <w:t xml:space="preserve">, while </w:t>
      </w:r>
      <w:r w:rsidRPr="00C9090D">
        <w:rPr>
          <w:iCs/>
        </w:rPr>
        <w:t xml:space="preserve"> right picture </w:t>
      </w:r>
      <w:r w:rsidR="007B4506">
        <w:rPr>
          <w:iCs/>
        </w:rPr>
        <w:t>is equipped with CMS)</w:t>
      </w:r>
      <w:r w:rsidRPr="00C9090D">
        <w:rPr>
          <w:iCs/>
        </w:rPr>
        <w:t>. The vehicle</w:t>
      </w:r>
      <w:r w:rsidR="007B4506">
        <w:rPr>
          <w:iCs/>
        </w:rPr>
        <w:t xml:space="preserve"> on the left</w:t>
      </w:r>
      <w:r w:rsidRPr="00C9090D">
        <w:rPr>
          <w:iCs/>
        </w:rPr>
        <w:t xml:space="preserve"> is actually not yet assessed </w:t>
      </w:r>
      <w:r w:rsidR="007B4506">
        <w:rPr>
          <w:iCs/>
        </w:rPr>
        <w:t xml:space="preserve">(no clue whether it complies with the proposed requirements) </w:t>
      </w:r>
      <w:r w:rsidRPr="00C9090D">
        <w:rPr>
          <w:iCs/>
        </w:rPr>
        <w:t>and it is not representing a worst case application (</w:t>
      </w:r>
      <w:r w:rsidR="007B4506">
        <w:rPr>
          <w:iCs/>
        </w:rPr>
        <w:t xml:space="preserve">there exist </w:t>
      </w:r>
      <w:r w:rsidRPr="00C9090D">
        <w:rPr>
          <w:iCs/>
        </w:rPr>
        <w:t xml:space="preserve">higher cab mountings). </w:t>
      </w:r>
    </w:p>
    <w:p w14:paraId="6C9CE054" w14:textId="58E3E897" w:rsidR="00C9090D" w:rsidRPr="00C9090D" w:rsidRDefault="00C9090D" w:rsidP="00C9090D">
      <w:pPr>
        <w:spacing w:before="120" w:after="240"/>
        <w:ind w:left="851" w:right="1134"/>
        <w:rPr>
          <w:iCs/>
        </w:rPr>
      </w:pPr>
      <w:r w:rsidRPr="00C9090D">
        <w:rPr>
          <w:iCs/>
        </w:rPr>
        <w:lastRenderedPageBreak/>
        <w:t xml:space="preserve">The picture also </w:t>
      </w:r>
      <w:r w:rsidR="007B4506">
        <w:rPr>
          <w:iCs/>
        </w:rPr>
        <w:t>might give the erroneous</w:t>
      </w:r>
      <w:r w:rsidRPr="00C9090D">
        <w:rPr>
          <w:iCs/>
        </w:rPr>
        <w:t xml:space="preserve"> impression that there are no other ways in design and architecture to meet the DV requirements</w:t>
      </w:r>
      <w:r w:rsidR="007B4506">
        <w:rPr>
          <w:iCs/>
        </w:rPr>
        <w:t>.</w:t>
      </w:r>
    </w:p>
    <w:p w14:paraId="5956DC58" w14:textId="23E045AB" w:rsidR="00C9090D" w:rsidRPr="00C9090D" w:rsidRDefault="00C9090D" w:rsidP="00C9090D">
      <w:pPr>
        <w:spacing w:before="120" w:after="240"/>
        <w:ind w:left="851" w:right="1134"/>
        <w:rPr>
          <w:iCs/>
        </w:rPr>
      </w:pPr>
      <w:r w:rsidRPr="00C9090D">
        <w:rPr>
          <w:iCs/>
        </w:rPr>
        <w:t xml:space="preserve">The largest part of the volumetric performance is a direct result of the truck chassis height and the height of the cab floor. All OEMs do not offer the full range of trucks that the market demands. Stating that one “model” or OEM </w:t>
      </w:r>
      <w:r w:rsidR="007B4506" w:rsidRPr="00C9090D">
        <w:rPr>
          <w:iCs/>
        </w:rPr>
        <w:t xml:space="preserve">already </w:t>
      </w:r>
      <w:r w:rsidRPr="00C9090D">
        <w:rPr>
          <w:iCs/>
        </w:rPr>
        <w:t>fulfil</w:t>
      </w:r>
      <w:r w:rsidR="007B4506">
        <w:rPr>
          <w:iCs/>
        </w:rPr>
        <w:t>s</w:t>
      </w:r>
      <w:r w:rsidRPr="00C9090D">
        <w:rPr>
          <w:iCs/>
        </w:rPr>
        <w:t xml:space="preserve"> the proposed requirements may therefore in reality be a statement that the OEM do</w:t>
      </w:r>
      <w:r w:rsidR="007B4506">
        <w:rPr>
          <w:iCs/>
        </w:rPr>
        <w:t>es</w:t>
      </w:r>
      <w:r w:rsidRPr="00C9090D">
        <w:rPr>
          <w:iCs/>
        </w:rPr>
        <w:t xml:space="preserve"> not offer e.g. high chassis or driven front axles, rather than a statement on the cab performance.  </w:t>
      </w:r>
      <w:r w:rsidRPr="00C9090D">
        <w:rPr>
          <w:iCs/>
          <w:lang w:val="en-US"/>
        </w:rPr>
        <w:t xml:space="preserve">Also, since a cab production cycle is typically well above 20 years, it </w:t>
      </w:r>
      <w:r w:rsidR="007B4506">
        <w:rPr>
          <w:iCs/>
          <w:lang w:val="en-US"/>
        </w:rPr>
        <w:t>would be</w:t>
      </w:r>
      <w:r w:rsidR="007B4506" w:rsidRPr="00C9090D">
        <w:rPr>
          <w:iCs/>
          <w:lang w:val="en-US"/>
        </w:rPr>
        <w:t xml:space="preserve"> </w:t>
      </w:r>
      <w:r w:rsidRPr="00C9090D">
        <w:rPr>
          <w:iCs/>
          <w:lang w:val="en-US"/>
        </w:rPr>
        <w:t xml:space="preserve">a lucky coincidence for a manufacturer </w:t>
      </w:r>
      <w:r w:rsidR="007B4506">
        <w:rPr>
          <w:iCs/>
          <w:lang w:val="en-US"/>
        </w:rPr>
        <w:t>should</w:t>
      </w:r>
      <w:r w:rsidR="007B4506" w:rsidRPr="00C9090D">
        <w:rPr>
          <w:iCs/>
          <w:lang w:val="en-US"/>
        </w:rPr>
        <w:t xml:space="preserve"> </w:t>
      </w:r>
      <w:r w:rsidRPr="00C9090D">
        <w:rPr>
          <w:iCs/>
          <w:lang w:val="en-US"/>
        </w:rPr>
        <w:t xml:space="preserve">that cycle match the timing when direct vision requirements are known and hence if their cab range meet higher direct view requirements. </w:t>
      </w:r>
    </w:p>
    <w:p w14:paraId="14B0C7D8" w14:textId="744FF01C" w:rsidR="00F7244A" w:rsidRDefault="00C9090D" w:rsidP="00C9090D">
      <w:pPr>
        <w:spacing w:before="120" w:after="240"/>
        <w:ind w:left="851" w:right="1134"/>
        <w:rPr>
          <w:iCs/>
        </w:rPr>
      </w:pPr>
      <w:r w:rsidRPr="00C9090D">
        <w:rPr>
          <w:iCs/>
          <w:lang w:val="en-US"/>
        </w:rPr>
        <w:t>Direct vision has not been required at all for heavy vehicles in the past and the final requirement is not yet fully known.</w:t>
      </w:r>
    </w:p>
    <w:p w14:paraId="3A70B6F8" w14:textId="2667984F" w:rsidR="00324E70" w:rsidRPr="00324E70" w:rsidRDefault="00324E70" w:rsidP="00324E70">
      <w:pPr>
        <w:tabs>
          <w:tab w:val="left" w:pos="3695"/>
        </w:tabs>
      </w:pPr>
      <w:r>
        <w:tab/>
        <w:t>________________</w:t>
      </w:r>
    </w:p>
    <w:sectPr w:rsidR="00324E70" w:rsidRPr="00324E7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BCD2" w14:textId="77777777" w:rsidR="00577941" w:rsidRDefault="00577941" w:rsidP="006041FB">
      <w:pPr>
        <w:spacing w:line="240" w:lineRule="auto"/>
      </w:pPr>
      <w:r>
        <w:separator/>
      </w:r>
    </w:p>
  </w:endnote>
  <w:endnote w:type="continuationSeparator" w:id="0">
    <w:p w14:paraId="6291809F" w14:textId="77777777" w:rsidR="00577941" w:rsidRDefault="00577941" w:rsidP="00604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63F0" w14:textId="77777777" w:rsidR="00577941" w:rsidRDefault="00577941" w:rsidP="006041FB">
      <w:pPr>
        <w:spacing w:line="240" w:lineRule="auto"/>
      </w:pPr>
      <w:r>
        <w:separator/>
      </w:r>
    </w:p>
  </w:footnote>
  <w:footnote w:type="continuationSeparator" w:id="0">
    <w:p w14:paraId="664A8EAD" w14:textId="77777777" w:rsidR="00577941" w:rsidRDefault="00577941" w:rsidP="00604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4A0" w:firstRow="1" w:lastRow="0" w:firstColumn="1" w:lastColumn="0" w:noHBand="0" w:noVBand="1"/>
    </w:tblPr>
    <w:tblGrid>
      <w:gridCol w:w="4253"/>
      <w:gridCol w:w="5245"/>
    </w:tblGrid>
    <w:tr w:rsidR="00E426C8" w:rsidRPr="00DD5F08" w14:paraId="35A8DB52" w14:textId="77777777" w:rsidTr="001450B8">
      <w:tc>
        <w:tcPr>
          <w:tcW w:w="4253" w:type="dxa"/>
          <w:hideMark/>
        </w:tcPr>
        <w:p w14:paraId="1FF77C59" w14:textId="77777777" w:rsidR="00E426C8" w:rsidRPr="00DD5F08" w:rsidRDefault="00E426C8" w:rsidP="00E426C8">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746A2FF4" w14:textId="138DC476" w:rsidR="00E426C8" w:rsidRPr="00DD5F08" w:rsidRDefault="00E426C8" w:rsidP="00E426C8">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22-</w:t>
          </w:r>
          <w:r w:rsidR="002D0A62">
            <w:rPr>
              <w:rFonts w:eastAsia="Calibri"/>
              <w:b/>
              <w:bCs/>
              <w:kern w:val="2"/>
            </w:rPr>
            <w:t>44</w:t>
          </w:r>
        </w:p>
        <w:p w14:paraId="28BEAABD" w14:textId="623834A4" w:rsidR="00E426C8" w:rsidRPr="00DD5F08" w:rsidRDefault="00E426C8" w:rsidP="00E426C8">
          <w:pPr>
            <w:tabs>
              <w:tab w:val="center" w:pos="4536"/>
              <w:tab w:val="right" w:pos="9072"/>
            </w:tabs>
            <w:suppressAutoHyphens w:val="0"/>
            <w:spacing w:line="240" w:lineRule="auto"/>
            <w:ind w:left="2155"/>
            <w:jc w:val="right"/>
            <w:rPr>
              <w:rFonts w:eastAsia="Calibri"/>
              <w:kern w:val="2"/>
            </w:rPr>
          </w:pPr>
          <w:r w:rsidRPr="00DD5F08">
            <w:rPr>
              <w:rFonts w:eastAsia="Calibri"/>
              <w:kern w:val="2"/>
            </w:rPr>
            <w:t>(1</w:t>
          </w:r>
          <w:r>
            <w:rPr>
              <w:rFonts w:eastAsia="Calibri"/>
              <w:kern w:val="2"/>
            </w:rPr>
            <w:t>22</w:t>
          </w:r>
          <w:r w:rsidRPr="00E426C8">
            <w:rPr>
              <w:rFonts w:eastAsia="Calibri"/>
              <w:kern w:val="2"/>
              <w:vertAlign w:val="superscript"/>
            </w:rPr>
            <w:t>nd</w:t>
          </w:r>
          <w:r>
            <w:rPr>
              <w:rFonts w:eastAsia="Calibri"/>
              <w:kern w:val="2"/>
            </w:rPr>
            <w:t xml:space="preserve"> </w:t>
          </w:r>
          <w:r w:rsidRPr="00DD5F08">
            <w:rPr>
              <w:rFonts w:eastAsia="Calibri"/>
              <w:kern w:val="2"/>
            </w:rPr>
            <w:t xml:space="preserve">GRSG, </w:t>
          </w:r>
          <w:r>
            <w:rPr>
              <w:rFonts w:eastAsia="Calibri"/>
              <w:kern w:val="2"/>
            </w:rPr>
            <w:t>12-15 October</w:t>
          </w:r>
          <w:r w:rsidRPr="00DD5F08">
            <w:rPr>
              <w:rFonts w:eastAsia="Calibri"/>
              <w:kern w:val="2"/>
            </w:rPr>
            <w:t xml:space="preserve"> 202</w:t>
          </w:r>
          <w:r>
            <w:rPr>
              <w:rFonts w:eastAsia="Calibri"/>
              <w:kern w:val="2"/>
            </w:rPr>
            <w:t xml:space="preserve">1 </w:t>
          </w:r>
          <w:r w:rsidRPr="00DD5F08">
            <w:rPr>
              <w:rFonts w:eastAsia="Calibri"/>
              <w:kern w:val="2"/>
            </w:rPr>
            <w:t>Agenda item</w:t>
          </w:r>
          <w:r>
            <w:rPr>
              <w:rFonts w:eastAsia="Calibri"/>
              <w:kern w:val="2"/>
            </w:rPr>
            <w:t xml:space="preserve"> </w:t>
          </w:r>
          <w:r w:rsidR="00F7244A">
            <w:rPr>
              <w:rFonts w:eastAsia="Calibri"/>
              <w:kern w:val="2"/>
            </w:rPr>
            <w:t>4</w:t>
          </w:r>
          <w:r w:rsidRPr="00DD5F08">
            <w:rPr>
              <w:rFonts w:eastAsia="Calibri"/>
              <w:kern w:val="2"/>
            </w:rPr>
            <w:t>)</w:t>
          </w:r>
        </w:p>
      </w:tc>
    </w:tr>
  </w:tbl>
  <w:p w14:paraId="29F29748" w14:textId="77777777" w:rsidR="00E426C8" w:rsidRPr="006E324D" w:rsidRDefault="00E426C8" w:rsidP="00E426C8">
    <w:pPr>
      <w:pStyle w:val="Header"/>
    </w:pPr>
  </w:p>
  <w:p w14:paraId="6B1CAC47" w14:textId="77777777" w:rsidR="00E426C8" w:rsidRDefault="00E4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0437"/>
    <w:multiLevelType w:val="hybridMultilevel"/>
    <w:tmpl w:val="69E87E60"/>
    <w:lvl w:ilvl="0" w:tplc="20A6E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301EC9"/>
    <w:multiLevelType w:val="hybridMultilevel"/>
    <w:tmpl w:val="527A8F18"/>
    <w:lvl w:ilvl="0" w:tplc="E8FA7378">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CF6A9F"/>
    <w:multiLevelType w:val="hybridMultilevel"/>
    <w:tmpl w:val="DF6841B4"/>
    <w:lvl w:ilvl="0" w:tplc="D2FC9FB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B"/>
    <w:rsid w:val="00000CE5"/>
    <w:rsid w:val="00051BDD"/>
    <w:rsid w:val="000835ED"/>
    <w:rsid w:val="000B622D"/>
    <w:rsid w:val="000C0CD3"/>
    <w:rsid w:val="000D246D"/>
    <w:rsid w:val="001007EE"/>
    <w:rsid w:val="00134970"/>
    <w:rsid w:val="001851C4"/>
    <w:rsid w:val="00185FFE"/>
    <w:rsid w:val="001B0CF5"/>
    <w:rsid w:val="001C6172"/>
    <w:rsid w:val="001E27F9"/>
    <w:rsid w:val="00270B57"/>
    <w:rsid w:val="00291AEB"/>
    <w:rsid w:val="0029365E"/>
    <w:rsid w:val="002B47E4"/>
    <w:rsid w:val="002C0853"/>
    <w:rsid w:val="002D0A62"/>
    <w:rsid w:val="00302BC6"/>
    <w:rsid w:val="00315B2D"/>
    <w:rsid w:val="00324E70"/>
    <w:rsid w:val="00332E54"/>
    <w:rsid w:val="00370389"/>
    <w:rsid w:val="00371CEC"/>
    <w:rsid w:val="003A7DDE"/>
    <w:rsid w:val="003C5F8E"/>
    <w:rsid w:val="003D2A7C"/>
    <w:rsid w:val="003E507B"/>
    <w:rsid w:val="003F2C8A"/>
    <w:rsid w:val="0040784E"/>
    <w:rsid w:val="004272C7"/>
    <w:rsid w:val="004531AC"/>
    <w:rsid w:val="00454268"/>
    <w:rsid w:val="004550AD"/>
    <w:rsid w:val="004610C7"/>
    <w:rsid w:val="004C597D"/>
    <w:rsid w:val="004C749A"/>
    <w:rsid w:val="004E3E69"/>
    <w:rsid w:val="004E4BDD"/>
    <w:rsid w:val="00531D2B"/>
    <w:rsid w:val="00577941"/>
    <w:rsid w:val="005F71EA"/>
    <w:rsid w:val="006041FB"/>
    <w:rsid w:val="0061280A"/>
    <w:rsid w:val="00614E2D"/>
    <w:rsid w:val="00617CED"/>
    <w:rsid w:val="00643ECA"/>
    <w:rsid w:val="006D32CF"/>
    <w:rsid w:val="007132CA"/>
    <w:rsid w:val="007731BF"/>
    <w:rsid w:val="007B4506"/>
    <w:rsid w:val="007B48E9"/>
    <w:rsid w:val="008060FF"/>
    <w:rsid w:val="00833451"/>
    <w:rsid w:val="00854140"/>
    <w:rsid w:val="00895446"/>
    <w:rsid w:val="008F231B"/>
    <w:rsid w:val="00943B34"/>
    <w:rsid w:val="00944CA4"/>
    <w:rsid w:val="00973648"/>
    <w:rsid w:val="009922C7"/>
    <w:rsid w:val="00996C08"/>
    <w:rsid w:val="009A29D0"/>
    <w:rsid w:val="009A60B7"/>
    <w:rsid w:val="009B18A8"/>
    <w:rsid w:val="009C4E2F"/>
    <w:rsid w:val="009F55E8"/>
    <w:rsid w:val="00A4118E"/>
    <w:rsid w:val="00A536E8"/>
    <w:rsid w:val="00A84B1A"/>
    <w:rsid w:val="00A919B4"/>
    <w:rsid w:val="00A96E1E"/>
    <w:rsid w:val="00AB1894"/>
    <w:rsid w:val="00AB4089"/>
    <w:rsid w:val="00AC111D"/>
    <w:rsid w:val="00AC7EC9"/>
    <w:rsid w:val="00AF364F"/>
    <w:rsid w:val="00AF63F2"/>
    <w:rsid w:val="00B37BE8"/>
    <w:rsid w:val="00B5351E"/>
    <w:rsid w:val="00B753CB"/>
    <w:rsid w:val="00B93421"/>
    <w:rsid w:val="00BB6BE3"/>
    <w:rsid w:val="00BE1F9F"/>
    <w:rsid w:val="00C07288"/>
    <w:rsid w:val="00C16562"/>
    <w:rsid w:val="00C275BB"/>
    <w:rsid w:val="00C337ED"/>
    <w:rsid w:val="00C54171"/>
    <w:rsid w:val="00C608D4"/>
    <w:rsid w:val="00C767DE"/>
    <w:rsid w:val="00C9090D"/>
    <w:rsid w:val="00CE16ED"/>
    <w:rsid w:val="00D028CA"/>
    <w:rsid w:val="00D31C55"/>
    <w:rsid w:val="00D4157F"/>
    <w:rsid w:val="00D71609"/>
    <w:rsid w:val="00D83C04"/>
    <w:rsid w:val="00DC6346"/>
    <w:rsid w:val="00DD4F5A"/>
    <w:rsid w:val="00E04B5F"/>
    <w:rsid w:val="00E4032C"/>
    <w:rsid w:val="00E426C8"/>
    <w:rsid w:val="00E60878"/>
    <w:rsid w:val="00E77523"/>
    <w:rsid w:val="00E82903"/>
    <w:rsid w:val="00EA33B4"/>
    <w:rsid w:val="00EC642A"/>
    <w:rsid w:val="00EC6836"/>
    <w:rsid w:val="00ED54A7"/>
    <w:rsid w:val="00EF0CFE"/>
    <w:rsid w:val="00F123F0"/>
    <w:rsid w:val="00F27A17"/>
    <w:rsid w:val="00F50CFA"/>
    <w:rsid w:val="00F61CCB"/>
    <w:rsid w:val="00F7244A"/>
    <w:rsid w:val="00F76F2B"/>
    <w:rsid w:val="00F77C3B"/>
    <w:rsid w:val="00F90326"/>
    <w:rsid w:val="00FA7B7A"/>
    <w:rsid w:val="00FB51C7"/>
    <w:rsid w:val="00FF153D"/>
    <w:rsid w:val="78FB8634"/>
    <w:rsid w:val="7E7AE3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DD5C6"/>
  <w15:chartTrackingRefBased/>
  <w15:docId w15:val="{102EE0F5-C844-4EFF-B421-4B216A10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6041FB"/>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6041FB"/>
    <w:rPr>
      <w:rFonts w:ascii="Times New Roman" w:hAnsi="Times New Roman"/>
      <w:sz w:val="18"/>
      <w:vertAlign w:val="superscript"/>
    </w:rPr>
  </w:style>
  <w:style w:type="paragraph" w:styleId="FootnoteText">
    <w:name w:val="footnote text"/>
    <w:aliases w:val="5_G,PP"/>
    <w:basedOn w:val="Normal"/>
    <w:link w:val="FootnoteTextChar"/>
    <w:rsid w:val="006041FB"/>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6041FB"/>
    <w:rPr>
      <w:rFonts w:ascii="Times New Roman" w:eastAsia="Times New Roman" w:hAnsi="Times New Roman" w:cs="Times New Roman"/>
      <w:sz w:val="18"/>
      <w:szCs w:val="20"/>
      <w:lang w:val="en-GB"/>
    </w:rPr>
  </w:style>
  <w:style w:type="paragraph" w:customStyle="1" w:styleId="para">
    <w:name w:val="para"/>
    <w:basedOn w:val="Normal"/>
    <w:link w:val="paraChar"/>
    <w:rsid w:val="006041FB"/>
    <w:pPr>
      <w:spacing w:after="120"/>
      <w:ind w:left="2268" w:right="1134" w:hanging="1134"/>
      <w:jc w:val="both"/>
    </w:pPr>
  </w:style>
  <w:style w:type="character" w:customStyle="1" w:styleId="paraChar">
    <w:name w:val="para Char"/>
    <w:link w:val="para"/>
    <w:rsid w:val="006041FB"/>
    <w:rPr>
      <w:rFonts w:ascii="Times New Roman" w:eastAsia="Times New Roman" w:hAnsi="Times New Roman" w:cs="Times New Roman"/>
      <w:sz w:val="20"/>
      <w:szCs w:val="20"/>
      <w:lang w:val="en-GB"/>
    </w:rPr>
  </w:style>
  <w:style w:type="character" w:customStyle="1" w:styleId="HChGChar">
    <w:name w:val="_ H _Ch_G Char"/>
    <w:link w:val="HChG"/>
    <w:rsid w:val="006041F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185FFE"/>
    <w:pPr>
      <w:ind w:left="720"/>
      <w:contextualSpacing/>
    </w:pPr>
  </w:style>
  <w:style w:type="paragraph" w:styleId="Header">
    <w:name w:val="header"/>
    <w:aliases w:val="6_G"/>
    <w:basedOn w:val="Normal"/>
    <w:link w:val="HeaderChar"/>
    <w:uiPriority w:val="99"/>
    <w:unhideWhenUsed/>
    <w:rsid w:val="00E426C8"/>
    <w:pPr>
      <w:tabs>
        <w:tab w:val="center" w:pos="4536"/>
        <w:tab w:val="right" w:pos="9072"/>
      </w:tabs>
      <w:spacing w:line="240" w:lineRule="auto"/>
    </w:pPr>
  </w:style>
  <w:style w:type="character" w:customStyle="1" w:styleId="HeaderChar">
    <w:name w:val="Header Char"/>
    <w:aliases w:val="6_G Char"/>
    <w:basedOn w:val="DefaultParagraphFont"/>
    <w:link w:val="Header"/>
    <w:uiPriority w:val="99"/>
    <w:rsid w:val="00E426C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426C8"/>
    <w:pPr>
      <w:tabs>
        <w:tab w:val="center" w:pos="4536"/>
        <w:tab w:val="right" w:pos="9072"/>
      </w:tabs>
      <w:spacing w:line="240" w:lineRule="auto"/>
    </w:pPr>
  </w:style>
  <w:style w:type="character" w:customStyle="1" w:styleId="FooterChar">
    <w:name w:val="Footer Char"/>
    <w:basedOn w:val="DefaultParagraphFont"/>
    <w:link w:val="Footer"/>
    <w:uiPriority w:val="99"/>
    <w:rsid w:val="00E426C8"/>
    <w:rPr>
      <w:rFonts w:ascii="Times New Roman" w:eastAsia="Times New Roman" w:hAnsi="Times New Roman" w:cs="Times New Roman"/>
      <w:sz w:val="20"/>
      <w:szCs w:val="20"/>
      <w:lang w:val="en-GB"/>
    </w:rPr>
  </w:style>
  <w:style w:type="character" w:customStyle="1" w:styleId="SingleTxtGChar">
    <w:name w:val="_ Single Txt_G Char"/>
    <w:link w:val="SingleTxtG"/>
    <w:qFormat/>
    <w:locked/>
    <w:rsid w:val="00C337ED"/>
    <w:rPr>
      <w:lang w:val="en-GB"/>
    </w:rPr>
  </w:style>
  <w:style w:type="paragraph" w:customStyle="1" w:styleId="SingleTxtG">
    <w:name w:val="_ Single Txt_G"/>
    <w:basedOn w:val="Normal"/>
    <w:link w:val="SingleTxtGChar"/>
    <w:qFormat/>
    <w:rsid w:val="00C337ED"/>
    <w:pPr>
      <w:spacing w:after="120"/>
      <w:ind w:left="1134" w:right="1134"/>
      <w:jc w:val="both"/>
    </w:pPr>
    <w:rPr>
      <w:rFonts w:asciiTheme="minorHAnsi" w:eastAsiaTheme="minorHAnsi" w:hAnsiTheme="minorHAnsi" w:cstheme="minorBidi"/>
      <w:sz w:val="22"/>
      <w:szCs w:val="22"/>
    </w:rPr>
  </w:style>
  <w:style w:type="character" w:styleId="CommentReference">
    <w:name w:val="annotation reference"/>
    <w:uiPriority w:val="99"/>
    <w:semiHidden/>
    <w:rsid w:val="00C07288"/>
    <w:rPr>
      <w:rFonts w:cs="Times New Roman"/>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841180">
      <w:bodyDiv w:val="1"/>
      <w:marLeft w:val="0"/>
      <w:marRight w:val="0"/>
      <w:marTop w:val="0"/>
      <w:marBottom w:val="0"/>
      <w:divBdr>
        <w:top w:val="none" w:sz="0" w:space="0" w:color="auto"/>
        <w:left w:val="none" w:sz="0" w:space="0" w:color="auto"/>
        <w:bottom w:val="none" w:sz="0" w:space="0" w:color="auto"/>
        <w:right w:val="none" w:sz="0" w:space="0" w:color="auto"/>
      </w:divBdr>
    </w:div>
    <w:div w:id="19473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3EBCD-56FE-4A1A-AAB4-E486ACDE6F5F}">
  <ds:schemaRefs>
    <ds:schemaRef ds:uri="http://schemas.microsoft.com/sharepoint/v3/contenttype/forms"/>
  </ds:schemaRefs>
</ds:datastoreItem>
</file>

<file path=customXml/itemProps2.xml><?xml version="1.0" encoding="utf-8"?>
<ds:datastoreItem xmlns:ds="http://schemas.openxmlformats.org/officeDocument/2006/customXml" ds:itemID="{156B5923-0441-454C-AEEE-8F1110971522}">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19BE4D9-02B1-4E9A-A05F-A8D9726D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Andreas</dc:creator>
  <cp:keywords/>
  <dc:description/>
  <cp:lastModifiedBy>Benedicte Boudol</cp:lastModifiedBy>
  <cp:revision>4</cp:revision>
  <cp:lastPrinted>2021-10-15T06:50:00Z</cp:lastPrinted>
  <dcterms:created xsi:type="dcterms:W3CDTF">2021-10-15T06:50:00Z</dcterms:created>
  <dcterms:modified xsi:type="dcterms:W3CDTF">2021-10-15T06:51:00Z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3338300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