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5DD8" w14:textId="47A86743" w:rsidR="00E77523" w:rsidRPr="003B619A" w:rsidRDefault="00E77523" w:rsidP="00E426C8">
      <w:pPr>
        <w:pStyle w:val="HChG"/>
        <w:ind w:left="0" w:firstLine="0"/>
        <w:jc w:val="center"/>
        <w:rPr>
          <w:bCs/>
        </w:rPr>
      </w:pPr>
      <w:r w:rsidRPr="003B619A">
        <w:rPr>
          <w:bCs/>
        </w:rPr>
        <w:t>Proposal to amend</w:t>
      </w:r>
      <w:r w:rsidR="00B37BE8" w:rsidRPr="003B619A">
        <w:rPr>
          <w:bCs/>
        </w:rPr>
        <w:t xml:space="preserve"> UN R</w:t>
      </w:r>
      <w:r w:rsidR="00C54171" w:rsidRPr="003B619A">
        <w:rPr>
          <w:bCs/>
        </w:rPr>
        <w:t xml:space="preserve">egulation No. </w:t>
      </w:r>
      <w:r w:rsidR="003B619A" w:rsidRPr="003B619A">
        <w:rPr>
          <w:bCs/>
        </w:rPr>
        <w:t>158</w:t>
      </w:r>
    </w:p>
    <w:p w14:paraId="49961D5A" w14:textId="77777777" w:rsidR="00E426C8" w:rsidRPr="003B619A" w:rsidRDefault="00E426C8" w:rsidP="00265C4D">
      <w:pPr>
        <w:ind w:right="567"/>
        <w:jc w:val="lowKashida"/>
      </w:pPr>
    </w:p>
    <w:p w14:paraId="2E9FFC10" w14:textId="7C6476DA" w:rsidR="00B37BE8" w:rsidRPr="003B619A" w:rsidRDefault="00B37BE8" w:rsidP="00265C4D">
      <w:pPr>
        <w:pStyle w:val="HChG"/>
        <w:numPr>
          <w:ilvl w:val="0"/>
          <w:numId w:val="1"/>
        </w:numPr>
        <w:ind w:right="567"/>
        <w:jc w:val="lowKashida"/>
        <w:rPr>
          <w:bCs/>
        </w:rPr>
      </w:pPr>
      <w:r w:rsidRPr="003B619A">
        <w:rPr>
          <w:bCs/>
        </w:rPr>
        <w:t>Proposal</w:t>
      </w:r>
    </w:p>
    <w:p w14:paraId="111F6EF1" w14:textId="7334D984" w:rsidR="003B619A" w:rsidRPr="003B619A" w:rsidRDefault="003B619A" w:rsidP="00265C4D">
      <w:pPr>
        <w:ind w:left="1134" w:right="567" w:hanging="567"/>
        <w:jc w:val="lowKashida"/>
      </w:pPr>
      <w:r w:rsidRPr="003B619A">
        <w:t xml:space="preserve">Annex 9, </w:t>
      </w:r>
      <w:r>
        <w:t>paragraph 1.3</w:t>
      </w:r>
      <w:r w:rsidR="003E31F9">
        <w:t>.3</w:t>
      </w:r>
      <w:r>
        <w:t>., amend to read:</w:t>
      </w:r>
    </w:p>
    <w:p w14:paraId="7DEFD20A" w14:textId="77777777" w:rsidR="003B619A" w:rsidRPr="003B619A" w:rsidRDefault="003B619A" w:rsidP="00265C4D">
      <w:pPr>
        <w:ind w:left="1134" w:right="567" w:hanging="567"/>
        <w:jc w:val="lowKashida"/>
      </w:pPr>
    </w:p>
    <w:p w14:paraId="7459B633" w14:textId="021B2DB1" w:rsidR="003B619A" w:rsidRPr="003B619A" w:rsidRDefault="003B619A" w:rsidP="00265C4D">
      <w:pPr>
        <w:ind w:left="1134" w:right="567" w:hanging="567"/>
        <w:jc w:val="lowKashida"/>
      </w:pPr>
      <w:r>
        <w:t>“</w:t>
      </w:r>
      <w:r w:rsidRPr="003B619A">
        <w:t xml:space="preserve">1.3. </w:t>
      </w:r>
      <w:r>
        <w:tab/>
        <w:t>T</w:t>
      </w:r>
      <w:r w:rsidRPr="003B619A">
        <w:t>est conditions.</w:t>
      </w:r>
    </w:p>
    <w:p w14:paraId="30AFCA60" w14:textId="77777777" w:rsidR="003B619A" w:rsidRPr="003B619A" w:rsidRDefault="003B619A" w:rsidP="00265C4D">
      <w:pPr>
        <w:ind w:left="1134" w:right="567" w:hanging="567"/>
        <w:jc w:val="lowKashida"/>
      </w:pPr>
    </w:p>
    <w:p w14:paraId="62F3847D" w14:textId="38661052" w:rsidR="003B619A" w:rsidRPr="003B619A" w:rsidRDefault="003B619A" w:rsidP="00265C4D">
      <w:pPr>
        <w:ind w:left="1134" w:right="567" w:hanging="567"/>
        <w:jc w:val="lowKashida"/>
      </w:pPr>
      <w:r>
        <w:t>1.3.1.</w:t>
      </w:r>
      <w:r>
        <w:tab/>
      </w:r>
      <w:r w:rsidRPr="003B619A">
        <w:t>Lighting</w:t>
      </w:r>
    </w:p>
    <w:p w14:paraId="332E916B" w14:textId="77777777" w:rsidR="003B619A" w:rsidRPr="003B619A" w:rsidRDefault="003B619A" w:rsidP="00265C4D">
      <w:pPr>
        <w:ind w:left="1134" w:right="567"/>
        <w:jc w:val="lowKashida"/>
      </w:pPr>
      <w:r w:rsidRPr="003B619A">
        <w:t>The ambient illumination conditions in which testing is conducted consists of light that is evenly distributed from above and is at an intensity of between 7,000 lux and 10,000 lux, as measured at the centre of the exterior surface of the vehicle's roof.</w:t>
      </w:r>
    </w:p>
    <w:p w14:paraId="1C8D7FD4" w14:textId="264479DA" w:rsidR="003B619A" w:rsidRPr="003B619A" w:rsidRDefault="00782B79" w:rsidP="00265C4D">
      <w:pPr>
        <w:ind w:left="1134" w:right="567" w:hanging="54"/>
        <w:jc w:val="lowKashida"/>
        <w:rPr>
          <w:b/>
          <w:bCs/>
        </w:rPr>
      </w:pPr>
      <w:r>
        <w:rPr>
          <w:b/>
          <w:bCs/>
        </w:rPr>
        <w:t xml:space="preserve">At the request of the manufacturer, </w:t>
      </w:r>
      <w:r w:rsidR="003B619A" w:rsidRPr="003B619A">
        <w:rPr>
          <w:b/>
          <w:bCs/>
        </w:rPr>
        <w:t xml:space="preserve">the test </w:t>
      </w:r>
      <w:r>
        <w:rPr>
          <w:b/>
          <w:bCs/>
        </w:rPr>
        <w:t>may</w:t>
      </w:r>
      <w:r w:rsidR="003B619A" w:rsidRPr="003B619A">
        <w:rPr>
          <w:b/>
          <w:bCs/>
        </w:rPr>
        <w:t xml:space="preserve"> be carried out a</w:t>
      </w:r>
      <w:r>
        <w:rPr>
          <w:b/>
          <w:bCs/>
        </w:rPr>
        <w:t>t</w:t>
      </w:r>
      <w:r w:rsidR="003B619A" w:rsidRPr="003B619A">
        <w:rPr>
          <w:b/>
          <w:bCs/>
        </w:rPr>
        <w:t xml:space="preserve"> lower ambient illumination intensity condition</w:t>
      </w:r>
      <w:r w:rsidR="00A745FC">
        <w:rPr>
          <w:b/>
          <w:bCs/>
        </w:rPr>
        <w:t>s</w:t>
      </w:r>
      <w:r w:rsidR="003B619A" w:rsidRPr="003B619A">
        <w:rPr>
          <w:b/>
          <w:bCs/>
        </w:rPr>
        <w:t>.</w:t>
      </w:r>
      <w:r>
        <w:t>”</w:t>
      </w:r>
      <w:r w:rsidR="003B619A" w:rsidRPr="003B619A">
        <w:rPr>
          <w:b/>
          <w:bCs/>
        </w:rPr>
        <w:t xml:space="preserve"> </w:t>
      </w:r>
    </w:p>
    <w:p w14:paraId="0F091ECC" w14:textId="1F53EE5B" w:rsidR="00FB51C7" w:rsidRPr="003B619A" w:rsidRDefault="00FB51C7" w:rsidP="00265C4D">
      <w:pPr>
        <w:pStyle w:val="HChG"/>
        <w:numPr>
          <w:ilvl w:val="0"/>
          <w:numId w:val="1"/>
        </w:numPr>
        <w:ind w:right="567"/>
        <w:jc w:val="lowKashida"/>
        <w:rPr>
          <w:bCs/>
        </w:rPr>
      </w:pPr>
      <w:r w:rsidRPr="003B619A">
        <w:rPr>
          <w:bCs/>
        </w:rPr>
        <w:t>Justification</w:t>
      </w:r>
    </w:p>
    <w:p w14:paraId="57C15D66" w14:textId="0AABB96F" w:rsidR="00782B79" w:rsidRDefault="00DA26EA" w:rsidP="00265C4D">
      <w:pPr>
        <w:pStyle w:val="ListParagraph"/>
        <w:numPr>
          <w:ilvl w:val="0"/>
          <w:numId w:val="2"/>
        </w:numPr>
        <w:ind w:right="567"/>
        <w:jc w:val="lowKashida"/>
      </w:pPr>
      <w:r>
        <w:t xml:space="preserve">An outdoor </w:t>
      </w:r>
      <w:r w:rsidR="003E31F9">
        <w:t xml:space="preserve">illumination </w:t>
      </w:r>
      <w:r>
        <w:t>level of 7000 lux is sometimes difficult to reach in winter season</w:t>
      </w:r>
      <w:r w:rsidR="003E31F9">
        <w:t>.</w:t>
      </w:r>
    </w:p>
    <w:p w14:paraId="3028F6E9" w14:textId="497EC09A" w:rsidR="00782B79" w:rsidRDefault="00782B79" w:rsidP="00265C4D">
      <w:pPr>
        <w:pStyle w:val="ListParagraph"/>
        <w:numPr>
          <w:ilvl w:val="0"/>
          <w:numId w:val="2"/>
        </w:numPr>
        <w:ind w:right="567"/>
        <w:jc w:val="lowKashida"/>
      </w:pPr>
      <w:r>
        <w:t>When performing the test indoor, the test facility illumination intensity is often limited to 500 to 1000 lux. It would then require specific light equipment to reach the required 7000 lux</w:t>
      </w:r>
      <w:r w:rsidR="00DA26EA">
        <w:t>, just for performing that test</w:t>
      </w:r>
      <w:r>
        <w:t xml:space="preserve">. </w:t>
      </w:r>
    </w:p>
    <w:p w14:paraId="5490EADB" w14:textId="7FFCC6CD" w:rsidR="00DA26EA" w:rsidRDefault="00DA26EA" w:rsidP="00265C4D">
      <w:pPr>
        <w:pStyle w:val="ListParagraph"/>
        <w:numPr>
          <w:ilvl w:val="0"/>
          <w:numId w:val="2"/>
        </w:numPr>
        <w:ind w:right="567"/>
        <w:jc w:val="lowKashida"/>
      </w:pPr>
      <w:r>
        <w:t xml:space="preserve">If the manufacturer is confident that his system can reach the required performance at a level of illumination lower that that requested by the text of the regulation, then he should be allowed to make such request. </w:t>
      </w:r>
      <w:r w:rsidR="003E31F9">
        <w:t>T</w:t>
      </w:r>
      <w:r w:rsidR="003E31F9" w:rsidRPr="003E31F9">
        <w:t xml:space="preserve">he performance requirements are </w:t>
      </w:r>
      <w:r w:rsidR="003E31F9">
        <w:t xml:space="preserve">of course </w:t>
      </w:r>
      <w:r w:rsidR="003E31F9" w:rsidRPr="003E31F9">
        <w:t>still to be met</w:t>
      </w:r>
    </w:p>
    <w:p w14:paraId="4DD5CCE1" w14:textId="5995C4F7" w:rsidR="00782B79" w:rsidRDefault="00782B79" w:rsidP="00265C4D">
      <w:pPr>
        <w:pStyle w:val="ListParagraph"/>
        <w:numPr>
          <w:ilvl w:val="0"/>
          <w:numId w:val="2"/>
        </w:numPr>
        <w:ind w:right="567"/>
        <w:jc w:val="lowKashida"/>
      </w:pPr>
      <w:r>
        <w:t xml:space="preserve">Testing at </w:t>
      </w:r>
      <w:r w:rsidR="003E31F9">
        <w:t>an illumination intensity lower than that currently required by the regulation makes a</w:t>
      </w:r>
      <w:r>
        <w:t xml:space="preserve"> worse case</w:t>
      </w:r>
      <w:r w:rsidR="003E31F9">
        <w:t xml:space="preserve">. </w:t>
      </w:r>
    </w:p>
    <w:p w14:paraId="7BC5BF96" w14:textId="15F449D6" w:rsidR="00E426C8" w:rsidRPr="003B619A" w:rsidRDefault="00E426C8" w:rsidP="00265C4D">
      <w:pPr>
        <w:ind w:left="360" w:right="567"/>
        <w:jc w:val="lowKashida"/>
      </w:pPr>
      <w:r w:rsidRPr="003B619A">
        <w:t xml:space="preserve"> </w:t>
      </w:r>
    </w:p>
    <w:p w14:paraId="3A661E1E" w14:textId="501477EF" w:rsidR="00E426C8" w:rsidRPr="003B619A" w:rsidRDefault="00E426C8" w:rsidP="00265C4D">
      <w:pPr>
        <w:ind w:right="567"/>
        <w:jc w:val="lowKashida"/>
      </w:pPr>
    </w:p>
    <w:p w14:paraId="3C49EAFC" w14:textId="77777777" w:rsidR="00E426C8" w:rsidRPr="003B619A" w:rsidRDefault="00E426C8" w:rsidP="00E426C8"/>
    <w:sectPr w:rsidR="00E426C8" w:rsidRPr="003B619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1F9F" w14:textId="77777777" w:rsidR="00846DEF" w:rsidRDefault="00846DEF" w:rsidP="006041FB">
      <w:pPr>
        <w:spacing w:line="240" w:lineRule="auto"/>
      </w:pPr>
      <w:r>
        <w:separator/>
      </w:r>
    </w:p>
  </w:endnote>
  <w:endnote w:type="continuationSeparator" w:id="0">
    <w:p w14:paraId="066F6AC2" w14:textId="77777777" w:rsidR="00846DEF" w:rsidRDefault="00846DEF" w:rsidP="00604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82A8" w14:textId="77777777" w:rsidR="00846DEF" w:rsidRDefault="00846DEF" w:rsidP="006041FB">
      <w:pPr>
        <w:spacing w:line="240" w:lineRule="auto"/>
      </w:pPr>
      <w:r>
        <w:separator/>
      </w:r>
    </w:p>
  </w:footnote>
  <w:footnote w:type="continuationSeparator" w:id="0">
    <w:p w14:paraId="322D8C34" w14:textId="77777777" w:rsidR="00846DEF" w:rsidRDefault="00846DEF" w:rsidP="00604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E426C8" w:rsidRPr="00DD5F08" w14:paraId="35A8DB52" w14:textId="77777777" w:rsidTr="001450B8">
      <w:tc>
        <w:tcPr>
          <w:tcW w:w="4253" w:type="dxa"/>
          <w:hideMark/>
        </w:tcPr>
        <w:p w14:paraId="1FF77C59" w14:textId="77777777" w:rsidR="00E426C8" w:rsidRPr="00DD5F08" w:rsidRDefault="00E426C8" w:rsidP="00E426C8">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746A2FF4" w14:textId="0B6A8F47" w:rsidR="00E426C8" w:rsidRPr="00DD5F08" w:rsidRDefault="00E426C8" w:rsidP="00E426C8">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22-</w:t>
          </w:r>
          <w:r w:rsidR="00B95BFE">
            <w:rPr>
              <w:rFonts w:eastAsia="Calibri"/>
              <w:b/>
              <w:bCs/>
              <w:kern w:val="2"/>
            </w:rPr>
            <w:t>39</w:t>
          </w:r>
        </w:p>
        <w:p w14:paraId="28BEAABD" w14:textId="0A0ADD0F" w:rsidR="00E426C8" w:rsidRPr="00DD5F08" w:rsidRDefault="00E426C8" w:rsidP="00E426C8">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Pr>
              <w:rFonts w:eastAsia="Calibri"/>
              <w:kern w:val="2"/>
            </w:rPr>
            <w:t>22</w:t>
          </w:r>
          <w:r w:rsidRPr="00E426C8">
            <w:rPr>
              <w:rFonts w:eastAsia="Calibri"/>
              <w:kern w:val="2"/>
              <w:vertAlign w:val="superscript"/>
            </w:rPr>
            <w:t>nd</w:t>
          </w:r>
          <w:r>
            <w:rPr>
              <w:rFonts w:eastAsia="Calibri"/>
              <w:kern w:val="2"/>
            </w:rPr>
            <w:t xml:space="preserve"> </w:t>
          </w:r>
          <w:r w:rsidRPr="00DD5F08">
            <w:rPr>
              <w:rFonts w:eastAsia="Calibri"/>
              <w:kern w:val="2"/>
            </w:rPr>
            <w:t xml:space="preserve">GRSG, </w:t>
          </w:r>
          <w:r>
            <w:rPr>
              <w:rFonts w:eastAsia="Calibri"/>
              <w:kern w:val="2"/>
            </w:rPr>
            <w:t>12-15 October</w:t>
          </w:r>
          <w:r w:rsidRPr="00DD5F08">
            <w:rPr>
              <w:rFonts w:eastAsia="Calibri"/>
              <w:kern w:val="2"/>
            </w:rPr>
            <w:t xml:space="preserve"> 202</w:t>
          </w:r>
          <w:r>
            <w:rPr>
              <w:rFonts w:eastAsia="Calibri"/>
              <w:kern w:val="2"/>
            </w:rPr>
            <w:t xml:space="preserve">1 </w:t>
          </w:r>
          <w:r w:rsidRPr="00DD5F08">
            <w:rPr>
              <w:rFonts w:eastAsia="Calibri"/>
              <w:kern w:val="2"/>
            </w:rPr>
            <w:t>Agenda item</w:t>
          </w:r>
          <w:r>
            <w:rPr>
              <w:rFonts w:eastAsia="Calibri"/>
              <w:kern w:val="2"/>
            </w:rPr>
            <w:t xml:space="preserve"> </w:t>
          </w:r>
          <w:r w:rsidR="003E31F9">
            <w:rPr>
              <w:rFonts w:eastAsia="Calibri"/>
              <w:kern w:val="2"/>
            </w:rPr>
            <w:t>4</w:t>
          </w:r>
          <w:r>
            <w:rPr>
              <w:rFonts w:eastAsia="Calibri"/>
              <w:kern w:val="2"/>
            </w:rPr>
            <w:t>)</w:t>
          </w:r>
          <w:r w:rsidRPr="00DD5F08">
            <w:rPr>
              <w:rFonts w:eastAsia="Calibri"/>
              <w:kern w:val="2"/>
            </w:rPr>
            <w:t>)</w:t>
          </w:r>
        </w:p>
      </w:tc>
    </w:tr>
  </w:tbl>
  <w:p w14:paraId="29F29748" w14:textId="77777777" w:rsidR="00E426C8" w:rsidRPr="006E324D" w:rsidRDefault="00E426C8" w:rsidP="00E426C8">
    <w:pPr>
      <w:pStyle w:val="Header"/>
    </w:pPr>
  </w:p>
  <w:p w14:paraId="6B1CAC47" w14:textId="77777777" w:rsidR="00E426C8" w:rsidRDefault="00E4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0437"/>
    <w:multiLevelType w:val="hybridMultilevel"/>
    <w:tmpl w:val="69E87E60"/>
    <w:lvl w:ilvl="0" w:tplc="20A6EF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301EC9"/>
    <w:multiLevelType w:val="multilevel"/>
    <w:tmpl w:val="E70C3B10"/>
    <w:lvl w:ilvl="0">
      <w:start w:val="1"/>
      <w:numFmt w:val="upperRoman"/>
      <w:lvlText w:val="%1."/>
      <w:lvlJc w:val="left"/>
      <w:pPr>
        <w:ind w:left="1080" w:hanging="72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B"/>
    <w:rsid w:val="00000CE5"/>
    <w:rsid w:val="00051BDD"/>
    <w:rsid w:val="000B622D"/>
    <w:rsid w:val="000C0CD3"/>
    <w:rsid w:val="000D246D"/>
    <w:rsid w:val="001007EE"/>
    <w:rsid w:val="00134970"/>
    <w:rsid w:val="001851C4"/>
    <w:rsid w:val="00185FFE"/>
    <w:rsid w:val="001E27F9"/>
    <w:rsid w:val="00265C4D"/>
    <w:rsid w:val="00291AEB"/>
    <w:rsid w:val="0029365E"/>
    <w:rsid w:val="002B47E4"/>
    <w:rsid w:val="002C0853"/>
    <w:rsid w:val="002E01DA"/>
    <w:rsid w:val="00302BC6"/>
    <w:rsid w:val="00315B2D"/>
    <w:rsid w:val="00332E54"/>
    <w:rsid w:val="00370389"/>
    <w:rsid w:val="00371CEC"/>
    <w:rsid w:val="003A7DDE"/>
    <w:rsid w:val="003B619A"/>
    <w:rsid w:val="003D2A7C"/>
    <w:rsid w:val="003E31F9"/>
    <w:rsid w:val="003E507B"/>
    <w:rsid w:val="003F2C8A"/>
    <w:rsid w:val="0040784E"/>
    <w:rsid w:val="004272C7"/>
    <w:rsid w:val="004531AC"/>
    <w:rsid w:val="004550AD"/>
    <w:rsid w:val="004C597D"/>
    <w:rsid w:val="004C749A"/>
    <w:rsid w:val="004E3E69"/>
    <w:rsid w:val="004E4BDD"/>
    <w:rsid w:val="005F71EA"/>
    <w:rsid w:val="006041FB"/>
    <w:rsid w:val="0061280A"/>
    <w:rsid w:val="00614E2D"/>
    <w:rsid w:val="00643ECA"/>
    <w:rsid w:val="007132CA"/>
    <w:rsid w:val="007731BF"/>
    <w:rsid w:val="00782B79"/>
    <w:rsid w:val="007B48E9"/>
    <w:rsid w:val="008060FF"/>
    <w:rsid w:val="00846DEF"/>
    <w:rsid w:val="00854140"/>
    <w:rsid w:val="00895446"/>
    <w:rsid w:val="008C41BF"/>
    <w:rsid w:val="008F231B"/>
    <w:rsid w:val="00944CA4"/>
    <w:rsid w:val="00973648"/>
    <w:rsid w:val="009922C7"/>
    <w:rsid w:val="00996C08"/>
    <w:rsid w:val="009A29D0"/>
    <w:rsid w:val="009A60B7"/>
    <w:rsid w:val="009C4E2F"/>
    <w:rsid w:val="009F55E8"/>
    <w:rsid w:val="00A4118E"/>
    <w:rsid w:val="00A536E8"/>
    <w:rsid w:val="00A745FC"/>
    <w:rsid w:val="00A84B1A"/>
    <w:rsid w:val="00AB1894"/>
    <w:rsid w:val="00AB4089"/>
    <w:rsid w:val="00AC111D"/>
    <w:rsid w:val="00AF364F"/>
    <w:rsid w:val="00AF63F2"/>
    <w:rsid w:val="00B37BE8"/>
    <w:rsid w:val="00B5351E"/>
    <w:rsid w:val="00B753CB"/>
    <w:rsid w:val="00B95BFE"/>
    <w:rsid w:val="00BB6BE3"/>
    <w:rsid w:val="00C16562"/>
    <w:rsid w:val="00C54171"/>
    <w:rsid w:val="00C608D4"/>
    <w:rsid w:val="00C75FD5"/>
    <w:rsid w:val="00CE16ED"/>
    <w:rsid w:val="00D028CA"/>
    <w:rsid w:val="00D31C55"/>
    <w:rsid w:val="00D4157F"/>
    <w:rsid w:val="00D71609"/>
    <w:rsid w:val="00D83C04"/>
    <w:rsid w:val="00DA26EA"/>
    <w:rsid w:val="00DC6346"/>
    <w:rsid w:val="00DD4F5A"/>
    <w:rsid w:val="00E04B5F"/>
    <w:rsid w:val="00E4032C"/>
    <w:rsid w:val="00E426C8"/>
    <w:rsid w:val="00E60878"/>
    <w:rsid w:val="00E77523"/>
    <w:rsid w:val="00E82903"/>
    <w:rsid w:val="00E83601"/>
    <w:rsid w:val="00E919E6"/>
    <w:rsid w:val="00EA33B4"/>
    <w:rsid w:val="00EC642A"/>
    <w:rsid w:val="00EC6836"/>
    <w:rsid w:val="00EF0CFE"/>
    <w:rsid w:val="00F123F0"/>
    <w:rsid w:val="00F27A17"/>
    <w:rsid w:val="00F50CFA"/>
    <w:rsid w:val="00F76F2B"/>
    <w:rsid w:val="00F77C3B"/>
    <w:rsid w:val="00F90326"/>
    <w:rsid w:val="00FA7B7A"/>
    <w:rsid w:val="00FB51C7"/>
    <w:rsid w:val="00FF153D"/>
    <w:rsid w:val="78FB8634"/>
    <w:rsid w:val="7E7AE3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D5C6"/>
  <w15:chartTrackingRefBased/>
  <w15:docId w15:val="{102EE0F5-C844-4EFF-B421-4B216A10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F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6041FB"/>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6041FB"/>
    <w:rPr>
      <w:rFonts w:ascii="Times New Roman" w:hAnsi="Times New Roman"/>
      <w:sz w:val="18"/>
      <w:vertAlign w:val="superscript"/>
    </w:rPr>
  </w:style>
  <w:style w:type="paragraph" w:styleId="FootnoteText">
    <w:name w:val="footnote text"/>
    <w:aliases w:val="5_G,PP"/>
    <w:basedOn w:val="Normal"/>
    <w:link w:val="FootnoteTextChar"/>
    <w:rsid w:val="006041FB"/>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6041FB"/>
    <w:rPr>
      <w:rFonts w:ascii="Times New Roman" w:eastAsia="Times New Roman" w:hAnsi="Times New Roman" w:cs="Times New Roman"/>
      <w:sz w:val="18"/>
      <w:szCs w:val="20"/>
      <w:lang w:val="en-GB"/>
    </w:rPr>
  </w:style>
  <w:style w:type="paragraph" w:customStyle="1" w:styleId="para">
    <w:name w:val="para"/>
    <w:basedOn w:val="Normal"/>
    <w:link w:val="paraChar"/>
    <w:rsid w:val="006041FB"/>
    <w:pPr>
      <w:spacing w:after="120"/>
      <w:ind w:left="2268" w:right="1134" w:hanging="1134"/>
      <w:jc w:val="both"/>
    </w:pPr>
  </w:style>
  <w:style w:type="character" w:customStyle="1" w:styleId="paraChar">
    <w:name w:val="para Char"/>
    <w:link w:val="para"/>
    <w:rsid w:val="006041FB"/>
    <w:rPr>
      <w:rFonts w:ascii="Times New Roman" w:eastAsia="Times New Roman" w:hAnsi="Times New Roman" w:cs="Times New Roman"/>
      <w:sz w:val="20"/>
      <w:szCs w:val="20"/>
      <w:lang w:val="en-GB"/>
    </w:rPr>
  </w:style>
  <w:style w:type="character" w:customStyle="1" w:styleId="HChGChar">
    <w:name w:val="_ H _Ch_G Char"/>
    <w:link w:val="HChG"/>
    <w:rsid w:val="006041FB"/>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185FFE"/>
    <w:pPr>
      <w:ind w:left="720"/>
      <w:contextualSpacing/>
    </w:pPr>
  </w:style>
  <w:style w:type="paragraph" w:styleId="Header">
    <w:name w:val="header"/>
    <w:aliases w:val="6_G"/>
    <w:basedOn w:val="Normal"/>
    <w:link w:val="HeaderChar"/>
    <w:uiPriority w:val="99"/>
    <w:unhideWhenUsed/>
    <w:rsid w:val="00E426C8"/>
    <w:pPr>
      <w:tabs>
        <w:tab w:val="center" w:pos="4536"/>
        <w:tab w:val="right" w:pos="9072"/>
      </w:tabs>
      <w:spacing w:line="240" w:lineRule="auto"/>
    </w:pPr>
  </w:style>
  <w:style w:type="character" w:customStyle="1" w:styleId="HeaderChar">
    <w:name w:val="Header Char"/>
    <w:aliases w:val="6_G Char"/>
    <w:basedOn w:val="DefaultParagraphFont"/>
    <w:link w:val="Header"/>
    <w:uiPriority w:val="99"/>
    <w:rsid w:val="00E426C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426C8"/>
    <w:pPr>
      <w:tabs>
        <w:tab w:val="center" w:pos="4536"/>
        <w:tab w:val="right" w:pos="9072"/>
      </w:tabs>
      <w:spacing w:line="240" w:lineRule="auto"/>
    </w:pPr>
  </w:style>
  <w:style w:type="character" w:customStyle="1" w:styleId="FooterChar">
    <w:name w:val="Footer Char"/>
    <w:basedOn w:val="DefaultParagraphFont"/>
    <w:link w:val="Footer"/>
    <w:uiPriority w:val="99"/>
    <w:rsid w:val="00E426C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B5923-0441-454C-AEEE-8F1110971522}">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25C3EBCD-56FE-4A1A-AAB4-E486ACDE6F5F}">
  <ds:schemaRefs>
    <ds:schemaRef ds:uri="http://schemas.microsoft.com/sharepoint/v3/contenttype/forms"/>
  </ds:schemaRefs>
</ds:datastoreItem>
</file>

<file path=customXml/itemProps3.xml><?xml version="1.0" encoding="utf-8"?>
<ds:datastoreItem xmlns:ds="http://schemas.openxmlformats.org/officeDocument/2006/customXml" ds:itemID="{DC8D15CF-3D9D-4BFC-92D2-FC44B774E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 Andreas</dc:creator>
  <cp:keywords/>
  <dc:description/>
  <cp:lastModifiedBy>Benedicte Boudol</cp:lastModifiedBy>
  <cp:revision>2</cp:revision>
  <dcterms:created xsi:type="dcterms:W3CDTF">2021-10-12T08:13:00Z</dcterms:created>
  <dcterms:modified xsi:type="dcterms:W3CDTF">2021-10-12T08:13:00Z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3338300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