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9C63" w14:textId="36BB6D6A" w:rsidR="00144BF1" w:rsidRDefault="00144BF1" w:rsidP="00B477C3">
      <w:pPr>
        <w:pStyle w:val="SingleTxtG"/>
        <w:ind w:left="2268"/>
        <w:rPr>
          <w:rFonts w:asciiTheme="majorBidi" w:hAnsiTheme="majorBidi" w:cstheme="majorBidi"/>
          <w:b/>
        </w:rPr>
      </w:pPr>
    </w:p>
    <w:p w14:paraId="2595498D" w14:textId="6CE6832A" w:rsidR="00144BF1" w:rsidRDefault="00144BF1" w:rsidP="00144BF1">
      <w:pPr>
        <w:pStyle w:val="HChG"/>
        <w:ind w:firstLine="0"/>
        <w:jc w:val="center"/>
        <w:rPr>
          <w:rFonts w:asciiTheme="majorBidi" w:hAnsiTheme="majorBidi" w:cstheme="majorBidi"/>
        </w:rPr>
      </w:pPr>
      <w:r w:rsidRPr="00DF0E34">
        <w:rPr>
          <w:rFonts w:asciiTheme="majorBidi" w:hAnsiTheme="majorBidi" w:cstheme="majorBidi"/>
        </w:rPr>
        <w:t xml:space="preserve">Proposal for </w:t>
      </w:r>
      <w:r>
        <w:rPr>
          <w:rFonts w:asciiTheme="majorBidi" w:hAnsiTheme="majorBidi" w:cstheme="majorBidi"/>
        </w:rPr>
        <w:t>amendments to Consolidated Resolution S.R.1</w:t>
      </w:r>
      <w:r w:rsidRPr="00DF0E34">
        <w:rPr>
          <w:rFonts w:asciiTheme="majorBidi" w:hAnsiTheme="majorBidi" w:cstheme="majorBidi"/>
        </w:rPr>
        <w:t xml:space="preserve"> </w:t>
      </w:r>
    </w:p>
    <w:p w14:paraId="4F614144" w14:textId="6111ABA9" w:rsidR="00144BF1" w:rsidRDefault="00144BF1" w:rsidP="00B477C3">
      <w:pPr>
        <w:pStyle w:val="SingleTxtG"/>
        <w:ind w:left="2268"/>
        <w:rPr>
          <w:rFonts w:asciiTheme="majorBidi" w:hAnsiTheme="majorBidi" w:cstheme="majorBidi"/>
          <w:b/>
        </w:rPr>
      </w:pPr>
    </w:p>
    <w:p w14:paraId="314C5384" w14:textId="41E76DB9" w:rsidR="00144BF1" w:rsidRPr="00DF0E34" w:rsidRDefault="00144BF1" w:rsidP="00144BF1">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 xml:space="preserve">Submitted by the experts of </w:t>
      </w:r>
      <w:r>
        <w:rPr>
          <w:rFonts w:asciiTheme="majorBidi" w:hAnsiTheme="majorBidi" w:cstheme="majorBidi"/>
        </w:rPr>
        <w:t>CLCCR</w:t>
      </w:r>
    </w:p>
    <w:p w14:paraId="582CB28A" w14:textId="77777777" w:rsidR="00144BF1" w:rsidRDefault="00144BF1" w:rsidP="00144BF1">
      <w:pPr>
        <w:tabs>
          <w:tab w:val="left" w:pos="8505"/>
        </w:tabs>
        <w:ind w:left="567" w:right="1134" w:firstLine="567"/>
        <w:jc w:val="both"/>
        <w:rPr>
          <w:rFonts w:asciiTheme="majorBidi" w:hAnsiTheme="majorBidi" w:cstheme="majorBidi"/>
        </w:rPr>
      </w:pPr>
    </w:p>
    <w:p w14:paraId="45CA2BD4" w14:textId="6DEE1452" w:rsidR="00144BF1" w:rsidRPr="00DF0E34" w:rsidRDefault="00144BF1" w:rsidP="00144BF1">
      <w:pPr>
        <w:tabs>
          <w:tab w:val="left" w:pos="8505"/>
        </w:tabs>
        <w:ind w:left="1134" w:right="1134"/>
        <w:jc w:val="both"/>
        <w:rPr>
          <w:rFonts w:asciiTheme="majorBidi" w:hAnsiTheme="majorBidi" w:cstheme="majorBidi"/>
        </w:rPr>
      </w:pPr>
      <w:r w:rsidRPr="00DF0E34">
        <w:rPr>
          <w:rFonts w:asciiTheme="majorBidi" w:hAnsiTheme="majorBidi" w:cstheme="majorBidi"/>
        </w:rPr>
        <w:t xml:space="preserve">The text reproduced below was prepared by the </w:t>
      </w:r>
      <w:r>
        <w:rPr>
          <w:rFonts w:asciiTheme="majorBidi" w:hAnsiTheme="majorBidi" w:cstheme="majorBidi"/>
        </w:rPr>
        <w:t>experts from CLCCR</w:t>
      </w:r>
      <w:r w:rsidRPr="00DF0E34">
        <w:rPr>
          <w:rFonts w:asciiTheme="majorBidi" w:hAnsiTheme="majorBidi" w:cstheme="majorBidi"/>
        </w:rPr>
        <w:t xml:space="preserve">. </w:t>
      </w:r>
      <w:r>
        <w:rPr>
          <w:rFonts w:asciiTheme="majorBidi" w:hAnsiTheme="majorBidi" w:cstheme="majorBidi"/>
        </w:rPr>
        <w:t xml:space="preserve">This proposal amends the definitions in S.R.1 </w:t>
      </w:r>
      <w:proofErr w:type="gramStart"/>
      <w:r>
        <w:rPr>
          <w:rFonts w:asciiTheme="majorBidi" w:hAnsiTheme="majorBidi" w:cstheme="majorBidi"/>
        </w:rPr>
        <w:t>taking into account</w:t>
      </w:r>
      <w:proofErr w:type="gramEnd"/>
      <w:r>
        <w:rPr>
          <w:rFonts w:asciiTheme="majorBidi" w:hAnsiTheme="majorBidi" w:cstheme="majorBidi"/>
        </w:rPr>
        <w:t xml:space="preserve"> new technical developments for heavy duty vehicles</w:t>
      </w:r>
      <w:r w:rsidR="00795D97">
        <w:rPr>
          <w:rFonts w:asciiTheme="majorBidi" w:hAnsiTheme="majorBidi" w:cstheme="majorBidi"/>
        </w:rPr>
        <w:t xml:space="preserve"> and battery electric cars</w:t>
      </w:r>
      <w:r w:rsidRPr="00DF0E34">
        <w:rPr>
          <w:rFonts w:asciiTheme="majorBidi" w:hAnsiTheme="majorBidi" w:cstheme="majorBidi"/>
        </w:rPr>
        <w:t>.</w:t>
      </w:r>
    </w:p>
    <w:p w14:paraId="780039BB" w14:textId="77777777" w:rsidR="00144BF1" w:rsidRPr="00DF0E34" w:rsidRDefault="00144BF1" w:rsidP="00144BF1">
      <w:pPr>
        <w:pStyle w:val="HChG"/>
        <w:rPr>
          <w:rFonts w:asciiTheme="majorBidi" w:hAnsiTheme="majorBidi" w:cstheme="majorBidi"/>
          <w:b w:val="0"/>
          <w:szCs w:val="28"/>
        </w:rPr>
      </w:pPr>
      <w:r>
        <w:rPr>
          <w:rFonts w:asciiTheme="majorBidi" w:hAnsiTheme="majorBidi" w:cstheme="majorBidi"/>
          <w:szCs w:val="28"/>
        </w:rPr>
        <w:tab/>
      </w:r>
      <w:r w:rsidRPr="00DF0E34">
        <w:rPr>
          <w:rFonts w:asciiTheme="majorBidi" w:hAnsiTheme="majorBidi" w:cstheme="majorBidi"/>
          <w:szCs w:val="28"/>
        </w:rPr>
        <w:t>I.</w:t>
      </w:r>
      <w:r w:rsidRPr="00DF0E34">
        <w:rPr>
          <w:rFonts w:asciiTheme="majorBidi" w:hAnsiTheme="majorBidi" w:cstheme="majorBidi"/>
          <w:szCs w:val="28"/>
        </w:rPr>
        <w:tab/>
      </w:r>
      <w:r w:rsidRPr="00B9350C">
        <w:t>Proposal</w:t>
      </w:r>
    </w:p>
    <w:p w14:paraId="5B791E1B" w14:textId="75CB2D7D" w:rsidR="00144BF1" w:rsidRPr="00DF0E34" w:rsidRDefault="00144BF1" w:rsidP="00144BF1">
      <w:pPr>
        <w:tabs>
          <w:tab w:val="left" w:pos="2268"/>
          <w:tab w:val="left" w:pos="8505"/>
        </w:tabs>
        <w:spacing w:line="240" w:lineRule="auto"/>
        <w:ind w:left="2127" w:right="1133" w:hanging="993"/>
        <w:jc w:val="both"/>
        <w:rPr>
          <w:rFonts w:asciiTheme="majorBidi" w:hAnsiTheme="majorBidi" w:cstheme="majorBidi"/>
          <w:i/>
          <w:iCs/>
        </w:rPr>
      </w:pPr>
      <w:r>
        <w:rPr>
          <w:rFonts w:asciiTheme="majorBidi" w:hAnsiTheme="majorBidi" w:cstheme="majorBidi"/>
          <w:i/>
          <w:iCs/>
        </w:rPr>
        <w:t>P</w:t>
      </w:r>
      <w:r w:rsidRPr="00DF0E34">
        <w:rPr>
          <w:rFonts w:asciiTheme="majorBidi" w:hAnsiTheme="majorBidi" w:cstheme="majorBidi"/>
          <w:i/>
          <w:iCs/>
        </w:rPr>
        <w:t>aragraph</w:t>
      </w:r>
      <w:r>
        <w:rPr>
          <w:rFonts w:asciiTheme="majorBidi" w:hAnsiTheme="majorBidi" w:cstheme="majorBidi"/>
          <w:i/>
          <w:iCs/>
        </w:rPr>
        <w:t>s</w:t>
      </w:r>
      <w:r w:rsidRPr="00DF0E34">
        <w:rPr>
          <w:rFonts w:asciiTheme="majorBidi" w:hAnsiTheme="majorBidi" w:cstheme="majorBidi"/>
          <w:i/>
          <w:iCs/>
        </w:rPr>
        <w:t xml:space="preserve"> </w:t>
      </w:r>
      <w:r>
        <w:rPr>
          <w:rFonts w:asciiTheme="majorBidi" w:hAnsiTheme="majorBidi" w:cstheme="majorBidi"/>
          <w:i/>
          <w:iCs/>
        </w:rPr>
        <w:t>2</w:t>
      </w:r>
      <w:r w:rsidRPr="0021630E">
        <w:rPr>
          <w:rFonts w:asciiTheme="majorBidi" w:hAnsiTheme="majorBidi" w:cstheme="majorBidi"/>
        </w:rPr>
        <w:t>, amend to read:</w:t>
      </w:r>
    </w:p>
    <w:p w14:paraId="5084EA4B" w14:textId="0E9D08C7" w:rsidR="00144BF1" w:rsidRDefault="00144BF1" w:rsidP="00144BF1">
      <w:pPr>
        <w:pStyle w:val="SingleTxtG"/>
        <w:ind w:left="2268" w:hanging="1134"/>
        <w:rPr>
          <w:b/>
          <w:bCs/>
          <w:lang w:val="en-US"/>
        </w:rPr>
      </w:pPr>
    </w:p>
    <w:p w14:paraId="74B8BF23" w14:textId="790C4397" w:rsidR="002D7489" w:rsidRPr="00A3727F" w:rsidRDefault="002D7489" w:rsidP="002D7489">
      <w:pPr>
        <w:pStyle w:val="SingleTxtG"/>
        <w:ind w:left="2268" w:hanging="1134"/>
        <w:rPr>
          <w:b/>
          <w:bCs/>
          <w:color w:val="000000" w:themeColor="text1"/>
        </w:rPr>
      </w:pPr>
      <w:r w:rsidRPr="00A3727F">
        <w:rPr>
          <w:rFonts w:asciiTheme="majorBidi" w:hAnsiTheme="majorBidi" w:cstheme="majorBidi"/>
          <w:bCs/>
          <w:color w:val="000000" w:themeColor="text1"/>
        </w:rPr>
        <w:t>“</w:t>
      </w:r>
      <w:r>
        <w:rPr>
          <w:color w:val="000000" w:themeColor="text1"/>
        </w:rPr>
        <w:t>2.</w:t>
      </w:r>
      <w:r w:rsidRPr="00A3727F">
        <w:rPr>
          <w:color w:val="000000" w:themeColor="text1"/>
        </w:rPr>
        <w:tab/>
        <w:t>"Trailer" means any non-</w:t>
      </w:r>
      <w:proofErr w:type="spellStart"/>
      <w:proofErr w:type="gramStart"/>
      <w:r w:rsidRPr="00A3727F">
        <w:rPr>
          <w:color w:val="000000" w:themeColor="text1"/>
        </w:rPr>
        <w:t>self propelled</w:t>
      </w:r>
      <w:proofErr w:type="spellEnd"/>
      <w:proofErr w:type="gramEnd"/>
      <w:r w:rsidRPr="00A3727F">
        <w:rPr>
          <w:color w:val="000000" w:themeColor="text1"/>
        </w:rPr>
        <w:t xml:space="preserve"> vehicle, which is designed and constructed to be towed by a </w:t>
      </w:r>
      <w:r w:rsidRPr="00DD534F">
        <w:rPr>
          <w:color w:val="000000" w:themeColor="text1"/>
        </w:rPr>
        <w:t>power driven</w:t>
      </w:r>
      <w:r w:rsidRPr="00A3727F">
        <w:rPr>
          <w:color w:val="000000" w:themeColor="text1"/>
        </w:rPr>
        <w:t xml:space="preserve"> vehicle. </w:t>
      </w:r>
      <w:r w:rsidRPr="00A3727F">
        <w:rPr>
          <w:b/>
          <w:bCs/>
          <w:color w:val="000000" w:themeColor="text1"/>
        </w:rPr>
        <w:t>However, the trailer may be propelled to support the trailer’s motion but shall not apply motive power without being coupled to a towing vehicle</w:t>
      </w:r>
      <w:r w:rsidR="004A6D09">
        <w:rPr>
          <w:b/>
          <w:bCs/>
          <w:color w:val="000000" w:themeColor="text1"/>
        </w:rPr>
        <w:t>;</w:t>
      </w:r>
      <w:r w:rsidRPr="00A3727F">
        <w:rPr>
          <w:b/>
          <w:bCs/>
          <w:color w:val="000000" w:themeColor="text1"/>
        </w:rPr>
        <w:t>”</w:t>
      </w:r>
    </w:p>
    <w:p w14:paraId="377DEB4D" w14:textId="77777777" w:rsidR="002D7489" w:rsidRPr="002D7489" w:rsidRDefault="002D7489" w:rsidP="00144BF1">
      <w:pPr>
        <w:pStyle w:val="SingleTxtG"/>
        <w:ind w:left="1843" w:hanging="709"/>
      </w:pP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00CC6759" w14:textId="77777777" w:rsidR="00C72171" w:rsidRDefault="00C72171" w:rsidP="00C72171">
      <w:pPr>
        <w:pStyle w:val="SingleTxtG"/>
        <w:numPr>
          <w:ilvl w:val="0"/>
          <w:numId w:val="27"/>
        </w:numPr>
      </w:pPr>
      <w:r>
        <w:t>To make the consequences of climate change more manageable for society, it is necessary to significantly reduce CO2 emissions induced by the transport sector worldwide.  The transport sector is an important CO2 emitter after the energy sector and other industry branches.  Therefore, stringent goals for Heavy Duty Vehicles are defined to limit the CO2 emissions.  These ambitious goals will have a major influence on future design of trucks and trailers on roads and it will significantly change the type of propulsion for such vehicle combinations.</w:t>
      </w:r>
    </w:p>
    <w:p w14:paraId="3CA57170" w14:textId="77777777" w:rsidR="00C72171" w:rsidRDefault="00C72171" w:rsidP="00C72171">
      <w:pPr>
        <w:pStyle w:val="SingleTxtG"/>
        <w:ind w:left="1854"/>
      </w:pPr>
      <w:r>
        <w:t>E.g., the European</w:t>
      </w:r>
      <w:r w:rsidRPr="001E3744">
        <w:t xml:space="preserve"> directive (EU) 2019/1242</w:t>
      </w:r>
      <w:r>
        <w:t xml:space="preserve"> </w:t>
      </w:r>
      <w:r w:rsidRPr="001E3744">
        <w:t>describes the provisions to reduce CO2 emissions</w:t>
      </w:r>
      <w:r>
        <w:t xml:space="preserve"> for </w:t>
      </w:r>
      <w:r w:rsidRPr="001E3744">
        <w:t xml:space="preserve">heavy </w:t>
      </w:r>
      <w:r>
        <w:t>duty</w:t>
      </w:r>
      <w:r w:rsidRPr="001E3744">
        <w:t xml:space="preserve"> vehicles</w:t>
      </w:r>
      <w:r>
        <w:t xml:space="preserve">. </w:t>
      </w:r>
      <w:r w:rsidRPr="001E3744">
        <w:t>Despite of the fact that trailer</w:t>
      </w:r>
      <w:r>
        <w:t>s</w:t>
      </w:r>
      <w:r w:rsidRPr="001E3744">
        <w:t xml:space="preserve"> or semi-trailer</w:t>
      </w:r>
      <w:r>
        <w:t>s</w:t>
      </w:r>
      <w:r w:rsidRPr="001E3744">
        <w:t xml:space="preserve"> are currently not regulated</w:t>
      </w:r>
      <w:r>
        <w:rPr>
          <w:rStyle w:val="FootnoteReference"/>
        </w:rPr>
        <w:footnoteReference w:id="1"/>
      </w:r>
      <w:r w:rsidRPr="001E3744">
        <w:t>, it might be interesting for a closer look on the</w:t>
      </w:r>
      <w:r>
        <w:t>ir</w:t>
      </w:r>
      <w:r w:rsidRPr="001E3744">
        <w:t xml:space="preserve"> potential to contribute to the overall CO2 reduction of a vehicle combination.</w:t>
      </w:r>
    </w:p>
    <w:p w14:paraId="31FDA0B1" w14:textId="77777777" w:rsidR="00C72171" w:rsidRDefault="00C72171" w:rsidP="00C72171">
      <w:pPr>
        <w:pStyle w:val="SingleTxtG"/>
        <w:ind w:left="1854"/>
      </w:pPr>
      <w:r w:rsidRPr="001E3744">
        <w:t>The trailer</w:t>
      </w:r>
      <w:r>
        <w:t xml:space="preserve"> or semitrailer</w:t>
      </w:r>
      <w:r w:rsidRPr="001E3744">
        <w:t xml:space="preserve"> itself do</w:t>
      </w:r>
      <w:r>
        <w:t>es</w:t>
      </w:r>
      <w:r w:rsidRPr="001E3744">
        <w:t xml:space="preserve"> not emit </w:t>
      </w:r>
      <w:r>
        <w:t>CO2</w:t>
      </w:r>
      <w:r w:rsidRPr="001E3744">
        <w:t xml:space="preserve"> in standstill or driving </w:t>
      </w:r>
      <w:r>
        <w:t>modes</w:t>
      </w:r>
      <w:r w:rsidRPr="001E3744">
        <w:t xml:space="preserve"> but contribute to the overall CO2 balance of the vehicle combination. CO2 values may be assigned to the trailer </w:t>
      </w:r>
      <w:r>
        <w:t>d</w:t>
      </w:r>
      <w:r w:rsidRPr="001E3744">
        <w:t>ue to its rolling resistance, its kerb weight and finally the air drag. Therefore, it is logically to think about measure</w:t>
      </w:r>
      <w:r>
        <w:t>s/technologies</w:t>
      </w:r>
      <w:r w:rsidRPr="001E3744">
        <w:t xml:space="preserve"> for a reduction of these emissions.</w:t>
      </w:r>
      <w:r>
        <w:t xml:space="preserve"> Based on this development trailer manufacturers are urged to contribute to CO2 reduction by improved trailer design and new technologies now. </w:t>
      </w:r>
    </w:p>
    <w:p w14:paraId="6A0A84C8" w14:textId="77777777" w:rsidR="00C72171" w:rsidRDefault="00C72171" w:rsidP="00C72171">
      <w:pPr>
        <w:pStyle w:val="SingleTxtG"/>
        <w:ind w:left="1854"/>
      </w:pPr>
    </w:p>
    <w:p w14:paraId="3094EEBC" w14:textId="77777777" w:rsidR="00C72171" w:rsidRDefault="00C72171" w:rsidP="00C72171">
      <w:pPr>
        <w:pStyle w:val="SingleTxtG"/>
        <w:numPr>
          <w:ilvl w:val="0"/>
          <w:numId w:val="27"/>
        </w:numPr>
      </w:pPr>
      <w:r>
        <w:t xml:space="preserve">One of these features is a </w:t>
      </w:r>
      <w:r w:rsidRPr="00CA322B">
        <w:rPr>
          <w:b/>
          <w:bCs/>
        </w:rPr>
        <w:t>driven axle in a trailer/semi-trailer</w:t>
      </w:r>
      <w:r>
        <w:t xml:space="preserve"> (e.g., with propulsion and/or recuperation system).  Driven axles in trailers have the potential to support the motor vehicle (e.g., the tractor) during start-stop manoeuvres, during accelerating/braking and during transport of heavy loads under ambitious conditions </w:t>
      </w:r>
      <w:r>
        <w:lastRenderedPageBreak/>
        <w:t xml:space="preserve">(uphill/downhill) or may convert the kinetic energy of an axle to supply electric systems (e.g. cooling units for reefer).  This leads to lower fuel consumption of the motor vehicle respectively cooling units (ergo lower CO2 emissions) and higher agility of the whole vehicle combination. </w:t>
      </w:r>
    </w:p>
    <w:p w14:paraId="5C97625C" w14:textId="77777777" w:rsidR="00C72171" w:rsidRDefault="00C72171" w:rsidP="00C72171">
      <w:pPr>
        <w:suppressAutoHyphens w:val="0"/>
        <w:spacing w:line="240" w:lineRule="auto"/>
      </w:pPr>
    </w:p>
    <w:p w14:paraId="36A548E0" w14:textId="77777777" w:rsidR="00C72171" w:rsidRDefault="00C72171" w:rsidP="00C72171">
      <w:pPr>
        <w:pStyle w:val="SingleTxtG"/>
        <w:ind w:left="1854"/>
      </w:pPr>
      <w:r>
        <w:rPr>
          <w:noProof/>
          <w:lang w:val="de-DE" w:eastAsia="de-DE"/>
        </w:rPr>
        <w:drawing>
          <wp:inline distT="0" distB="0" distL="0" distR="0" wp14:anchorId="58609A54" wp14:editId="0D0D6E0C">
            <wp:extent cx="3530600" cy="191516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6540"/>
                              </a14:imgEffect>
                              <a14:imgEffect>
                                <a14:saturation sat="172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30600" cy="1915160"/>
                    </a:xfrm>
                    <a:prstGeom prst="rect">
                      <a:avLst/>
                    </a:prstGeom>
                    <a:noFill/>
                  </pic:spPr>
                </pic:pic>
              </a:graphicData>
            </a:graphic>
          </wp:inline>
        </w:drawing>
      </w:r>
    </w:p>
    <w:p w14:paraId="7DE990F6" w14:textId="77777777" w:rsidR="00C72171" w:rsidRDefault="00C72171" w:rsidP="00C72171">
      <w:pPr>
        <w:pStyle w:val="SingleTxtG"/>
        <w:ind w:left="1854"/>
      </w:pPr>
      <w:r w:rsidRPr="00DD1AC0">
        <w:t>Picture 1: Principle</w:t>
      </w:r>
      <w:r>
        <w:t>/Example</w:t>
      </w:r>
      <w:r w:rsidRPr="00DD1AC0">
        <w:t xml:space="preserve"> of driven trailer axles</w:t>
      </w:r>
    </w:p>
    <w:p w14:paraId="046B3A89" w14:textId="77777777" w:rsidR="00C72171" w:rsidRDefault="00C72171" w:rsidP="00C72171">
      <w:pPr>
        <w:pStyle w:val="SingleTxtG"/>
        <w:ind w:left="1854"/>
      </w:pPr>
    </w:p>
    <w:p w14:paraId="20B15557" w14:textId="77777777" w:rsidR="00C72171" w:rsidRDefault="00C72171" w:rsidP="00C72171">
      <w:pPr>
        <w:pStyle w:val="SingleTxtG"/>
        <w:ind w:left="1854"/>
      </w:pPr>
      <w:r w:rsidRPr="00DD1AC0">
        <w:t>The type of drivetrain may</w:t>
      </w:r>
      <w:r>
        <w:t xml:space="preserve"> currently</w:t>
      </w:r>
      <w:r w:rsidRPr="00DD1AC0">
        <w:t xml:space="preserve"> be electrical, </w:t>
      </w:r>
      <w:r>
        <w:t xml:space="preserve">or </w:t>
      </w:r>
      <w:r w:rsidRPr="00DD1AC0">
        <w:t>hydraulic</w:t>
      </w:r>
      <w:r>
        <w:t xml:space="preserve">. </w:t>
      </w:r>
      <w:r w:rsidRPr="00DD1AC0">
        <w:t>The drive train on the trailer</w:t>
      </w:r>
      <w:r>
        <w:t>/semi-trailer</w:t>
      </w:r>
      <w:r w:rsidRPr="00DD1AC0">
        <w:t xml:space="preserve"> will be controlled to safely follow the </w:t>
      </w:r>
      <w:r>
        <w:t>towing vehicle</w:t>
      </w:r>
      <w:r w:rsidRPr="00DD1AC0">
        <w:t>.</w:t>
      </w:r>
      <w:r>
        <w:t xml:space="preserve"> </w:t>
      </w:r>
      <w:r w:rsidRPr="00391885">
        <w:t xml:space="preserve">The propelling capacity of any </w:t>
      </w:r>
      <w:r>
        <w:t>trailer/</w:t>
      </w:r>
      <w:r w:rsidRPr="00391885">
        <w:t xml:space="preserve">semi-trailer in a vehicle combination shall be controlled within the vehicle combination in such a way that the </w:t>
      </w:r>
      <w:r>
        <w:t>longitudinal/</w:t>
      </w:r>
      <w:r w:rsidRPr="00391885">
        <w:t>lateral stability of the combination is not negatively influenced.</w:t>
      </w:r>
      <w:r>
        <w:t xml:space="preserve"> </w:t>
      </w:r>
    </w:p>
    <w:p w14:paraId="4E23AD97" w14:textId="77777777" w:rsidR="00C72171" w:rsidRDefault="00C72171" w:rsidP="00C72171">
      <w:pPr>
        <w:pStyle w:val="SingleTxtG"/>
        <w:ind w:left="1854"/>
      </w:pPr>
      <w:r w:rsidRPr="00DD1AC0">
        <w:t>The drive train of the trailer</w:t>
      </w:r>
      <w:r>
        <w:t>/semi-trailer</w:t>
      </w:r>
      <w:r w:rsidRPr="00DD1AC0">
        <w:t xml:space="preserve"> can operate in the </w:t>
      </w:r>
      <w:r>
        <w:t>full</w:t>
      </w:r>
      <w:r w:rsidRPr="00DD1AC0">
        <w:t xml:space="preserve"> speed range of </w:t>
      </w:r>
      <w:r>
        <w:t>the vehicle combination</w:t>
      </w:r>
      <w:r w:rsidRPr="00DD1AC0">
        <w:t xml:space="preserve"> and is not limited to low-speed applications.</w:t>
      </w:r>
      <w:r>
        <w:t xml:space="preserve"> But the pushing of the towing vehicle by the trailer/semi-trailer is not permitted at speeds higher than 15 km/h.</w:t>
      </w:r>
    </w:p>
    <w:p w14:paraId="49C76288" w14:textId="7FC1FDCA" w:rsidR="00C72171" w:rsidRDefault="00C72171" w:rsidP="00C72171">
      <w:pPr>
        <w:pStyle w:val="SingleTxtG"/>
        <w:ind w:left="1854"/>
      </w:pPr>
      <w:r w:rsidRPr="00DD1AC0">
        <w:t xml:space="preserve">The trailer </w:t>
      </w:r>
      <w:r>
        <w:t xml:space="preserve">shall </w:t>
      </w:r>
      <w:r w:rsidRPr="00DD1AC0">
        <w:t xml:space="preserve">always remain in the towed condition </w:t>
      </w:r>
      <w:r>
        <w:t xml:space="preserve">with tensile forces in the coupling </w:t>
      </w:r>
      <w:r w:rsidRPr="00DD1AC0">
        <w:t xml:space="preserve">(except for the starting aid and except pushing forces that result from the </w:t>
      </w:r>
      <w:r>
        <w:t xml:space="preserve">normal </w:t>
      </w:r>
      <w:r w:rsidRPr="00DD1AC0">
        <w:t>dynamic conditions of the motor vehicle and trailer while driving</w:t>
      </w:r>
      <w:r>
        <w:t xml:space="preserve">/braking as </w:t>
      </w:r>
      <w:r w:rsidR="00374E4E">
        <w:t>it is</w:t>
      </w:r>
      <w:r>
        <w:t xml:space="preserve"> usual today</w:t>
      </w:r>
      <w:r w:rsidRPr="00DD1AC0">
        <w:t>).</w:t>
      </w:r>
    </w:p>
    <w:p w14:paraId="011BCBBC" w14:textId="77777777" w:rsidR="00C72171" w:rsidRDefault="00C72171" w:rsidP="00C72171">
      <w:pPr>
        <w:pStyle w:val="SingleTxtG"/>
        <w:ind w:left="1854"/>
      </w:pPr>
      <w:r>
        <w:t>Heavy trailers (category O3 and O4) are predestined to be propelled by an electric or hydraulic engine to reduce the overall CO2 emission of the tractor/lorry. But also propelled light trailers (category O2) have a huge effect on vehicle dynamics. The use of a trailer (e.g.,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O2 (e.g., caravan) would allow the use of this trailer in a combination with a battery electric vehicle. The e-trailer would be able to guarantee the normal range of the battery electric car in combination with the trailer without any further emissions.</w:t>
      </w:r>
    </w:p>
    <w:p w14:paraId="226393FC" w14:textId="77777777" w:rsidR="00C72171" w:rsidRDefault="00C72171" w:rsidP="00C72171">
      <w:pPr>
        <w:pStyle w:val="SingleTxtG"/>
        <w:ind w:left="1854"/>
      </w:pPr>
    </w:p>
    <w:p w14:paraId="6130F639" w14:textId="77777777" w:rsidR="00C72171" w:rsidRDefault="00C72171" w:rsidP="00C72171">
      <w:pPr>
        <w:pStyle w:val="SingleTxtG"/>
        <w:numPr>
          <w:ilvl w:val="0"/>
          <w:numId w:val="27"/>
        </w:numPr>
      </w:pPr>
      <w:r>
        <w:t xml:space="preserve">The principles of a trailer/semi-trailer for road transport are defined in several regulations. The main definition of a trailer/semi-trailer describes very often the status to be a “towed vehicle” and in some cases to be “non-self-propelled”. </w:t>
      </w:r>
    </w:p>
    <w:p w14:paraId="2E62DF95" w14:textId="15F861E2" w:rsidR="00C72171" w:rsidRDefault="00C72171" w:rsidP="00C72171">
      <w:pPr>
        <w:pStyle w:val="SingleTxtG"/>
        <w:ind w:left="1854"/>
      </w:pPr>
      <w:r>
        <w:t>The current definition might lead to misunderstandings in the case that one or more trailer axles may be driven by a type of propulsion integrated into the trailer (</w:t>
      </w:r>
      <w:r w:rsidR="00023D79">
        <w:t>e.g.,</w:t>
      </w:r>
      <w:r>
        <w:t xml:space="preserve"> electric engine) in combination with the motor vehicle. A clarification of some definitions in the UNECE regulatory framework would be helpful to avoid different interpretations of type approval authorities worldwide. </w:t>
      </w:r>
    </w:p>
    <w:p w14:paraId="22282475" w14:textId="77777777" w:rsidR="00C72171" w:rsidRDefault="00C72171" w:rsidP="00C72171">
      <w:pPr>
        <w:pStyle w:val="SingleTxtG"/>
        <w:ind w:left="1854"/>
      </w:pPr>
    </w:p>
    <w:p w14:paraId="790B615C" w14:textId="44D47E07" w:rsidR="00C72171" w:rsidRDefault="00C72171" w:rsidP="00C72171">
      <w:pPr>
        <w:pStyle w:val="SingleTxtG"/>
        <w:ind w:left="1854"/>
      </w:pPr>
      <w:r w:rsidRPr="002C7194">
        <w:lastRenderedPageBreak/>
        <w:t xml:space="preserve">Paragraph </w:t>
      </w:r>
      <w:r>
        <w:t>2</w:t>
      </w:r>
      <w:r w:rsidRPr="002C7194">
        <w:t>:</w:t>
      </w:r>
      <w:r>
        <w:t xml:space="preserve"> </w:t>
      </w:r>
    </w:p>
    <w:p w14:paraId="44A303DA" w14:textId="77777777" w:rsidR="00C72171" w:rsidRDefault="00C72171" w:rsidP="00C72171">
      <w:pPr>
        <w:pStyle w:val="SingleTxtG"/>
        <w:ind w:left="1854"/>
      </w:pPr>
      <w:r>
        <w:rPr>
          <w:b/>
          <w:bCs/>
          <w:color w:val="000000" w:themeColor="text1"/>
        </w:rPr>
        <w:t>“</w:t>
      </w:r>
      <w:r w:rsidRPr="00A3727F">
        <w:rPr>
          <w:b/>
          <w:bCs/>
          <w:color w:val="000000" w:themeColor="text1"/>
        </w:rPr>
        <w:t>However, the trailer may be propelled to support the trailer’s motion but shall not apply motive power without being coupled to a towing vehicle.</w:t>
      </w:r>
      <w:r>
        <w:rPr>
          <w:b/>
          <w:bCs/>
          <w:color w:val="000000" w:themeColor="text1"/>
        </w:rPr>
        <w:t xml:space="preserve">” - </w:t>
      </w:r>
      <w:r>
        <w:t>The trailer shall always be a part of the vehicle combination and shall not be used as a self-driving vehicle. Nevertheless, a trailer/semi-trailer may be a propelled vehicle as long the trailer/semi-trailer is designed to be a towed vehicle under normal driving conditions and propelling forces of the trailer contribute to the overall propelling forces of the towing vehicle during motion. The application of forces to the motion of the trailer depends on the coupling status.</w:t>
      </w:r>
    </w:p>
    <w:p w14:paraId="3CD79EBB" w14:textId="10AF0CE3" w:rsidR="00C72171" w:rsidRDefault="00C72171" w:rsidP="00C72171">
      <w:pPr>
        <w:pStyle w:val="SingleTxtG"/>
        <w:ind w:left="1854"/>
      </w:pPr>
    </w:p>
    <w:p w14:paraId="268E0F26" w14:textId="179A5DFD" w:rsidR="0031687B" w:rsidRDefault="0031687B" w:rsidP="00C72171">
      <w:pPr>
        <w:pStyle w:val="SingleTxtG"/>
        <w:ind w:left="1854"/>
      </w:pPr>
      <w:r>
        <w:t>----</w:t>
      </w:r>
    </w:p>
    <w:p w14:paraId="74017695" w14:textId="77777777" w:rsidR="0031687B" w:rsidRDefault="0031687B" w:rsidP="0031687B">
      <w:pPr>
        <w:pStyle w:val="SingleTxtG"/>
        <w:ind w:left="1854"/>
      </w:pPr>
      <w:r>
        <w:t>Remark:</w:t>
      </w:r>
    </w:p>
    <w:p w14:paraId="772F2345" w14:textId="292A9759" w:rsidR="0031687B" w:rsidRPr="00177BD1" w:rsidRDefault="0031687B" w:rsidP="0031687B">
      <w:pPr>
        <w:pStyle w:val="SingleTxtG"/>
        <w:ind w:left="1854"/>
      </w:pPr>
      <w:r>
        <w:t xml:space="preserve">Paragraph </w:t>
      </w:r>
      <w:r w:rsidR="00DD534F">
        <w:t>2</w:t>
      </w:r>
      <w:r>
        <w:t>: “…</w:t>
      </w:r>
      <w:r w:rsidRPr="00FE0ECA">
        <w:rPr>
          <w:i/>
          <w:iCs/>
          <w:color w:val="000000" w:themeColor="text1"/>
        </w:rPr>
        <w:t xml:space="preserve">constructed to be towed by a </w:t>
      </w:r>
      <w:proofErr w:type="gramStart"/>
      <w:r w:rsidRPr="00FE0ECA">
        <w:rPr>
          <w:i/>
          <w:iCs/>
          <w:color w:val="000000" w:themeColor="text1"/>
        </w:rPr>
        <w:t>power driven</w:t>
      </w:r>
      <w:proofErr w:type="gramEnd"/>
      <w:r w:rsidRPr="00FE0ECA">
        <w:rPr>
          <w:i/>
          <w:iCs/>
          <w:color w:val="000000" w:themeColor="text1"/>
        </w:rPr>
        <w:t xml:space="preserve"> vehicle</w:t>
      </w:r>
      <w:r>
        <w:rPr>
          <w:color w:val="000000" w:themeColor="text1"/>
        </w:rPr>
        <w:t>” – The wording “</w:t>
      </w:r>
      <w:r w:rsidRPr="00FE0ECA">
        <w:rPr>
          <w:i/>
          <w:iCs/>
          <w:color w:val="000000" w:themeColor="text1"/>
        </w:rPr>
        <w:t>power driven</w:t>
      </w:r>
      <w:r>
        <w:rPr>
          <w:color w:val="000000" w:themeColor="text1"/>
        </w:rPr>
        <w:t>” is not correct for vehicle combinations with more than one trailer e.g. modular vehicle combinations. This wording maybe deleted.</w:t>
      </w:r>
    </w:p>
    <w:p w14:paraId="3A7E65D1" w14:textId="77777777" w:rsidR="00864A4D" w:rsidRDefault="00864A4D" w:rsidP="00403A7B">
      <w:pPr>
        <w:pStyle w:val="SingleTxtG"/>
        <w:ind w:left="1854"/>
      </w:pPr>
    </w:p>
    <w:sectPr w:rsidR="00864A4D" w:rsidSect="00151208">
      <w:head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ABA4" w14:textId="77777777" w:rsidR="00C106B5" w:rsidRDefault="00C106B5" w:rsidP="00203C11">
      <w:pPr>
        <w:spacing w:line="240" w:lineRule="auto"/>
      </w:pPr>
      <w:r>
        <w:separator/>
      </w:r>
    </w:p>
  </w:endnote>
  <w:endnote w:type="continuationSeparator" w:id="0">
    <w:p w14:paraId="4959F8ED" w14:textId="77777777" w:rsidR="00C106B5" w:rsidRDefault="00C106B5"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B9C8" w14:textId="77777777" w:rsidR="00C106B5" w:rsidRPr="00E378AC" w:rsidRDefault="00C106B5" w:rsidP="00E378AC">
      <w:pPr>
        <w:tabs>
          <w:tab w:val="right" w:pos="2155"/>
        </w:tabs>
        <w:spacing w:after="80"/>
        <w:ind w:left="680"/>
        <w:rPr>
          <w:u w:val="single"/>
        </w:rPr>
      </w:pPr>
      <w:r>
        <w:rPr>
          <w:u w:val="single"/>
        </w:rPr>
        <w:tab/>
      </w:r>
    </w:p>
  </w:footnote>
  <w:footnote w:type="continuationSeparator" w:id="0">
    <w:p w14:paraId="1E626BFF" w14:textId="77777777" w:rsidR="00C106B5" w:rsidRDefault="00C106B5">
      <w:r>
        <w:continuationSeparator/>
      </w:r>
    </w:p>
  </w:footnote>
  <w:footnote w:id="1">
    <w:p w14:paraId="57437A8E" w14:textId="77777777" w:rsidR="00C72171" w:rsidRPr="00144BF1" w:rsidRDefault="00C72171" w:rsidP="00C72171">
      <w:pPr>
        <w:pStyle w:val="FootnoteText"/>
        <w:rPr>
          <w:lang w:val="en-US"/>
        </w:rPr>
      </w:pPr>
      <w:r>
        <w:rPr>
          <w:rStyle w:val="FootnoteReference"/>
        </w:rPr>
        <w:footnoteRef/>
      </w:r>
      <w:r>
        <w:t xml:space="preserve"> T</w:t>
      </w:r>
      <w:r w:rsidRPr="00CA322B">
        <w:t>he European Commission is working on a draft regulation to implement trailers into CO2 certification process.</w:t>
      </w:r>
      <w:r>
        <w:t xml:space="preserve"> </w:t>
      </w:r>
      <w:r>
        <w:rPr>
          <w:lang w:val="en-US"/>
        </w:rPr>
        <w:t>The final regulation is to be provided soon.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890D02" w14:paraId="2B30589E" w14:textId="77777777" w:rsidTr="002E70EC">
      <w:tc>
        <w:tcPr>
          <w:tcW w:w="4253" w:type="dxa"/>
          <w:hideMark/>
        </w:tcPr>
        <w:p w14:paraId="47DD0A6F" w14:textId="781EAE1B"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sidR="00CA322B">
            <w:rPr>
              <w:rFonts w:eastAsia="Calibri"/>
              <w:kern w:val="2"/>
            </w:rPr>
            <w:t>CLCCR</w:t>
          </w:r>
        </w:p>
      </w:tc>
      <w:tc>
        <w:tcPr>
          <w:tcW w:w="5245" w:type="dxa"/>
          <w:hideMark/>
        </w:tcPr>
        <w:p w14:paraId="05E61DA5" w14:textId="45B6DA26" w:rsidR="00B156BC" w:rsidRPr="00890D02" w:rsidRDefault="00B156BC" w:rsidP="00B156BC">
          <w:pPr>
            <w:suppressAutoHyphens w:val="0"/>
            <w:spacing w:line="240" w:lineRule="auto"/>
            <w:ind w:left="2155"/>
            <w:jc w:val="right"/>
            <w:rPr>
              <w:rFonts w:eastAsia="Calibri"/>
              <w:b/>
              <w:bCs/>
              <w:kern w:val="2"/>
              <w:lang w:val="de-DE"/>
            </w:rPr>
          </w:pPr>
          <w:r w:rsidRPr="00890D02">
            <w:rPr>
              <w:rFonts w:eastAsia="Calibri"/>
              <w:kern w:val="2"/>
              <w:u w:val="single"/>
              <w:lang w:val="de-DE"/>
            </w:rPr>
            <w:t xml:space="preserve">Informal </w:t>
          </w:r>
          <w:proofErr w:type="spellStart"/>
          <w:r w:rsidRPr="00890D02">
            <w:rPr>
              <w:rFonts w:eastAsia="Calibri"/>
              <w:kern w:val="2"/>
              <w:u w:val="single"/>
              <w:lang w:val="de-DE"/>
            </w:rPr>
            <w:t>document</w:t>
          </w:r>
          <w:proofErr w:type="spellEnd"/>
          <w:r w:rsidRPr="00890D02">
            <w:rPr>
              <w:rFonts w:eastAsia="Calibri"/>
              <w:kern w:val="2"/>
              <w:lang w:val="de-DE"/>
            </w:rPr>
            <w:t xml:space="preserve"> </w:t>
          </w:r>
          <w:r w:rsidRPr="00890D02">
            <w:rPr>
              <w:rFonts w:eastAsia="Calibri"/>
              <w:b/>
              <w:bCs/>
              <w:kern w:val="2"/>
              <w:lang w:val="de-DE"/>
            </w:rPr>
            <w:t>GRSG-1</w:t>
          </w:r>
          <w:r w:rsidR="00144BF1" w:rsidRPr="00890D02">
            <w:rPr>
              <w:rFonts w:eastAsia="Calibri"/>
              <w:b/>
              <w:bCs/>
              <w:kern w:val="2"/>
              <w:lang w:val="de-DE"/>
            </w:rPr>
            <w:t>2</w:t>
          </w:r>
          <w:r w:rsidR="00890D02" w:rsidRPr="00890D02">
            <w:rPr>
              <w:rFonts w:eastAsia="Calibri"/>
              <w:b/>
              <w:bCs/>
              <w:kern w:val="2"/>
              <w:lang w:val="de-DE"/>
            </w:rPr>
            <w:t>2</w:t>
          </w:r>
          <w:r w:rsidRPr="00890D02">
            <w:rPr>
              <w:rFonts w:eastAsia="Calibri"/>
              <w:b/>
              <w:bCs/>
              <w:kern w:val="2"/>
              <w:lang w:val="de-DE"/>
            </w:rPr>
            <w:t>-</w:t>
          </w:r>
          <w:r w:rsidR="00C56F9D">
            <w:rPr>
              <w:rFonts w:eastAsia="Calibri"/>
              <w:b/>
              <w:bCs/>
              <w:kern w:val="2"/>
              <w:lang w:val="de-DE"/>
            </w:rPr>
            <w:t>29</w:t>
          </w:r>
        </w:p>
        <w:p w14:paraId="680BE3D5" w14:textId="257A05FA" w:rsidR="00B156BC" w:rsidRPr="00890D02" w:rsidRDefault="00B156BC" w:rsidP="00B156BC">
          <w:pPr>
            <w:tabs>
              <w:tab w:val="center" w:pos="4536"/>
              <w:tab w:val="right" w:pos="9072"/>
            </w:tabs>
            <w:suppressAutoHyphens w:val="0"/>
            <w:spacing w:line="240" w:lineRule="auto"/>
            <w:ind w:left="2155"/>
            <w:jc w:val="right"/>
            <w:rPr>
              <w:rFonts w:eastAsia="Calibri"/>
              <w:kern w:val="2"/>
              <w:lang w:val="de-DE"/>
            </w:rPr>
          </w:pPr>
          <w:r w:rsidRPr="00890D02">
            <w:rPr>
              <w:rFonts w:eastAsia="Calibri"/>
              <w:kern w:val="2"/>
              <w:lang w:val="de-DE"/>
            </w:rPr>
            <w:t>(1</w:t>
          </w:r>
          <w:r w:rsidR="00144BF1" w:rsidRPr="00890D02">
            <w:rPr>
              <w:rFonts w:eastAsia="Calibri"/>
              <w:kern w:val="2"/>
              <w:lang w:val="de-DE"/>
            </w:rPr>
            <w:t>2</w:t>
          </w:r>
          <w:r w:rsidR="00890D02" w:rsidRPr="00890D02">
            <w:rPr>
              <w:rFonts w:eastAsia="Calibri"/>
              <w:kern w:val="2"/>
              <w:lang w:val="de-DE"/>
            </w:rPr>
            <w:t>2nd</w:t>
          </w:r>
          <w:r w:rsidRPr="00890D02">
            <w:rPr>
              <w:rFonts w:eastAsia="Calibri"/>
              <w:kern w:val="2"/>
              <w:lang w:val="de-DE"/>
            </w:rPr>
            <w:t xml:space="preserve"> GRSG, </w:t>
          </w:r>
          <w:r w:rsidR="00A64F31" w:rsidRPr="00890D02">
            <w:rPr>
              <w:rFonts w:eastAsia="Calibri"/>
              <w:kern w:val="2"/>
              <w:lang w:val="de-DE"/>
            </w:rPr>
            <w:t>1</w:t>
          </w:r>
          <w:r w:rsidR="00890D02">
            <w:rPr>
              <w:rFonts w:eastAsia="Calibri"/>
              <w:kern w:val="2"/>
              <w:lang w:val="de-DE"/>
            </w:rPr>
            <w:t xml:space="preserve">2-15 </w:t>
          </w:r>
          <w:proofErr w:type="spellStart"/>
          <w:r w:rsidR="00890D02">
            <w:rPr>
              <w:rFonts w:eastAsia="Calibri"/>
              <w:kern w:val="2"/>
              <w:lang w:val="de-DE"/>
            </w:rPr>
            <w:t>October</w:t>
          </w:r>
          <w:proofErr w:type="spellEnd"/>
          <w:r w:rsidR="00A64F31" w:rsidRPr="00890D02">
            <w:rPr>
              <w:rFonts w:eastAsia="Calibri"/>
              <w:kern w:val="2"/>
              <w:lang w:val="de-DE"/>
            </w:rPr>
            <w:t xml:space="preserve"> 2021 </w:t>
          </w:r>
          <w:r w:rsidRPr="00890D02">
            <w:rPr>
              <w:rFonts w:eastAsia="Calibri"/>
              <w:kern w:val="2"/>
              <w:lang w:val="de-DE"/>
            </w:rPr>
            <w:t>Agenda item</w:t>
          </w:r>
          <w:r w:rsidR="005C1098" w:rsidRPr="00890D02">
            <w:rPr>
              <w:rFonts w:eastAsia="Calibri"/>
              <w:kern w:val="2"/>
              <w:lang w:val="de-DE"/>
            </w:rPr>
            <w:t xml:space="preserve"> </w:t>
          </w:r>
          <w:r w:rsidR="00B337E3">
            <w:rPr>
              <w:rFonts w:eastAsia="Calibri"/>
              <w:kern w:val="2"/>
              <w:lang w:val="de-DE"/>
            </w:rPr>
            <w:t>16</w:t>
          </w:r>
          <w:r w:rsidRPr="00890D02">
            <w:rPr>
              <w:rFonts w:eastAsia="Calibri"/>
              <w:kern w:val="2"/>
              <w:lang w:val="de-DE"/>
            </w:rPr>
            <w:t>)</w:t>
          </w:r>
        </w:p>
      </w:tc>
    </w:tr>
  </w:tbl>
  <w:p w14:paraId="5DE79F76" w14:textId="62003EB9" w:rsidR="00D06F91" w:rsidRPr="00890D02" w:rsidRDefault="00D06F91" w:rsidP="006E324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8047723"/>
    <w:multiLevelType w:val="hybridMultilevel"/>
    <w:tmpl w:val="BA22422E"/>
    <w:lvl w:ilvl="0" w:tplc="2F0EB282">
      <w:start w:val="2"/>
      <w:numFmt w:val="decimal"/>
      <w:lvlText w:val="%1."/>
      <w:lvlJc w:val="left"/>
      <w:pPr>
        <w:tabs>
          <w:tab w:val="num" w:pos="720"/>
        </w:tabs>
        <w:ind w:left="720" w:hanging="360"/>
      </w:pPr>
    </w:lvl>
    <w:lvl w:ilvl="1" w:tplc="C0065A12" w:tentative="1">
      <w:start w:val="1"/>
      <w:numFmt w:val="decimal"/>
      <w:lvlText w:val="%2."/>
      <w:lvlJc w:val="left"/>
      <w:pPr>
        <w:tabs>
          <w:tab w:val="num" w:pos="1440"/>
        </w:tabs>
        <w:ind w:left="1440" w:hanging="360"/>
      </w:pPr>
    </w:lvl>
    <w:lvl w:ilvl="2" w:tplc="FEB61774" w:tentative="1">
      <w:start w:val="1"/>
      <w:numFmt w:val="decimal"/>
      <w:lvlText w:val="%3."/>
      <w:lvlJc w:val="left"/>
      <w:pPr>
        <w:tabs>
          <w:tab w:val="num" w:pos="2160"/>
        </w:tabs>
        <w:ind w:left="2160" w:hanging="360"/>
      </w:pPr>
    </w:lvl>
    <w:lvl w:ilvl="3" w:tplc="43849DD0" w:tentative="1">
      <w:start w:val="1"/>
      <w:numFmt w:val="decimal"/>
      <w:lvlText w:val="%4."/>
      <w:lvlJc w:val="left"/>
      <w:pPr>
        <w:tabs>
          <w:tab w:val="num" w:pos="2880"/>
        </w:tabs>
        <w:ind w:left="2880" w:hanging="360"/>
      </w:pPr>
    </w:lvl>
    <w:lvl w:ilvl="4" w:tplc="9A8C8044" w:tentative="1">
      <w:start w:val="1"/>
      <w:numFmt w:val="decimal"/>
      <w:lvlText w:val="%5."/>
      <w:lvlJc w:val="left"/>
      <w:pPr>
        <w:tabs>
          <w:tab w:val="num" w:pos="3600"/>
        </w:tabs>
        <w:ind w:left="3600" w:hanging="360"/>
      </w:pPr>
    </w:lvl>
    <w:lvl w:ilvl="5" w:tplc="2AF8F9D4" w:tentative="1">
      <w:start w:val="1"/>
      <w:numFmt w:val="decimal"/>
      <w:lvlText w:val="%6."/>
      <w:lvlJc w:val="left"/>
      <w:pPr>
        <w:tabs>
          <w:tab w:val="num" w:pos="4320"/>
        </w:tabs>
        <w:ind w:left="4320" w:hanging="360"/>
      </w:pPr>
    </w:lvl>
    <w:lvl w:ilvl="6" w:tplc="C324EF46" w:tentative="1">
      <w:start w:val="1"/>
      <w:numFmt w:val="decimal"/>
      <w:lvlText w:val="%7."/>
      <w:lvlJc w:val="left"/>
      <w:pPr>
        <w:tabs>
          <w:tab w:val="num" w:pos="5040"/>
        </w:tabs>
        <w:ind w:left="5040" w:hanging="360"/>
      </w:pPr>
    </w:lvl>
    <w:lvl w:ilvl="7" w:tplc="DE82A3CA" w:tentative="1">
      <w:start w:val="1"/>
      <w:numFmt w:val="decimal"/>
      <w:lvlText w:val="%8."/>
      <w:lvlJc w:val="left"/>
      <w:pPr>
        <w:tabs>
          <w:tab w:val="num" w:pos="5760"/>
        </w:tabs>
        <w:ind w:left="5760" w:hanging="360"/>
      </w:pPr>
    </w:lvl>
    <w:lvl w:ilvl="8" w:tplc="05BA2D96" w:tentative="1">
      <w:start w:val="1"/>
      <w:numFmt w:val="decimal"/>
      <w:lvlText w:val="%9."/>
      <w:lvlJc w:val="left"/>
      <w:pPr>
        <w:tabs>
          <w:tab w:val="num" w:pos="6480"/>
        </w:tabs>
        <w:ind w:left="6480" w:hanging="360"/>
      </w:pPr>
    </w:lvl>
  </w:abstractNum>
  <w:abstractNum w:abstractNumId="14"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D514343"/>
    <w:multiLevelType w:val="hybridMultilevel"/>
    <w:tmpl w:val="AC86213E"/>
    <w:lvl w:ilvl="0" w:tplc="8DB4D19A">
      <w:start w:val="2"/>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4"/>
  </w:num>
  <w:num w:numId="24">
    <w:abstractNumId w:val="17"/>
  </w:num>
  <w:num w:numId="25">
    <w:abstractNumId w:val="16"/>
  </w:num>
  <w:num w:numId="26">
    <w:abstractNumId w:val="12"/>
  </w:num>
  <w:num w:numId="27">
    <w:abstractNumId w:val="11"/>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23D79"/>
    <w:rsid w:val="0004382F"/>
    <w:rsid w:val="0005715A"/>
    <w:rsid w:val="00087A85"/>
    <w:rsid w:val="000C75E6"/>
    <w:rsid w:val="000D367D"/>
    <w:rsid w:val="000D441A"/>
    <w:rsid w:val="000E1E99"/>
    <w:rsid w:val="001309F4"/>
    <w:rsid w:val="00143D77"/>
    <w:rsid w:val="00144BF1"/>
    <w:rsid w:val="00151208"/>
    <w:rsid w:val="00170E8B"/>
    <w:rsid w:val="001A33AD"/>
    <w:rsid w:val="001B2AAB"/>
    <w:rsid w:val="001B5B00"/>
    <w:rsid w:val="001D6C5C"/>
    <w:rsid w:val="001E3744"/>
    <w:rsid w:val="001F1DCE"/>
    <w:rsid w:val="001F7230"/>
    <w:rsid w:val="00203BAB"/>
    <w:rsid w:val="00203C11"/>
    <w:rsid w:val="00214421"/>
    <w:rsid w:val="0021630E"/>
    <w:rsid w:val="0022134B"/>
    <w:rsid w:val="00222D9F"/>
    <w:rsid w:val="00226B1A"/>
    <w:rsid w:val="002419D6"/>
    <w:rsid w:val="00242021"/>
    <w:rsid w:val="00255851"/>
    <w:rsid w:val="00260DDF"/>
    <w:rsid w:val="0027542D"/>
    <w:rsid w:val="002B4811"/>
    <w:rsid w:val="002B5680"/>
    <w:rsid w:val="002D7489"/>
    <w:rsid w:val="002E6B62"/>
    <w:rsid w:val="00303B6E"/>
    <w:rsid w:val="0031687B"/>
    <w:rsid w:val="00326F61"/>
    <w:rsid w:val="00340A6E"/>
    <w:rsid w:val="00343F08"/>
    <w:rsid w:val="00351879"/>
    <w:rsid w:val="00374E4E"/>
    <w:rsid w:val="00391885"/>
    <w:rsid w:val="0039598B"/>
    <w:rsid w:val="003F6115"/>
    <w:rsid w:val="00403A7B"/>
    <w:rsid w:val="00411DA6"/>
    <w:rsid w:val="0041551E"/>
    <w:rsid w:val="00416C08"/>
    <w:rsid w:val="004340CB"/>
    <w:rsid w:val="0044062B"/>
    <w:rsid w:val="00461D8F"/>
    <w:rsid w:val="004756F4"/>
    <w:rsid w:val="00494339"/>
    <w:rsid w:val="0049466C"/>
    <w:rsid w:val="004A29E9"/>
    <w:rsid w:val="004A5BFD"/>
    <w:rsid w:val="004A6D09"/>
    <w:rsid w:val="004D5A4F"/>
    <w:rsid w:val="004E652D"/>
    <w:rsid w:val="00522A72"/>
    <w:rsid w:val="00541748"/>
    <w:rsid w:val="005564BE"/>
    <w:rsid w:val="005762BC"/>
    <w:rsid w:val="00583F3B"/>
    <w:rsid w:val="00592DED"/>
    <w:rsid w:val="00597140"/>
    <w:rsid w:val="005B3E3F"/>
    <w:rsid w:val="005B7B51"/>
    <w:rsid w:val="005C1098"/>
    <w:rsid w:val="005D37CC"/>
    <w:rsid w:val="005F4E31"/>
    <w:rsid w:val="00606B49"/>
    <w:rsid w:val="006321A9"/>
    <w:rsid w:val="00686461"/>
    <w:rsid w:val="006B40F3"/>
    <w:rsid w:val="006E324D"/>
    <w:rsid w:val="006F13D9"/>
    <w:rsid w:val="006F2B2E"/>
    <w:rsid w:val="006F6664"/>
    <w:rsid w:val="00785AC2"/>
    <w:rsid w:val="007929D7"/>
    <w:rsid w:val="00795D97"/>
    <w:rsid w:val="007B6374"/>
    <w:rsid w:val="007C3269"/>
    <w:rsid w:val="007D1613"/>
    <w:rsid w:val="007D1EE3"/>
    <w:rsid w:val="008058D9"/>
    <w:rsid w:val="0082103C"/>
    <w:rsid w:val="00851340"/>
    <w:rsid w:val="00852CAE"/>
    <w:rsid w:val="00864A4D"/>
    <w:rsid w:val="00890D02"/>
    <w:rsid w:val="00896C5E"/>
    <w:rsid w:val="008D28DC"/>
    <w:rsid w:val="008D5A13"/>
    <w:rsid w:val="008F3F56"/>
    <w:rsid w:val="00926B71"/>
    <w:rsid w:val="00930D94"/>
    <w:rsid w:val="00933375"/>
    <w:rsid w:val="00941811"/>
    <w:rsid w:val="00955848"/>
    <w:rsid w:val="009642C6"/>
    <w:rsid w:val="0097132E"/>
    <w:rsid w:val="00973A7E"/>
    <w:rsid w:val="009B279C"/>
    <w:rsid w:val="009C5365"/>
    <w:rsid w:val="009D0DA6"/>
    <w:rsid w:val="009E547A"/>
    <w:rsid w:val="009E646F"/>
    <w:rsid w:val="009E6A52"/>
    <w:rsid w:val="00A26C87"/>
    <w:rsid w:val="00A46FA7"/>
    <w:rsid w:val="00A51A2B"/>
    <w:rsid w:val="00A64F31"/>
    <w:rsid w:val="00A67E77"/>
    <w:rsid w:val="00AA08C0"/>
    <w:rsid w:val="00AC4428"/>
    <w:rsid w:val="00AC74F7"/>
    <w:rsid w:val="00AE439A"/>
    <w:rsid w:val="00AE6268"/>
    <w:rsid w:val="00B0473B"/>
    <w:rsid w:val="00B127B6"/>
    <w:rsid w:val="00B14EBD"/>
    <w:rsid w:val="00B156BC"/>
    <w:rsid w:val="00B32310"/>
    <w:rsid w:val="00B33712"/>
    <w:rsid w:val="00B337E3"/>
    <w:rsid w:val="00B477C3"/>
    <w:rsid w:val="00B9350C"/>
    <w:rsid w:val="00B975D5"/>
    <w:rsid w:val="00BA2AF9"/>
    <w:rsid w:val="00BD73F8"/>
    <w:rsid w:val="00BE7A0C"/>
    <w:rsid w:val="00C0489C"/>
    <w:rsid w:val="00C106B5"/>
    <w:rsid w:val="00C301A7"/>
    <w:rsid w:val="00C56F9D"/>
    <w:rsid w:val="00C72171"/>
    <w:rsid w:val="00C86958"/>
    <w:rsid w:val="00C93986"/>
    <w:rsid w:val="00CA322B"/>
    <w:rsid w:val="00CB3CEF"/>
    <w:rsid w:val="00CD29FA"/>
    <w:rsid w:val="00D06F91"/>
    <w:rsid w:val="00D55DBE"/>
    <w:rsid w:val="00D84B0B"/>
    <w:rsid w:val="00D87D12"/>
    <w:rsid w:val="00D87F6B"/>
    <w:rsid w:val="00D91A1D"/>
    <w:rsid w:val="00D9262A"/>
    <w:rsid w:val="00D9479F"/>
    <w:rsid w:val="00DB2FAD"/>
    <w:rsid w:val="00DC0D2A"/>
    <w:rsid w:val="00DD1AC0"/>
    <w:rsid w:val="00DD534F"/>
    <w:rsid w:val="00DD5F08"/>
    <w:rsid w:val="00DD69D9"/>
    <w:rsid w:val="00DF0C11"/>
    <w:rsid w:val="00DF0E34"/>
    <w:rsid w:val="00E01D68"/>
    <w:rsid w:val="00E10A6D"/>
    <w:rsid w:val="00E22A89"/>
    <w:rsid w:val="00E378AC"/>
    <w:rsid w:val="00E43A91"/>
    <w:rsid w:val="00E8137B"/>
    <w:rsid w:val="00E866A5"/>
    <w:rsid w:val="00E967C3"/>
    <w:rsid w:val="00ED2A2A"/>
    <w:rsid w:val="00EE41A4"/>
    <w:rsid w:val="00F00C55"/>
    <w:rsid w:val="00F14A85"/>
    <w:rsid w:val="00F448DB"/>
    <w:rsid w:val="00F44D0B"/>
    <w:rsid w:val="00F607C0"/>
    <w:rsid w:val="00F7502A"/>
    <w:rsid w:val="00F94A2A"/>
    <w:rsid w:val="00FB4CB2"/>
    <w:rsid w:val="00FC07BF"/>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934">
      <w:bodyDiv w:val="1"/>
      <w:marLeft w:val="0"/>
      <w:marRight w:val="0"/>
      <w:marTop w:val="0"/>
      <w:marBottom w:val="0"/>
      <w:divBdr>
        <w:top w:val="none" w:sz="0" w:space="0" w:color="auto"/>
        <w:left w:val="none" w:sz="0" w:space="0" w:color="auto"/>
        <w:bottom w:val="none" w:sz="0" w:space="0" w:color="auto"/>
        <w:right w:val="none" w:sz="0" w:space="0" w:color="auto"/>
      </w:divBdr>
    </w:div>
    <w:div w:id="361398211">
      <w:bodyDiv w:val="1"/>
      <w:marLeft w:val="0"/>
      <w:marRight w:val="0"/>
      <w:marTop w:val="0"/>
      <w:marBottom w:val="0"/>
      <w:divBdr>
        <w:top w:val="none" w:sz="0" w:space="0" w:color="auto"/>
        <w:left w:val="none" w:sz="0" w:space="0" w:color="auto"/>
        <w:bottom w:val="none" w:sz="0" w:space="0" w:color="auto"/>
        <w:right w:val="none" w:sz="0" w:space="0" w:color="auto"/>
      </w:divBdr>
    </w:div>
    <w:div w:id="458501899">
      <w:bodyDiv w:val="1"/>
      <w:marLeft w:val="0"/>
      <w:marRight w:val="0"/>
      <w:marTop w:val="0"/>
      <w:marBottom w:val="0"/>
      <w:divBdr>
        <w:top w:val="none" w:sz="0" w:space="0" w:color="auto"/>
        <w:left w:val="none" w:sz="0" w:space="0" w:color="auto"/>
        <w:bottom w:val="none" w:sz="0" w:space="0" w:color="auto"/>
        <w:right w:val="none" w:sz="0" w:space="0" w:color="auto"/>
      </w:divBdr>
    </w:div>
    <w:div w:id="2130733380">
      <w:bodyDiv w:val="1"/>
      <w:marLeft w:val="0"/>
      <w:marRight w:val="0"/>
      <w:marTop w:val="0"/>
      <w:marBottom w:val="0"/>
      <w:divBdr>
        <w:top w:val="none" w:sz="0" w:space="0" w:color="auto"/>
        <w:left w:val="none" w:sz="0" w:space="0" w:color="auto"/>
        <w:bottom w:val="none" w:sz="0" w:space="0" w:color="auto"/>
        <w:right w:val="none" w:sz="0" w:space="0" w:color="auto"/>
      </w:divBdr>
      <w:divsChild>
        <w:div w:id="13564930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2.xml><?xml version="1.0" encoding="utf-8"?>
<ds:datastoreItem xmlns:ds="http://schemas.openxmlformats.org/officeDocument/2006/customXml" ds:itemID="{C4CB5BE0-C839-4553-84B3-3EFD8A58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6A12A-6C70-4593-ABC7-B80C6BC1AE50}">
  <ds:schemaRefs>
    <ds:schemaRef ds:uri="http://schemas.openxmlformats.org/officeDocument/2006/bibliography"/>
  </ds:schemaRefs>
</ds:datastoreItem>
</file>

<file path=customXml/itemProps4.xml><?xml version="1.0" encoding="utf-8"?>
<ds:datastoreItem xmlns:ds="http://schemas.openxmlformats.org/officeDocument/2006/customXml" ds:itemID="{BD119EBB-8908-40A2-934E-C6E4DC514CE7}">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ECE/TRANS/WP.29/GRSG/2020/19</vt:lpstr>
      <vt:lpstr>ECE/TRANS/WP.29/GRSG/2020/19</vt:lpstr>
      <vt:lpstr>ECE/TRANS/WP.29/GRSG/2019/34</vt:lpstr>
      <vt:lpstr>ECE/TRANS/WP.29/GRSG/2019/34</vt:lpstr>
    </vt:vector>
  </TitlesOfParts>
  <Company>MIT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2010004</dc:subject>
  <dc:creator>Pfeifer, Sascha</dc:creator>
  <cp:keywords/>
  <dc:description/>
  <cp:lastModifiedBy>Benedicte Boudol</cp:lastModifiedBy>
  <cp:revision>2</cp:revision>
  <cp:lastPrinted>2019-07-19T11:29:00Z</cp:lastPrinted>
  <dcterms:created xsi:type="dcterms:W3CDTF">2021-10-08T15:13:00Z</dcterms:created>
  <dcterms:modified xsi:type="dcterms:W3CDTF">2021-10-08T15:13:00Z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