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ook w:val="04A0" w:firstRow="1" w:lastRow="0" w:firstColumn="1" w:lastColumn="0" w:noHBand="0" w:noVBand="1"/>
      </w:tblPr>
      <w:tblGrid>
        <w:gridCol w:w="4962"/>
        <w:gridCol w:w="4961"/>
      </w:tblGrid>
      <w:tr w:rsidR="00E70D1B" w:rsidRPr="00E70D1B" w14:paraId="5F47BFF9" w14:textId="77777777" w:rsidTr="00276550">
        <w:tc>
          <w:tcPr>
            <w:tcW w:w="4962" w:type="dxa"/>
          </w:tcPr>
          <w:p w14:paraId="789E5EAF" w14:textId="77777777" w:rsidR="00E70D1B" w:rsidRPr="00E70D1B" w:rsidRDefault="00E70D1B" w:rsidP="00E70D1B">
            <w:pPr>
              <w:tabs>
                <w:tab w:val="center" w:pos="4680"/>
                <w:tab w:val="right" w:pos="9360"/>
              </w:tabs>
              <w:spacing w:after="0" w:line="240" w:lineRule="auto"/>
              <w:rPr>
                <w:rFonts w:ascii="Arial" w:eastAsia="Times New Roman" w:hAnsi="Arial" w:cs="Times New Roman"/>
                <w:sz w:val="20"/>
                <w:szCs w:val="20"/>
                <w:lang w:val="en-GB"/>
              </w:rPr>
            </w:pPr>
            <w:r w:rsidRPr="00E70D1B">
              <w:rPr>
                <w:rFonts w:ascii="Arial" w:eastAsia="Times New Roman" w:hAnsi="Arial" w:cs="Times New Roman"/>
                <w:sz w:val="20"/>
                <w:szCs w:val="20"/>
                <w:lang w:val="en-GB"/>
              </w:rPr>
              <w:t>Submitted by the expert from NGV Global</w:t>
            </w:r>
          </w:p>
          <w:p w14:paraId="6EA3628C" w14:textId="77777777" w:rsidR="00E70D1B" w:rsidRPr="00E70D1B" w:rsidRDefault="00E70D1B" w:rsidP="00E70D1B">
            <w:pPr>
              <w:tabs>
                <w:tab w:val="center" w:pos="4680"/>
                <w:tab w:val="right" w:pos="9360"/>
              </w:tabs>
              <w:spacing w:after="0" w:line="240" w:lineRule="auto"/>
              <w:rPr>
                <w:rFonts w:ascii="Arial" w:eastAsia="Times New Roman" w:hAnsi="Arial" w:cs="Times New Roman"/>
                <w:sz w:val="20"/>
                <w:szCs w:val="20"/>
                <w:lang w:val="en-GB"/>
              </w:rPr>
            </w:pPr>
          </w:p>
          <w:p w14:paraId="0D08822F" w14:textId="77777777" w:rsidR="00E70D1B" w:rsidRPr="00E70D1B" w:rsidRDefault="00E70D1B" w:rsidP="00E70D1B">
            <w:pPr>
              <w:tabs>
                <w:tab w:val="center" w:pos="4680"/>
                <w:tab w:val="right" w:pos="9360"/>
              </w:tabs>
              <w:spacing w:after="0" w:line="240" w:lineRule="auto"/>
              <w:rPr>
                <w:rFonts w:ascii="Arial" w:eastAsia="Times New Roman" w:hAnsi="Arial" w:cs="Times New Roman"/>
                <w:sz w:val="16"/>
                <w:szCs w:val="16"/>
                <w:lang w:val="en-GB"/>
              </w:rPr>
            </w:pPr>
          </w:p>
        </w:tc>
        <w:tc>
          <w:tcPr>
            <w:tcW w:w="4961" w:type="dxa"/>
            <w:hideMark/>
          </w:tcPr>
          <w:p w14:paraId="1A76F927" w14:textId="046F945E" w:rsidR="00E70D1B" w:rsidRPr="00E70D1B" w:rsidRDefault="00E70D1B" w:rsidP="00E70D1B">
            <w:pPr>
              <w:ind w:left="742"/>
              <w:rPr>
                <w:rFonts w:ascii="Arial" w:eastAsia="Times New Roman" w:hAnsi="Arial" w:cs="Times New Roman"/>
                <w:b/>
                <w:bCs/>
                <w:sz w:val="20"/>
                <w:szCs w:val="20"/>
                <w:lang w:val="en-GB"/>
              </w:rPr>
            </w:pPr>
            <w:r w:rsidRPr="00E70D1B">
              <w:rPr>
                <w:rFonts w:ascii="Arial" w:eastAsia="Times New Roman" w:hAnsi="Arial" w:cs="Times New Roman"/>
                <w:sz w:val="20"/>
                <w:szCs w:val="20"/>
                <w:u w:val="single"/>
                <w:lang w:val="en-GB"/>
              </w:rPr>
              <w:t>Informal document</w:t>
            </w:r>
            <w:r w:rsidRPr="00E70D1B">
              <w:rPr>
                <w:rFonts w:ascii="Arial" w:eastAsia="Times New Roman" w:hAnsi="Arial" w:cs="Times New Roman"/>
                <w:sz w:val="20"/>
                <w:szCs w:val="20"/>
                <w:lang w:val="en-GB"/>
              </w:rPr>
              <w:t xml:space="preserve"> </w:t>
            </w:r>
            <w:r w:rsidRPr="00E70D1B">
              <w:rPr>
                <w:rFonts w:ascii="Arial" w:eastAsia="Times New Roman" w:hAnsi="Arial" w:cs="Times New Roman"/>
                <w:b/>
                <w:bCs/>
                <w:sz w:val="20"/>
                <w:szCs w:val="20"/>
                <w:lang w:val="en-GB"/>
              </w:rPr>
              <w:t>GRSG-</w:t>
            </w:r>
            <w:r>
              <w:rPr>
                <w:rFonts w:ascii="Arial" w:eastAsia="Times New Roman" w:hAnsi="Arial" w:cs="Times New Roman"/>
                <w:b/>
                <w:bCs/>
                <w:sz w:val="20"/>
                <w:szCs w:val="20"/>
                <w:lang w:val="en-GB"/>
              </w:rPr>
              <w:t>122</w:t>
            </w:r>
            <w:r w:rsidRPr="00E70D1B">
              <w:rPr>
                <w:rFonts w:ascii="Arial" w:eastAsia="Times New Roman" w:hAnsi="Arial" w:cs="Times New Roman"/>
                <w:b/>
                <w:bCs/>
                <w:sz w:val="20"/>
                <w:szCs w:val="20"/>
                <w:lang w:val="en-GB"/>
              </w:rPr>
              <w:t>-</w:t>
            </w:r>
            <w:r w:rsidR="00496D5A">
              <w:rPr>
                <w:rFonts w:ascii="Arial" w:eastAsia="Times New Roman" w:hAnsi="Arial" w:cs="Times New Roman"/>
                <w:b/>
                <w:bCs/>
                <w:sz w:val="20"/>
                <w:szCs w:val="20"/>
                <w:lang w:val="en-GB"/>
              </w:rPr>
              <w:t>28</w:t>
            </w:r>
          </w:p>
          <w:p w14:paraId="614109DC" w14:textId="59325C58" w:rsidR="00E70D1B" w:rsidRPr="00E70D1B" w:rsidRDefault="00E70D1B" w:rsidP="00E70D1B">
            <w:pPr>
              <w:tabs>
                <w:tab w:val="center" w:pos="4680"/>
                <w:tab w:val="right" w:pos="9360"/>
              </w:tabs>
              <w:spacing w:after="0" w:line="240" w:lineRule="auto"/>
              <w:ind w:left="742"/>
              <w:rPr>
                <w:rFonts w:ascii="Arial" w:eastAsia="Times New Roman" w:hAnsi="Arial" w:cs="Times New Roman"/>
                <w:sz w:val="20"/>
                <w:szCs w:val="20"/>
                <w:lang w:val="en-GB"/>
              </w:rPr>
            </w:pPr>
            <w:r w:rsidRPr="00E70D1B">
              <w:rPr>
                <w:rFonts w:ascii="Arial" w:eastAsia="Times New Roman" w:hAnsi="Arial" w:cs="Times New Roman"/>
                <w:sz w:val="20"/>
                <w:szCs w:val="20"/>
                <w:lang w:val="en-GB"/>
              </w:rPr>
              <w:t>(</w:t>
            </w:r>
            <w:r>
              <w:rPr>
                <w:rFonts w:ascii="Arial" w:eastAsia="Times New Roman" w:hAnsi="Arial" w:cs="Times New Roman"/>
                <w:sz w:val="20"/>
                <w:szCs w:val="20"/>
                <w:lang w:val="en-GB"/>
              </w:rPr>
              <w:t>122</w:t>
            </w:r>
            <w:r w:rsidRPr="00E70D1B">
              <w:rPr>
                <w:rFonts w:ascii="Arial" w:eastAsia="Times New Roman" w:hAnsi="Arial" w:cs="Times New Roman"/>
                <w:sz w:val="20"/>
                <w:szCs w:val="20"/>
                <w:vertAlign w:val="superscript"/>
                <w:lang w:val="en-GB"/>
              </w:rPr>
              <w:t>nd</w:t>
            </w:r>
            <w:r>
              <w:rPr>
                <w:rFonts w:ascii="Arial" w:eastAsia="Times New Roman" w:hAnsi="Arial" w:cs="Times New Roman"/>
                <w:sz w:val="20"/>
                <w:szCs w:val="20"/>
                <w:lang w:val="en-GB"/>
              </w:rPr>
              <w:t xml:space="preserve"> </w:t>
            </w:r>
            <w:r w:rsidRPr="00E70D1B">
              <w:rPr>
                <w:rFonts w:ascii="Arial" w:eastAsia="Times New Roman" w:hAnsi="Arial" w:cs="Times New Roman"/>
                <w:sz w:val="20"/>
                <w:szCs w:val="20"/>
                <w:lang w:val="en-GB"/>
              </w:rPr>
              <w:t>GRSG, 1</w:t>
            </w:r>
            <w:r>
              <w:rPr>
                <w:rFonts w:ascii="Arial" w:eastAsia="Times New Roman" w:hAnsi="Arial" w:cs="Times New Roman"/>
                <w:sz w:val="20"/>
                <w:szCs w:val="20"/>
                <w:lang w:val="en-GB"/>
              </w:rPr>
              <w:t>2</w:t>
            </w:r>
            <w:r w:rsidRPr="00E70D1B">
              <w:rPr>
                <w:rFonts w:ascii="Arial" w:eastAsia="Times New Roman" w:hAnsi="Arial" w:cs="Times New Roman"/>
                <w:sz w:val="20"/>
                <w:szCs w:val="20"/>
                <w:lang w:val="en-GB"/>
              </w:rPr>
              <w:t>-</w:t>
            </w:r>
            <w:r>
              <w:rPr>
                <w:rFonts w:ascii="Arial" w:eastAsia="Times New Roman" w:hAnsi="Arial" w:cs="Times New Roman"/>
                <w:sz w:val="20"/>
                <w:szCs w:val="20"/>
                <w:lang w:val="en-GB"/>
              </w:rPr>
              <w:t>1</w:t>
            </w:r>
            <w:r w:rsidRPr="00E70D1B">
              <w:rPr>
                <w:rFonts w:ascii="Arial" w:eastAsia="Times New Roman" w:hAnsi="Arial" w:cs="Times New Roman"/>
                <w:sz w:val="20"/>
                <w:szCs w:val="20"/>
                <w:lang w:val="en-GB"/>
              </w:rPr>
              <w:t xml:space="preserve">5 </w:t>
            </w:r>
            <w:r>
              <w:rPr>
                <w:rFonts w:ascii="Arial" w:eastAsia="Times New Roman" w:hAnsi="Arial" w:cs="Times New Roman"/>
                <w:sz w:val="20"/>
                <w:szCs w:val="20"/>
                <w:lang w:val="en-GB"/>
              </w:rPr>
              <w:t>October</w:t>
            </w:r>
            <w:r w:rsidRPr="00E70D1B">
              <w:rPr>
                <w:rFonts w:ascii="Arial" w:eastAsia="Times New Roman" w:hAnsi="Arial" w:cs="Times New Roman"/>
                <w:sz w:val="20"/>
                <w:szCs w:val="20"/>
                <w:lang w:val="en-GB"/>
              </w:rPr>
              <w:t xml:space="preserve"> 20</w:t>
            </w:r>
            <w:r>
              <w:rPr>
                <w:rFonts w:ascii="Arial" w:eastAsia="Times New Roman" w:hAnsi="Arial" w:cs="Times New Roman"/>
                <w:sz w:val="20"/>
                <w:szCs w:val="20"/>
                <w:lang w:val="en-GB"/>
              </w:rPr>
              <w:t>21</w:t>
            </w:r>
          </w:p>
          <w:p w14:paraId="17241BB5" w14:textId="77777777" w:rsidR="00E70D1B" w:rsidRPr="00E70D1B" w:rsidRDefault="00E70D1B" w:rsidP="00E70D1B">
            <w:pPr>
              <w:tabs>
                <w:tab w:val="center" w:pos="4680"/>
                <w:tab w:val="right" w:pos="9360"/>
              </w:tabs>
              <w:spacing w:after="0" w:line="240" w:lineRule="auto"/>
              <w:ind w:left="742"/>
              <w:rPr>
                <w:rFonts w:ascii="Arial" w:eastAsia="Times New Roman" w:hAnsi="Arial" w:cs="Times New Roman"/>
                <w:sz w:val="20"/>
                <w:szCs w:val="20"/>
                <w:lang w:val="en-GB"/>
              </w:rPr>
            </w:pPr>
            <w:r w:rsidRPr="00E70D1B">
              <w:rPr>
                <w:rFonts w:ascii="Arial" w:eastAsia="Times New Roman" w:hAnsi="Arial" w:cs="Times New Roman"/>
                <w:sz w:val="20"/>
                <w:szCs w:val="20"/>
                <w:lang w:val="en-GB"/>
              </w:rPr>
              <w:t>agenda item 9)</w:t>
            </w:r>
          </w:p>
        </w:tc>
      </w:tr>
    </w:tbl>
    <w:p w14:paraId="7B269A7C" w14:textId="7C0D8CF5" w:rsidR="00AC7A08" w:rsidRDefault="00AC7A08" w:rsidP="00E70D1B"/>
    <w:p w14:paraId="36C84237" w14:textId="3BA11B30" w:rsidR="00E70D1B" w:rsidRDefault="00E70D1B" w:rsidP="00E70D1B">
      <w:pPr>
        <w:spacing w:after="120" w:line="240" w:lineRule="atLeast"/>
        <w:ind w:left="567" w:right="451"/>
        <w:jc w:val="both"/>
        <w:rPr>
          <w:rFonts w:ascii="Arial" w:eastAsia="Times New Roman" w:hAnsi="Arial" w:cs="Times New Roman"/>
          <w:b/>
          <w:sz w:val="32"/>
          <w:szCs w:val="32"/>
          <w:lang w:val="en-GB"/>
        </w:rPr>
      </w:pPr>
      <w:r w:rsidRPr="00E70D1B">
        <w:rPr>
          <w:rFonts w:ascii="Arial" w:eastAsia="Times New Roman" w:hAnsi="Arial" w:cs="Times New Roman"/>
          <w:b/>
          <w:sz w:val="32"/>
          <w:szCs w:val="32"/>
          <w:lang w:val="en-GB"/>
        </w:rPr>
        <w:t>Proposal for amendments to UN Regulation No. R.110</w:t>
      </w:r>
    </w:p>
    <w:p w14:paraId="2E9CC6CC" w14:textId="77777777" w:rsidR="00E70D1B" w:rsidRPr="00E70D1B" w:rsidRDefault="00E70D1B" w:rsidP="00E70D1B">
      <w:pPr>
        <w:spacing w:after="120" w:line="240" w:lineRule="atLeast"/>
        <w:ind w:left="567" w:right="451"/>
        <w:jc w:val="both"/>
        <w:rPr>
          <w:rFonts w:ascii="Arial" w:eastAsia="Times New Roman" w:hAnsi="Arial" w:cs="Times New Roman"/>
          <w:b/>
          <w:sz w:val="32"/>
          <w:szCs w:val="32"/>
          <w:lang w:val="en-GB"/>
        </w:rPr>
      </w:pPr>
    </w:p>
    <w:p w14:paraId="0F49D6F9" w14:textId="0E732DDE" w:rsidR="00C8233A" w:rsidRPr="00C8233A" w:rsidRDefault="00C8233A" w:rsidP="00C8233A">
      <w:pPr>
        <w:spacing w:after="120" w:line="240" w:lineRule="atLeast"/>
        <w:ind w:left="1134" w:right="1134"/>
        <w:jc w:val="both"/>
        <w:rPr>
          <w:rFonts w:ascii="Arial" w:eastAsia="Times New Roman" w:hAnsi="Arial" w:cs="Times New Roman"/>
          <w:lang w:val="en-GB"/>
        </w:rPr>
      </w:pPr>
      <w:r w:rsidRPr="00C8233A">
        <w:rPr>
          <w:rFonts w:ascii="Arial" w:eastAsia="Times New Roman" w:hAnsi="Arial" w:cs="Times New Roman"/>
          <w:lang w:val="en-GB"/>
        </w:rPr>
        <w:t xml:space="preserve">The text reproduced below has been prepared by the experts from NGV Global to introduce certain change of design criteria in Annex 3 of R.110. For the sake of clarity and readability the modifications to the current text of the Regulation are </w:t>
      </w:r>
      <w:r w:rsidR="00004EFE">
        <w:rPr>
          <w:rFonts w:ascii="Arial" w:eastAsia="Times New Roman" w:hAnsi="Arial" w:cs="Times New Roman"/>
          <w:lang w:val="en-GB"/>
        </w:rPr>
        <w:t>underlined</w:t>
      </w:r>
      <w:r w:rsidR="00D1300F">
        <w:rPr>
          <w:rFonts w:ascii="Arial" w:eastAsia="Times New Roman" w:hAnsi="Arial" w:cs="Times New Roman"/>
          <w:lang w:val="en-GB"/>
        </w:rPr>
        <w:t>, and highlighted in yellow within tables and figures</w:t>
      </w:r>
      <w:r w:rsidR="00004EFE">
        <w:rPr>
          <w:rFonts w:ascii="Arial" w:eastAsia="Times New Roman" w:hAnsi="Arial" w:cs="Times New Roman"/>
          <w:lang w:val="en-GB"/>
        </w:rPr>
        <w:t xml:space="preserve">. </w:t>
      </w:r>
    </w:p>
    <w:p w14:paraId="2EE58FE9" w14:textId="5C152166" w:rsidR="00E70D1B" w:rsidRDefault="00E70D1B" w:rsidP="00C8233A"/>
    <w:p w14:paraId="31AF278A" w14:textId="7CDA53F1" w:rsidR="00C8233A" w:rsidRPr="009C3A30" w:rsidRDefault="00A93157" w:rsidP="009C3A30">
      <w:pPr>
        <w:pStyle w:val="ListParagraph"/>
        <w:numPr>
          <w:ilvl w:val="0"/>
          <w:numId w:val="4"/>
        </w:numPr>
        <w:rPr>
          <w:rFonts w:ascii="Arial" w:hAnsi="Arial" w:cs="Arial"/>
          <w:sz w:val="28"/>
          <w:szCs w:val="28"/>
        </w:rPr>
      </w:pPr>
      <w:r w:rsidRPr="009C3A30">
        <w:rPr>
          <w:rFonts w:ascii="Arial" w:hAnsi="Arial" w:cs="Arial"/>
          <w:sz w:val="28"/>
          <w:szCs w:val="28"/>
        </w:rPr>
        <w:t>Proposal</w:t>
      </w:r>
    </w:p>
    <w:p w14:paraId="2B3F2FE5" w14:textId="77777777" w:rsidR="009C3A30" w:rsidRDefault="009C3A30" w:rsidP="009C3A30">
      <w:pPr>
        <w:pStyle w:val="ListParagraph"/>
        <w:ind w:left="1080"/>
        <w:rPr>
          <w:rFonts w:ascii="Arial" w:hAnsi="Arial" w:cs="Arial"/>
          <w:sz w:val="20"/>
          <w:szCs w:val="20"/>
        </w:rPr>
      </w:pPr>
    </w:p>
    <w:p w14:paraId="100DCF67" w14:textId="7549CCB5" w:rsidR="009C3A30" w:rsidRPr="009C3A30" w:rsidRDefault="009C3A30" w:rsidP="009C3A30">
      <w:pPr>
        <w:pStyle w:val="ListParagraph"/>
        <w:ind w:left="1080"/>
        <w:rPr>
          <w:rFonts w:ascii="Arial" w:hAnsi="Arial" w:cs="Arial"/>
          <w:sz w:val="20"/>
          <w:szCs w:val="20"/>
        </w:rPr>
      </w:pPr>
      <w:r>
        <w:rPr>
          <w:rFonts w:ascii="Arial" w:hAnsi="Arial" w:cs="Arial"/>
          <w:sz w:val="20"/>
          <w:szCs w:val="20"/>
        </w:rPr>
        <w:t>Add new Annex for temperature activated pressure relief device (PRD).</w:t>
      </w:r>
    </w:p>
    <w:p w14:paraId="03857709" w14:textId="113B0440" w:rsidR="00A93157" w:rsidRPr="00004EFE" w:rsidRDefault="005C4F5E" w:rsidP="00C8233A">
      <w:pPr>
        <w:rPr>
          <w:rFonts w:ascii="Times New Roman" w:hAnsi="Times New Roman" w:cs="Times New Roman"/>
          <w:sz w:val="28"/>
          <w:szCs w:val="28"/>
          <w:u w:val="single"/>
        </w:rPr>
      </w:pPr>
      <w:r w:rsidRPr="00004EFE">
        <w:rPr>
          <w:rFonts w:ascii="Times New Roman" w:hAnsi="Times New Roman" w:cs="Times New Roman"/>
          <w:sz w:val="28"/>
          <w:szCs w:val="28"/>
          <w:u w:val="single"/>
        </w:rPr>
        <w:t>Annex 5</w:t>
      </w:r>
      <w:r w:rsidR="00C35AF7">
        <w:rPr>
          <w:rFonts w:ascii="Times New Roman" w:hAnsi="Times New Roman" w:cs="Times New Roman"/>
          <w:sz w:val="28"/>
          <w:szCs w:val="28"/>
          <w:u w:val="single"/>
        </w:rPr>
        <w:t>R</w:t>
      </w:r>
      <w:r w:rsidR="00004EFE" w:rsidRPr="00004EFE">
        <w:rPr>
          <w:rFonts w:ascii="Times New Roman" w:hAnsi="Times New Roman" w:cs="Times New Roman"/>
          <w:sz w:val="28"/>
          <w:szCs w:val="28"/>
          <w:u w:val="single"/>
        </w:rPr>
        <w:t xml:space="preserve"> </w:t>
      </w:r>
    </w:p>
    <w:p w14:paraId="4972D6F5" w14:textId="2A711DA4" w:rsidR="00004EFE" w:rsidRPr="00004EFE" w:rsidRDefault="00004EFE" w:rsidP="00004EFE">
      <w:pPr>
        <w:jc w:val="center"/>
        <w:rPr>
          <w:rFonts w:ascii="Times New Roman" w:hAnsi="Times New Roman" w:cs="Times New Roman"/>
          <w:sz w:val="28"/>
          <w:szCs w:val="28"/>
          <w:u w:val="single"/>
        </w:rPr>
      </w:pPr>
      <w:r w:rsidRPr="00004EFE">
        <w:rPr>
          <w:rFonts w:ascii="Times New Roman" w:hAnsi="Times New Roman" w:cs="Times New Roman"/>
          <w:sz w:val="28"/>
          <w:szCs w:val="28"/>
          <w:u w:val="single"/>
        </w:rPr>
        <w:t>Benchtop Activation</w:t>
      </w:r>
    </w:p>
    <w:p w14:paraId="3CF1351B" w14:textId="77777777" w:rsidR="00004EFE" w:rsidRPr="00004EFE" w:rsidRDefault="00004EFE" w:rsidP="00004EFE">
      <w:pPr>
        <w:numPr>
          <w:ilvl w:val="0"/>
          <w:numId w:val="2"/>
        </w:numPr>
        <w:contextualSpacing/>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Benchtop activation – Temperature activated pressure relief device (PRD)</w:t>
      </w:r>
    </w:p>
    <w:p w14:paraId="0C8F2022" w14:textId="77777777" w:rsidR="00004EFE" w:rsidRPr="00004EFE" w:rsidRDefault="00004EFE" w:rsidP="00004EFE">
      <w:pPr>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1.1</w:t>
      </w:r>
      <w:r w:rsidRPr="00004EFE">
        <w:rPr>
          <w:rFonts w:ascii="Times New Roman" w:eastAsia="Times New Roman" w:hAnsi="Times New Roman" w:cs="Times New Roman"/>
          <w:sz w:val="20"/>
          <w:szCs w:val="20"/>
          <w:u w:val="single"/>
        </w:rPr>
        <w:t xml:space="preserve"> The Purpose of the test is to demonstrate that a PRD will consistently activate throughout its designed life.</w:t>
      </w:r>
    </w:p>
    <w:p w14:paraId="69D06B3A" w14:textId="77777777" w:rsidR="00004EFE" w:rsidRPr="00004EFE" w:rsidRDefault="00004EFE" w:rsidP="00004EFE">
      <w:pPr>
        <w:ind w:left="900"/>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2. Test set up</w:t>
      </w:r>
    </w:p>
    <w:p w14:paraId="7BAE76B8" w14:textId="77777777" w:rsidR="00004EFE" w:rsidRPr="00004EFE" w:rsidRDefault="00004EFE" w:rsidP="00004EFE">
      <w:pPr>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2.1</w:t>
      </w:r>
      <w:r w:rsidRPr="00004EFE">
        <w:rPr>
          <w:rFonts w:ascii="Times New Roman" w:eastAsia="Times New Roman" w:hAnsi="Times New Roman" w:cs="Times New Roman"/>
          <w:sz w:val="20"/>
          <w:szCs w:val="20"/>
          <w:u w:val="single"/>
        </w:rPr>
        <w:t xml:space="preserve"> The test set up shall consist of an oven, or chimney (test chamber) capable of maintaining a temperature of 600 °C ± 10 °C surrounding the test article. The PRD shall not be exposed to direct flame impingement.</w:t>
      </w:r>
    </w:p>
    <w:p w14:paraId="6F0D6B33" w14:textId="77777777" w:rsidR="00004EFE" w:rsidRPr="00004EFE" w:rsidRDefault="00004EFE" w:rsidP="00004EFE">
      <w:pPr>
        <w:ind w:left="900"/>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3. Test samples</w:t>
      </w:r>
    </w:p>
    <w:p w14:paraId="70D67531"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3.1</w:t>
      </w:r>
      <w:r w:rsidRPr="00004EFE">
        <w:rPr>
          <w:rFonts w:ascii="Times New Roman" w:eastAsia="Times New Roman" w:hAnsi="Times New Roman" w:cs="Times New Roman"/>
          <w:sz w:val="20"/>
          <w:szCs w:val="20"/>
          <w:u w:val="single"/>
        </w:rPr>
        <w:t xml:space="preserve"> Two virgin PRDs shall be tested and the averaged activation time shall establish a baseline activation time.</w:t>
      </w:r>
    </w:p>
    <w:p w14:paraId="6E5AC7C4"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p>
    <w:p w14:paraId="2BAEAADB"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3.1.2</w:t>
      </w:r>
      <w:r w:rsidRPr="00004EFE">
        <w:rPr>
          <w:rFonts w:ascii="Times New Roman" w:eastAsia="Times New Roman" w:hAnsi="Times New Roman" w:cs="Times New Roman"/>
          <w:sz w:val="20"/>
          <w:szCs w:val="20"/>
          <w:u w:val="single"/>
        </w:rPr>
        <w:t xml:space="preserve"> One sample PRD that has been subjected to and passed the following design qualification tests: Annex 5E, Annex 5H, Annex 5L, &amp; Annex 5N.</w:t>
      </w:r>
    </w:p>
    <w:p w14:paraId="66DD68C0" w14:textId="77777777" w:rsidR="00004EFE" w:rsidRPr="00004EFE" w:rsidRDefault="00004EFE" w:rsidP="00004EFE">
      <w:pPr>
        <w:spacing w:after="0"/>
        <w:ind w:left="900"/>
        <w:rPr>
          <w:rFonts w:ascii="Times New Roman" w:eastAsia="Times New Roman" w:hAnsi="Times New Roman" w:cs="Times New Roman"/>
          <w:sz w:val="20"/>
          <w:szCs w:val="20"/>
          <w:u w:val="single"/>
        </w:rPr>
      </w:pPr>
    </w:p>
    <w:p w14:paraId="57087BBE"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4. Test Procedure</w:t>
      </w:r>
    </w:p>
    <w:p w14:paraId="7B801ABC" w14:textId="77777777" w:rsidR="00004EFE" w:rsidRPr="00004EFE" w:rsidRDefault="00004EFE" w:rsidP="00004EFE">
      <w:pPr>
        <w:spacing w:after="0"/>
        <w:ind w:left="900"/>
        <w:rPr>
          <w:rFonts w:ascii="Times New Roman" w:eastAsia="Times New Roman" w:hAnsi="Times New Roman" w:cs="Times New Roman"/>
          <w:sz w:val="20"/>
          <w:szCs w:val="20"/>
          <w:u w:val="single"/>
        </w:rPr>
      </w:pPr>
    </w:p>
    <w:p w14:paraId="7C8EA204"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4.1</w:t>
      </w:r>
      <w:r w:rsidRPr="00004EFE">
        <w:rPr>
          <w:rFonts w:ascii="Times New Roman" w:eastAsia="Times New Roman" w:hAnsi="Times New Roman" w:cs="Times New Roman"/>
          <w:sz w:val="20"/>
          <w:szCs w:val="20"/>
          <w:u w:val="single"/>
        </w:rPr>
        <w:t xml:space="preserve"> The test chamber temperature shall be in the temperature range for a minimum of two minutes prior to running the test.</w:t>
      </w:r>
    </w:p>
    <w:p w14:paraId="06EA803F" w14:textId="77777777" w:rsidR="00004EFE" w:rsidRPr="00004EFE" w:rsidRDefault="00004EFE" w:rsidP="00004EFE">
      <w:pPr>
        <w:spacing w:after="0"/>
        <w:ind w:left="900"/>
        <w:rPr>
          <w:rFonts w:ascii="Times New Roman" w:eastAsia="Times New Roman" w:hAnsi="Times New Roman" w:cs="Times New Roman"/>
          <w:sz w:val="20"/>
          <w:szCs w:val="20"/>
          <w:u w:val="single"/>
        </w:rPr>
      </w:pPr>
    </w:p>
    <w:p w14:paraId="6D46B00D"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4.2</w:t>
      </w:r>
      <w:r w:rsidRPr="00004EFE">
        <w:rPr>
          <w:rFonts w:ascii="Times New Roman" w:eastAsia="Times New Roman" w:hAnsi="Times New Roman" w:cs="Times New Roman"/>
          <w:sz w:val="20"/>
          <w:szCs w:val="20"/>
          <w:u w:val="single"/>
        </w:rPr>
        <w:t xml:space="preserve"> Place sample PRD that has been pressurized to 25 % of service pressure in the test chamber</w:t>
      </w:r>
      <w:r w:rsidRPr="00004EFE">
        <w:rPr>
          <w:rFonts w:ascii="Times New Roman" w:eastAsia="Times New Roman" w:hAnsi="Times New Roman" w:cs="Times New Roman"/>
          <w:color w:val="FF0000"/>
          <w:sz w:val="20"/>
          <w:szCs w:val="20"/>
          <w:u w:val="single"/>
        </w:rPr>
        <w:t>;</w:t>
      </w:r>
      <w:r w:rsidRPr="00004EFE">
        <w:rPr>
          <w:rFonts w:ascii="Times New Roman" w:eastAsia="Times New Roman" w:hAnsi="Times New Roman" w:cs="Times New Roman"/>
          <w:sz w:val="20"/>
          <w:szCs w:val="20"/>
          <w:u w:val="single"/>
        </w:rPr>
        <w:t xml:space="preserve"> record time to activation.</w:t>
      </w:r>
    </w:p>
    <w:p w14:paraId="4BDCC148"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p>
    <w:p w14:paraId="6EEFC9FC"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5. Acceptable results</w:t>
      </w:r>
    </w:p>
    <w:p w14:paraId="0024B8CB"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p>
    <w:p w14:paraId="1BD1FB1F"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lastRenderedPageBreak/>
        <w:t xml:space="preserve">5.1 </w:t>
      </w:r>
      <w:r w:rsidRPr="00004EFE">
        <w:rPr>
          <w:rFonts w:ascii="Times New Roman" w:eastAsia="Times New Roman" w:hAnsi="Times New Roman" w:cs="Times New Roman"/>
          <w:sz w:val="20"/>
          <w:szCs w:val="20"/>
          <w:u w:val="single"/>
        </w:rPr>
        <w:t>The PRDs</w:t>
      </w:r>
      <w:r w:rsidRPr="00004EFE">
        <w:rPr>
          <w:rFonts w:ascii="Times New Roman" w:eastAsia="Times New Roman" w:hAnsi="Times New Roman" w:cs="Times New Roman"/>
          <w:b/>
          <w:bCs/>
          <w:sz w:val="20"/>
          <w:szCs w:val="20"/>
          <w:u w:val="single"/>
        </w:rPr>
        <w:t xml:space="preserve"> </w:t>
      </w:r>
      <w:r w:rsidRPr="00E30E8E">
        <w:rPr>
          <w:rFonts w:ascii="Times New Roman" w:eastAsia="Times New Roman" w:hAnsi="Times New Roman" w:cs="Times New Roman"/>
          <w:sz w:val="20"/>
          <w:szCs w:val="20"/>
          <w:u w:val="single"/>
        </w:rPr>
        <w:t>t</w:t>
      </w:r>
      <w:r w:rsidRPr="00004EFE">
        <w:rPr>
          <w:rFonts w:ascii="Times New Roman" w:eastAsia="Times New Roman" w:hAnsi="Times New Roman" w:cs="Times New Roman"/>
          <w:sz w:val="20"/>
          <w:szCs w:val="20"/>
          <w:u w:val="single"/>
        </w:rPr>
        <w:t>hat have been tested according to the tests outline in clause 3.1.2, shall activate within 2 minutes of the recorded activation time of the samples listed in clause 3.1.</w:t>
      </w:r>
    </w:p>
    <w:p w14:paraId="619B90A7" w14:textId="77777777" w:rsidR="00004EFE" w:rsidRPr="00004EFE" w:rsidRDefault="00004EFE" w:rsidP="00004EFE">
      <w:pPr>
        <w:spacing w:after="0"/>
        <w:ind w:left="900"/>
        <w:rPr>
          <w:rFonts w:ascii="Times New Roman" w:eastAsia="Times New Roman" w:hAnsi="Times New Roman" w:cs="Times New Roman"/>
          <w:sz w:val="20"/>
          <w:szCs w:val="20"/>
          <w:u w:val="single"/>
        </w:rPr>
      </w:pPr>
    </w:p>
    <w:p w14:paraId="28094E55"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r w:rsidRPr="00004EFE">
        <w:rPr>
          <w:rFonts w:ascii="Times New Roman" w:eastAsia="Times New Roman" w:hAnsi="Times New Roman" w:cs="Times New Roman"/>
          <w:b/>
          <w:bCs/>
          <w:sz w:val="20"/>
          <w:szCs w:val="20"/>
          <w:u w:val="single"/>
        </w:rPr>
        <w:t xml:space="preserve">6. Benchtop activation batch testing </w:t>
      </w:r>
    </w:p>
    <w:p w14:paraId="080EC96E" w14:textId="77777777" w:rsidR="00004EFE" w:rsidRPr="00004EFE" w:rsidRDefault="00004EFE" w:rsidP="00004EFE">
      <w:pPr>
        <w:spacing w:after="0"/>
        <w:ind w:left="900"/>
        <w:rPr>
          <w:rFonts w:ascii="Times New Roman" w:eastAsia="Times New Roman" w:hAnsi="Times New Roman" w:cs="Times New Roman"/>
          <w:b/>
          <w:bCs/>
          <w:sz w:val="20"/>
          <w:szCs w:val="20"/>
          <w:u w:val="single"/>
        </w:rPr>
      </w:pPr>
    </w:p>
    <w:p w14:paraId="3A523D6E" w14:textId="77777777" w:rsidR="00004EFE" w:rsidRP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 xml:space="preserve">6.1 </w:t>
      </w:r>
      <w:r w:rsidRPr="00004EFE">
        <w:rPr>
          <w:rFonts w:ascii="Times New Roman" w:eastAsia="Times New Roman" w:hAnsi="Times New Roman" w:cs="Times New Roman"/>
          <w:sz w:val="20"/>
          <w:szCs w:val="20"/>
          <w:u w:val="single"/>
        </w:rPr>
        <w:t>A PRD from each batch shall be subject to the Benchtop activation test per clause 4.2, and may be conducted by the PRD manufacturer. Virgin components may be used for the test. The PRD shall activate within 2 minutes of the baseline activation time established in clause 3.1</w:t>
      </w:r>
    </w:p>
    <w:p w14:paraId="000B6ED8" w14:textId="77777777" w:rsidR="00004EFE" w:rsidRPr="00004EFE" w:rsidRDefault="00004EFE" w:rsidP="00004EFE">
      <w:pPr>
        <w:spacing w:after="0"/>
        <w:ind w:left="900"/>
        <w:rPr>
          <w:rFonts w:ascii="Times New Roman" w:eastAsia="Times New Roman" w:hAnsi="Times New Roman" w:cs="Times New Roman"/>
          <w:sz w:val="20"/>
          <w:szCs w:val="20"/>
          <w:u w:val="single"/>
        </w:rPr>
      </w:pPr>
    </w:p>
    <w:p w14:paraId="51A80BB1" w14:textId="6EA25918" w:rsidR="00004EFE" w:rsidRDefault="00004EFE" w:rsidP="00004EFE">
      <w:pPr>
        <w:spacing w:after="0"/>
        <w:ind w:left="900"/>
        <w:rPr>
          <w:rFonts w:ascii="Times New Roman" w:eastAsia="Times New Roman" w:hAnsi="Times New Roman" w:cs="Times New Roman"/>
          <w:sz w:val="20"/>
          <w:szCs w:val="20"/>
          <w:u w:val="single"/>
        </w:rPr>
      </w:pPr>
      <w:r w:rsidRPr="00004EFE">
        <w:rPr>
          <w:rFonts w:ascii="Times New Roman" w:eastAsia="Times New Roman" w:hAnsi="Times New Roman" w:cs="Times New Roman"/>
          <w:b/>
          <w:bCs/>
          <w:sz w:val="20"/>
          <w:szCs w:val="20"/>
          <w:u w:val="single"/>
        </w:rPr>
        <w:t xml:space="preserve">6.2 </w:t>
      </w:r>
      <w:r w:rsidRPr="00004EFE">
        <w:rPr>
          <w:rFonts w:ascii="Times New Roman" w:eastAsia="Times New Roman" w:hAnsi="Times New Roman" w:cs="Times New Roman"/>
          <w:sz w:val="20"/>
          <w:szCs w:val="20"/>
          <w:u w:val="single"/>
        </w:rPr>
        <w:t>The batch size is limited to what can be produced from a single batch of system</w:t>
      </w:r>
      <w:r w:rsidRPr="00004EFE">
        <w:rPr>
          <w:rFonts w:ascii="Times New Roman" w:eastAsia="Times New Roman" w:hAnsi="Times New Roman" w:cs="Times New Roman"/>
          <w:color w:val="FF0000"/>
          <w:sz w:val="20"/>
          <w:szCs w:val="20"/>
          <w:u w:val="single"/>
        </w:rPr>
        <w:t>-</w:t>
      </w:r>
      <w:r w:rsidRPr="00004EFE">
        <w:rPr>
          <w:rFonts w:ascii="Times New Roman" w:eastAsia="Times New Roman" w:hAnsi="Times New Roman" w:cs="Times New Roman"/>
          <w:sz w:val="20"/>
          <w:szCs w:val="20"/>
          <w:u w:val="single"/>
        </w:rPr>
        <w:t>critical components, or 1000 units, whichever is less.</w:t>
      </w:r>
    </w:p>
    <w:p w14:paraId="6540D711" w14:textId="03879001" w:rsidR="00FE5FD3" w:rsidRDefault="00FE5FD3" w:rsidP="00004EFE">
      <w:pPr>
        <w:spacing w:after="0"/>
        <w:ind w:left="900"/>
        <w:rPr>
          <w:rFonts w:ascii="Times New Roman" w:eastAsia="Times New Roman" w:hAnsi="Times New Roman" w:cs="Times New Roman"/>
          <w:b/>
          <w:bCs/>
          <w:sz w:val="20"/>
          <w:szCs w:val="20"/>
          <w:u w:val="single"/>
        </w:rPr>
      </w:pPr>
    </w:p>
    <w:p w14:paraId="78C1FA97" w14:textId="77777777" w:rsidR="00FE5FD3" w:rsidRDefault="00FE5FD3" w:rsidP="00004EFE">
      <w:pPr>
        <w:spacing w:after="0"/>
        <w:ind w:left="900"/>
        <w:rPr>
          <w:rFonts w:ascii="Times New Roman" w:eastAsia="Times New Roman" w:hAnsi="Times New Roman" w:cs="Times New Roman"/>
          <w:sz w:val="20"/>
          <w:szCs w:val="20"/>
        </w:rPr>
      </w:pPr>
    </w:p>
    <w:p w14:paraId="02AC2E44" w14:textId="58AD64C1" w:rsidR="00FE5FD3" w:rsidRDefault="00FE5FD3" w:rsidP="00004EFE">
      <w:pPr>
        <w:spacing w:after="0"/>
        <w:ind w:left="900"/>
        <w:rPr>
          <w:rFonts w:ascii="Times New Roman" w:eastAsia="Times New Roman" w:hAnsi="Times New Roman" w:cs="Times New Roman"/>
          <w:sz w:val="20"/>
          <w:szCs w:val="20"/>
        </w:rPr>
      </w:pPr>
      <w:r>
        <w:rPr>
          <w:rFonts w:ascii="Times New Roman" w:eastAsia="Times New Roman" w:hAnsi="Times New Roman" w:cs="Times New Roman"/>
          <w:sz w:val="20"/>
          <w:szCs w:val="20"/>
        </w:rPr>
        <w:t>Add reference to Annex 5</w:t>
      </w:r>
      <w:r w:rsidR="00404D6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w:t>
      </w:r>
      <w:r w:rsidR="00F53D41">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Figure 1-2</w:t>
      </w:r>
    </w:p>
    <w:p w14:paraId="0943A358" w14:textId="02DE28D6" w:rsidR="00FE5FD3" w:rsidRDefault="00FE5FD3" w:rsidP="00004EFE">
      <w:pPr>
        <w:spacing w:after="0"/>
        <w:ind w:left="900"/>
        <w:rPr>
          <w:rFonts w:ascii="Times New Roman" w:eastAsia="Times New Roman" w:hAnsi="Times New Roman" w:cs="Times New Roman"/>
          <w:sz w:val="20"/>
          <w:szCs w:val="20"/>
        </w:rPr>
      </w:pPr>
    </w:p>
    <w:p w14:paraId="2DDF190B" w14:textId="3A08E58F" w:rsidR="00E465E0" w:rsidRPr="00316C68" w:rsidRDefault="00E465E0" w:rsidP="00E465E0">
      <w:pPr>
        <w:keepNext/>
        <w:keepLines/>
        <w:suppressAutoHyphens/>
        <w:spacing w:after="0" w:line="240" w:lineRule="auto"/>
        <w:ind w:left="1134"/>
        <w:outlineLvl w:val="0"/>
        <w:rPr>
          <w:rFonts w:ascii="Times New Roman" w:eastAsia="Times New Roman" w:hAnsi="Times New Roman" w:cs="Times New Roman"/>
          <w:sz w:val="20"/>
          <w:szCs w:val="20"/>
        </w:rPr>
      </w:pPr>
      <w:r w:rsidRPr="00316C68">
        <w:rPr>
          <w:rFonts w:ascii="Times New Roman" w:eastAsia="Times New Roman" w:hAnsi="Times New Roman" w:cs="Times New Roman"/>
          <w:sz w:val="20"/>
          <w:szCs w:val="20"/>
        </w:rPr>
        <w:t>Figure 1-2</w:t>
      </w:r>
    </w:p>
    <w:p w14:paraId="1FD14042" w14:textId="0B98077E" w:rsidR="00FE5FD3" w:rsidRDefault="00E465E0" w:rsidP="00E465E0">
      <w:pPr>
        <w:keepNext/>
        <w:keepLines/>
        <w:suppressAutoHyphens/>
        <w:spacing w:after="0" w:line="240" w:lineRule="auto"/>
        <w:ind w:left="1134"/>
        <w:outlineLvl w:val="0"/>
        <w:rPr>
          <w:rFonts w:ascii="Times New Roman" w:eastAsia="Times New Roman" w:hAnsi="Times New Roman" w:cs="Times New Roman"/>
          <w:sz w:val="20"/>
          <w:szCs w:val="20"/>
        </w:rPr>
      </w:pPr>
      <w:r w:rsidRPr="00316C68">
        <w:rPr>
          <w:rFonts w:ascii="Times New Roman" w:eastAsia="Times New Roman" w:hAnsi="Times New Roman" w:cs="Times New Roman"/>
          <w:b/>
          <w:sz w:val="20"/>
          <w:szCs w:val="20"/>
        </w:rPr>
        <w:t>Test applicable to specific classes of components (excluding CNG cylinders and LNG tank)</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FE5FD3" w:rsidRPr="00316C68" w14:paraId="7DFB3394" w14:textId="77777777" w:rsidTr="004C580E">
        <w:trPr>
          <w:trHeight w:val="384"/>
        </w:trPr>
        <w:tc>
          <w:tcPr>
            <w:tcW w:w="2268" w:type="dxa"/>
            <w:tcBorders>
              <w:bottom w:val="single" w:sz="12" w:space="0" w:color="auto"/>
            </w:tcBorders>
            <w:vAlign w:val="center"/>
          </w:tcPr>
          <w:p w14:paraId="424E8949" w14:textId="77777777" w:rsidR="00FE5FD3" w:rsidRPr="00316C68" w:rsidRDefault="00FE5FD3" w:rsidP="004C580E">
            <w:pPr>
              <w:suppressAutoHyphens/>
              <w:spacing w:beforeLines="40" w:before="96" w:afterLines="40" w:after="96" w:line="240" w:lineRule="auto"/>
              <w:ind w:left="85" w:right="85"/>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Test</w:t>
            </w:r>
          </w:p>
        </w:tc>
        <w:tc>
          <w:tcPr>
            <w:tcW w:w="708" w:type="dxa"/>
            <w:tcBorders>
              <w:bottom w:val="single" w:sz="12" w:space="0" w:color="auto"/>
            </w:tcBorders>
            <w:vAlign w:val="center"/>
          </w:tcPr>
          <w:p w14:paraId="59F57E46"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0</w:t>
            </w:r>
          </w:p>
        </w:tc>
        <w:tc>
          <w:tcPr>
            <w:tcW w:w="709" w:type="dxa"/>
            <w:tcBorders>
              <w:bottom w:val="single" w:sz="12" w:space="0" w:color="auto"/>
            </w:tcBorders>
            <w:vAlign w:val="center"/>
          </w:tcPr>
          <w:p w14:paraId="39FA2B95"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1</w:t>
            </w:r>
          </w:p>
        </w:tc>
        <w:tc>
          <w:tcPr>
            <w:tcW w:w="709" w:type="dxa"/>
            <w:tcBorders>
              <w:bottom w:val="single" w:sz="12" w:space="0" w:color="auto"/>
            </w:tcBorders>
            <w:vAlign w:val="center"/>
          </w:tcPr>
          <w:p w14:paraId="4D66B909"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2</w:t>
            </w:r>
          </w:p>
        </w:tc>
        <w:tc>
          <w:tcPr>
            <w:tcW w:w="709" w:type="dxa"/>
            <w:tcBorders>
              <w:bottom w:val="single" w:sz="12" w:space="0" w:color="auto"/>
            </w:tcBorders>
            <w:vAlign w:val="center"/>
          </w:tcPr>
          <w:p w14:paraId="78D57A2A"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3</w:t>
            </w:r>
          </w:p>
        </w:tc>
        <w:tc>
          <w:tcPr>
            <w:tcW w:w="708" w:type="dxa"/>
            <w:tcBorders>
              <w:bottom w:val="single" w:sz="12" w:space="0" w:color="auto"/>
            </w:tcBorders>
            <w:vAlign w:val="center"/>
          </w:tcPr>
          <w:p w14:paraId="30BC8CAD"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4</w:t>
            </w:r>
          </w:p>
        </w:tc>
        <w:tc>
          <w:tcPr>
            <w:tcW w:w="709" w:type="dxa"/>
            <w:tcBorders>
              <w:bottom w:val="single" w:sz="12" w:space="0" w:color="auto"/>
            </w:tcBorders>
            <w:vAlign w:val="center"/>
          </w:tcPr>
          <w:p w14:paraId="4C6DA695"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5</w:t>
            </w:r>
          </w:p>
        </w:tc>
        <w:tc>
          <w:tcPr>
            <w:tcW w:w="709" w:type="dxa"/>
            <w:tcBorders>
              <w:bottom w:val="single" w:sz="12" w:space="0" w:color="auto"/>
            </w:tcBorders>
            <w:vAlign w:val="center"/>
          </w:tcPr>
          <w:p w14:paraId="259C84E3"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Class 6</w:t>
            </w:r>
          </w:p>
        </w:tc>
        <w:tc>
          <w:tcPr>
            <w:tcW w:w="709" w:type="dxa"/>
            <w:tcBorders>
              <w:bottom w:val="single" w:sz="12" w:space="0" w:color="auto"/>
            </w:tcBorders>
            <w:vAlign w:val="center"/>
          </w:tcPr>
          <w:p w14:paraId="00A2BB61" w14:textId="77777777" w:rsidR="00FE5FD3" w:rsidRPr="00316C68" w:rsidRDefault="00FE5FD3" w:rsidP="004C580E">
            <w:pPr>
              <w:suppressAutoHyphens/>
              <w:spacing w:beforeLines="40" w:before="96" w:afterLines="40" w:after="96" w:line="240" w:lineRule="auto"/>
              <w:ind w:left="85" w:right="85"/>
              <w:jc w:val="center"/>
              <w:rPr>
                <w:rFonts w:ascii="Times New Roman" w:eastAsia="Times New Roman" w:hAnsi="Times New Roman" w:cs="Times New Roman"/>
                <w:i/>
                <w:sz w:val="16"/>
                <w:szCs w:val="16"/>
                <w:lang w:val="fr-CH"/>
              </w:rPr>
            </w:pPr>
            <w:r w:rsidRPr="00316C68">
              <w:rPr>
                <w:rFonts w:ascii="Times New Roman" w:eastAsia="Times New Roman" w:hAnsi="Times New Roman" w:cs="Times New Roman"/>
                <w:i/>
                <w:sz w:val="16"/>
                <w:szCs w:val="16"/>
                <w:lang w:val="fr-CH"/>
              </w:rPr>
              <w:t>Annex</w:t>
            </w:r>
          </w:p>
        </w:tc>
      </w:tr>
      <w:tr w:rsidR="00FE5FD3" w:rsidRPr="00316C68" w14:paraId="5C24AC7A" w14:textId="77777777" w:rsidTr="004C580E">
        <w:tc>
          <w:tcPr>
            <w:tcW w:w="2268" w:type="dxa"/>
            <w:tcBorders>
              <w:top w:val="single" w:sz="12" w:space="0" w:color="auto"/>
            </w:tcBorders>
          </w:tcPr>
          <w:p w14:paraId="28F6AF93"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Overpressure or strength</w:t>
            </w:r>
          </w:p>
        </w:tc>
        <w:tc>
          <w:tcPr>
            <w:tcW w:w="708" w:type="dxa"/>
            <w:tcBorders>
              <w:top w:val="single" w:sz="12" w:space="0" w:color="auto"/>
            </w:tcBorders>
          </w:tcPr>
          <w:p w14:paraId="1ABA74B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Borders>
              <w:top w:val="single" w:sz="12" w:space="0" w:color="auto"/>
            </w:tcBorders>
          </w:tcPr>
          <w:p w14:paraId="7E1B7F6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Borders>
              <w:top w:val="single" w:sz="12" w:space="0" w:color="auto"/>
            </w:tcBorders>
          </w:tcPr>
          <w:p w14:paraId="7FF412E5"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Borders>
              <w:top w:val="single" w:sz="12" w:space="0" w:color="auto"/>
            </w:tcBorders>
          </w:tcPr>
          <w:p w14:paraId="5185D21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8" w:type="dxa"/>
            <w:tcBorders>
              <w:top w:val="single" w:sz="12" w:space="0" w:color="auto"/>
            </w:tcBorders>
          </w:tcPr>
          <w:p w14:paraId="15DA137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Borders>
              <w:top w:val="single" w:sz="12" w:space="0" w:color="auto"/>
            </w:tcBorders>
          </w:tcPr>
          <w:p w14:paraId="6A29F59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Borders>
              <w:top w:val="single" w:sz="12" w:space="0" w:color="auto"/>
            </w:tcBorders>
          </w:tcPr>
          <w:p w14:paraId="66BFFD5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Borders>
              <w:top w:val="single" w:sz="12" w:space="0" w:color="auto"/>
            </w:tcBorders>
          </w:tcPr>
          <w:p w14:paraId="6E660D9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5A</w:t>
            </w:r>
          </w:p>
        </w:tc>
      </w:tr>
      <w:tr w:rsidR="00FE5FD3" w:rsidRPr="00316C68" w14:paraId="08AC87C7" w14:textId="77777777" w:rsidTr="004C580E">
        <w:tc>
          <w:tcPr>
            <w:tcW w:w="2268" w:type="dxa"/>
          </w:tcPr>
          <w:p w14:paraId="05F9B4F1"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External leakage</w:t>
            </w:r>
          </w:p>
        </w:tc>
        <w:tc>
          <w:tcPr>
            <w:tcW w:w="708" w:type="dxa"/>
          </w:tcPr>
          <w:p w14:paraId="579F3540"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11CABED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A07980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0060AD5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8" w:type="dxa"/>
          </w:tcPr>
          <w:p w14:paraId="17E6F08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11A5F93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75634C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3132E5F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5B</w:t>
            </w:r>
          </w:p>
        </w:tc>
      </w:tr>
      <w:tr w:rsidR="00FE5FD3" w:rsidRPr="00316C68" w14:paraId="3B4C60BF" w14:textId="77777777" w:rsidTr="004C580E">
        <w:tc>
          <w:tcPr>
            <w:tcW w:w="2268" w:type="dxa"/>
          </w:tcPr>
          <w:p w14:paraId="5DE1915E"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Internal leakage</w:t>
            </w:r>
          </w:p>
        </w:tc>
        <w:tc>
          <w:tcPr>
            <w:tcW w:w="708" w:type="dxa"/>
          </w:tcPr>
          <w:p w14:paraId="3192A63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61FEF7AC"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D70791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2EE17D7C"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1B97BEA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27793CB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11B3FF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D7136B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5C</w:t>
            </w:r>
          </w:p>
        </w:tc>
      </w:tr>
      <w:tr w:rsidR="00FE5FD3" w:rsidRPr="00316C68" w14:paraId="416FEC9C" w14:textId="77777777" w:rsidTr="004C580E">
        <w:tc>
          <w:tcPr>
            <w:tcW w:w="2268" w:type="dxa"/>
          </w:tcPr>
          <w:p w14:paraId="7C28528E"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Durability tests</w:t>
            </w:r>
          </w:p>
        </w:tc>
        <w:tc>
          <w:tcPr>
            <w:tcW w:w="708" w:type="dxa"/>
          </w:tcPr>
          <w:p w14:paraId="31F4034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92D9D3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65F5478E"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DC7071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2768353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63CEE88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3BB89E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CA6AE0D"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5L</w:t>
            </w:r>
          </w:p>
        </w:tc>
      </w:tr>
      <w:tr w:rsidR="00FE5FD3" w:rsidRPr="00316C68" w14:paraId="18D2E942" w14:textId="77777777" w:rsidTr="004C580E">
        <w:tc>
          <w:tcPr>
            <w:tcW w:w="2268" w:type="dxa"/>
          </w:tcPr>
          <w:p w14:paraId="7DD4E5E0" w14:textId="77777777" w:rsidR="00FE5FD3" w:rsidRPr="00316C68" w:rsidRDefault="00FE5FD3" w:rsidP="004C580E">
            <w:pPr>
              <w:suppressAutoHyphens/>
              <w:spacing w:beforeLines="40" w:before="96" w:afterLines="40" w:after="96" w:line="240" w:lineRule="auto"/>
              <w:ind w:lef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CNG/LNG compatibility</w:t>
            </w:r>
          </w:p>
        </w:tc>
        <w:tc>
          <w:tcPr>
            <w:tcW w:w="708" w:type="dxa"/>
          </w:tcPr>
          <w:p w14:paraId="6B83ADF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5B5FD0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21B7D73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24C8609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362EC4F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B4638F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003B59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95A509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5D</w:t>
            </w:r>
          </w:p>
        </w:tc>
      </w:tr>
      <w:tr w:rsidR="00FE5FD3" w:rsidRPr="00316C68" w14:paraId="5F51B612" w14:textId="77777777" w:rsidTr="004C580E">
        <w:tc>
          <w:tcPr>
            <w:tcW w:w="2268" w:type="dxa"/>
          </w:tcPr>
          <w:p w14:paraId="6E4B3D33"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Corrosion resistance</w:t>
            </w:r>
          </w:p>
        </w:tc>
        <w:tc>
          <w:tcPr>
            <w:tcW w:w="708" w:type="dxa"/>
          </w:tcPr>
          <w:p w14:paraId="5777BE85"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7D4CADC"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9772BE5"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5BDBBF1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8" w:type="dxa"/>
          </w:tcPr>
          <w:p w14:paraId="183EB97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395DB11E"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5A60B02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4A52A35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5E</w:t>
            </w:r>
          </w:p>
        </w:tc>
      </w:tr>
      <w:tr w:rsidR="00FE5FD3" w:rsidRPr="00316C68" w14:paraId="34E31BD5" w14:textId="77777777" w:rsidTr="004C580E">
        <w:tc>
          <w:tcPr>
            <w:tcW w:w="2268" w:type="dxa"/>
          </w:tcPr>
          <w:p w14:paraId="5CC2AC7A"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Resistance to dry heat</w:t>
            </w:r>
          </w:p>
        </w:tc>
        <w:tc>
          <w:tcPr>
            <w:tcW w:w="708" w:type="dxa"/>
          </w:tcPr>
          <w:p w14:paraId="335F994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58884F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1621D2D"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C05FD3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0CD03E30"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2BEE803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7B8BFF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5A8B98D"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5F</w:t>
            </w:r>
          </w:p>
        </w:tc>
      </w:tr>
      <w:tr w:rsidR="00FE5FD3" w:rsidRPr="00316C68" w14:paraId="4BF2D20D" w14:textId="77777777" w:rsidTr="004C580E">
        <w:tc>
          <w:tcPr>
            <w:tcW w:w="2268" w:type="dxa"/>
          </w:tcPr>
          <w:p w14:paraId="07AF8A68"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Ozone ageing</w:t>
            </w:r>
          </w:p>
        </w:tc>
        <w:tc>
          <w:tcPr>
            <w:tcW w:w="708" w:type="dxa"/>
          </w:tcPr>
          <w:p w14:paraId="745D6AF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EDD152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4281D64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A0662D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3209E3E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40784DE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6250CFCF"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514129F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5G</w:t>
            </w:r>
          </w:p>
        </w:tc>
      </w:tr>
      <w:tr w:rsidR="00FE5FD3" w:rsidRPr="00316C68" w14:paraId="4024A101" w14:textId="77777777" w:rsidTr="004C580E">
        <w:tc>
          <w:tcPr>
            <w:tcW w:w="2268" w:type="dxa"/>
          </w:tcPr>
          <w:p w14:paraId="3D710BD9"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Burst/destructive tests</w:t>
            </w:r>
          </w:p>
        </w:tc>
        <w:tc>
          <w:tcPr>
            <w:tcW w:w="708" w:type="dxa"/>
          </w:tcPr>
          <w:p w14:paraId="34E0567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1D626D9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64125F6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2FE35C7F"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8" w:type="dxa"/>
          </w:tcPr>
          <w:p w14:paraId="406038B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466BE63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46BDF3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95F17E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5M</w:t>
            </w:r>
          </w:p>
        </w:tc>
      </w:tr>
      <w:tr w:rsidR="00FE5FD3" w:rsidRPr="00316C68" w14:paraId="023E02C4" w14:textId="77777777" w:rsidTr="004C580E">
        <w:tc>
          <w:tcPr>
            <w:tcW w:w="2268" w:type="dxa"/>
          </w:tcPr>
          <w:p w14:paraId="58418405"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Temperature cycle</w:t>
            </w:r>
          </w:p>
        </w:tc>
        <w:tc>
          <w:tcPr>
            <w:tcW w:w="708" w:type="dxa"/>
          </w:tcPr>
          <w:p w14:paraId="647299C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B82E2C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741D01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2D800BC"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33A0D6A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3C56D06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69850DAD"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306A8A0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5H</w:t>
            </w:r>
          </w:p>
        </w:tc>
      </w:tr>
      <w:tr w:rsidR="00FE5FD3" w:rsidRPr="00316C68" w14:paraId="39FB0CF7" w14:textId="77777777" w:rsidTr="004C580E">
        <w:tc>
          <w:tcPr>
            <w:tcW w:w="2268" w:type="dxa"/>
          </w:tcPr>
          <w:p w14:paraId="1FFCD2FA"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Pressure cycle</w:t>
            </w:r>
          </w:p>
        </w:tc>
        <w:tc>
          <w:tcPr>
            <w:tcW w:w="708" w:type="dxa"/>
          </w:tcPr>
          <w:p w14:paraId="4136760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615A8D4F"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69EBF45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1C09122F"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8" w:type="dxa"/>
          </w:tcPr>
          <w:p w14:paraId="230B5C7C"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05E7B87F"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259DA380"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B96244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5I</w:t>
            </w:r>
          </w:p>
        </w:tc>
      </w:tr>
      <w:tr w:rsidR="00FE5FD3" w:rsidRPr="00316C68" w14:paraId="1A0BC164" w14:textId="77777777" w:rsidTr="004C580E">
        <w:tc>
          <w:tcPr>
            <w:tcW w:w="2268" w:type="dxa"/>
          </w:tcPr>
          <w:p w14:paraId="6F2D30A7"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Vibration resistance</w:t>
            </w:r>
          </w:p>
        </w:tc>
        <w:tc>
          <w:tcPr>
            <w:tcW w:w="708" w:type="dxa"/>
          </w:tcPr>
          <w:p w14:paraId="33B0571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0F0A519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9E9033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1B2C59E0"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8" w:type="dxa"/>
          </w:tcPr>
          <w:p w14:paraId="0F80AF82"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56D9CC7E"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7C86D570"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A</w:t>
            </w:r>
          </w:p>
        </w:tc>
        <w:tc>
          <w:tcPr>
            <w:tcW w:w="709" w:type="dxa"/>
          </w:tcPr>
          <w:p w14:paraId="5BB71775"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5N</w:t>
            </w:r>
          </w:p>
        </w:tc>
      </w:tr>
      <w:tr w:rsidR="00FE5FD3" w:rsidRPr="00316C68" w14:paraId="49434243" w14:textId="77777777" w:rsidTr="004C580E">
        <w:tc>
          <w:tcPr>
            <w:tcW w:w="2268" w:type="dxa"/>
          </w:tcPr>
          <w:p w14:paraId="5006E3A8" w14:textId="77777777" w:rsidR="00FE5FD3" w:rsidRPr="00316C68" w:rsidRDefault="00FE5FD3" w:rsidP="004C580E">
            <w:pPr>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Operating temperatures</w:t>
            </w:r>
          </w:p>
        </w:tc>
        <w:tc>
          <w:tcPr>
            <w:tcW w:w="708" w:type="dxa"/>
          </w:tcPr>
          <w:p w14:paraId="3358851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65F5994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1A05B97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68A8FC6B"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8" w:type="dxa"/>
          </w:tcPr>
          <w:p w14:paraId="35E88E2E"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35A35779"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565F91D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B6B2A51"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5O</w:t>
            </w:r>
          </w:p>
        </w:tc>
      </w:tr>
      <w:tr w:rsidR="00FE5FD3" w:rsidRPr="00316C68" w14:paraId="17ED60B7" w14:textId="77777777" w:rsidTr="004C580E">
        <w:tc>
          <w:tcPr>
            <w:tcW w:w="2268" w:type="dxa"/>
          </w:tcPr>
          <w:p w14:paraId="3451E034" w14:textId="77777777" w:rsidR="00FE5FD3" w:rsidRPr="00316C68" w:rsidRDefault="00FE5FD3" w:rsidP="004C580E">
            <w:pPr>
              <w:tabs>
                <w:tab w:val="left" w:pos="1276"/>
                <w:tab w:val="left" w:pos="1701"/>
              </w:tabs>
              <w:suppressAutoHyphens/>
              <w:spacing w:beforeLines="40" w:before="96" w:afterLines="40" w:after="96" w:line="240" w:lineRule="auto"/>
              <w:ind w:left="113" w:right="113"/>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LNG low temperature</w:t>
            </w:r>
          </w:p>
        </w:tc>
        <w:tc>
          <w:tcPr>
            <w:tcW w:w="708" w:type="dxa"/>
          </w:tcPr>
          <w:p w14:paraId="4412F8E4"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26E3200A"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7250F7F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2745EB38"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8" w:type="dxa"/>
          </w:tcPr>
          <w:p w14:paraId="405D7C37"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5D731EA6"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X</w:t>
            </w:r>
          </w:p>
        </w:tc>
        <w:tc>
          <w:tcPr>
            <w:tcW w:w="709" w:type="dxa"/>
          </w:tcPr>
          <w:p w14:paraId="246BA9E3"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O</w:t>
            </w:r>
          </w:p>
        </w:tc>
        <w:tc>
          <w:tcPr>
            <w:tcW w:w="709" w:type="dxa"/>
          </w:tcPr>
          <w:p w14:paraId="51612C4D" w14:textId="77777777" w:rsidR="00FE5FD3" w:rsidRPr="00316C68"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lang w:val="fr-CH"/>
              </w:rPr>
            </w:pPr>
            <w:r w:rsidRPr="00316C68">
              <w:rPr>
                <w:rFonts w:ascii="Times New Roman" w:eastAsia="Times New Roman" w:hAnsi="Times New Roman" w:cs="Times New Roman"/>
                <w:sz w:val="20"/>
                <w:szCs w:val="20"/>
                <w:lang w:val="fr-CH"/>
              </w:rPr>
              <w:t>5P</w:t>
            </w:r>
          </w:p>
        </w:tc>
      </w:tr>
      <w:tr w:rsidR="00FE5FD3" w:rsidRPr="00316C68" w14:paraId="68DA3338" w14:textId="77777777" w:rsidTr="00705979">
        <w:tc>
          <w:tcPr>
            <w:tcW w:w="2268" w:type="dxa"/>
          </w:tcPr>
          <w:p w14:paraId="08A3FEB0" w14:textId="77777777" w:rsidR="00FE5FD3" w:rsidRPr="00D1300F" w:rsidRDefault="00FE5FD3" w:rsidP="004C580E">
            <w:pPr>
              <w:tabs>
                <w:tab w:val="left" w:pos="1276"/>
                <w:tab w:val="left" w:pos="1701"/>
              </w:tabs>
              <w:suppressAutoHyphens/>
              <w:spacing w:beforeLines="40" w:before="96" w:afterLines="40" w:after="96" w:line="240" w:lineRule="auto"/>
              <w:ind w:left="113" w:right="113"/>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 xml:space="preserve">Benchtop activation </w:t>
            </w:r>
          </w:p>
        </w:tc>
        <w:tc>
          <w:tcPr>
            <w:tcW w:w="708" w:type="dxa"/>
          </w:tcPr>
          <w:p w14:paraId="166E4DE1"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20AE5D19"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5C364FF0"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2AA58B72"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8" w:type="dxa"/>
          </w:tcPr>
          <w:p w14:paraId="2BE3656A"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4DB6548C"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66D64BCF" w14:textId="77777777"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462732F1" w14:textId="68372ABA" w:rsidR="00FE5FD3" w:rsidRPr="00D1300F" w:rsidRDefault="00FE5FD3" w:rsidP="004C580E">
            <w:pPr>
              <w:suppressAutoHyphens/>
              <w:spacing w:beforeLines="40" w:before="96" w:afterLines="40" w:after="96"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5</w:t>
            </w:r>
            <w:r w:rsidR="001A01E0">
              <w:rPr>
                <w:rFonts w:ascii="Times New Roman" w:eastAsia="Times New Roman" w:hAnsi="Times New Roman" w:cs="Times New Roman"/>
                <w:sz w:val="20"/>
                <w:szCs w:val="20"/>
                <w:highlight w:val="yellow"/>
                <w:u w:val="single"/>
                <w:lang w:val="fr-CH"/>
              </w:rPr>
              <w:t>R</w:t>
            </w:r>
          </w:p>
        </w:tc>
      </w:tr>
      <w:tr w:rsidR="00705979" w:rsidRPr="00316C68" w14:paraId="19AE4C44" w14:textId="77777777" w:rsidTr="00EF3F83">
        <w:tc>
          <w:tcPr>
            <w:tcW w:w="7938" w:type="dxa"/>
            <w:gridSpan w:val="9"/>
            <w:tcBorders>
              <w:bottom w:val="single" w:sz="12" w:space="0" w:color="auto"/>
            </w:tcBorders>
          </w:tcPr>
          <w:p w14:paraId="216E23F8" w14:textId="77777777" w:rsidR="00705979" w:rsidRPr="00705979" w:rsidRDefault="00705979" w:rsidP="00705979">
            <w:pPr>
              <w:widowControl w:val="0"/>
              <w:autoSpaceDE w:val="0"/>
              <w:autoSpaceDN w:val="0"/>
              <w:adjustRightInd w:val="0"/>
              <w:spacing w:after="0" w:line="240" w:lineRule="auto"/>
              <w:ind w:left="142"/>
              <w:rPr>
                <w:rFonts w:ascii="Times New Roman" w:eastAsia="Times New Roman" w:hAnsi="Times New Roman" w:cs="Times New Roman"/>
                <w:bCs/>
                <w:sz w:val="18"/>
                <w:szCs w:val="18"/>
                <w:lang w:val="en-GB"/>
              </w:rPr>
            </w:pPr>
            <w:r w:rsidRPr="00705979">
              <w:rPr>
                <w:rFonts w:ascii="Times New Roman" w:eastAsia="Times New Roman" w:hAnsi="Times New Roman" w:cs="Times New Roman"/>
                <w:bCs/>
                <w:sz w:val="18"/>
                <w:szCs w:val="18"/>
                <w:lang w:val="en-GB"/>
              </w:rPr>
              <w:t>X = Applicable</w:t>
            </w:r>
          </w:p>
          <w:p w14:paraId="1966A0B6" w14:textId="77777777" w:rsidR="00705979" w:rsidRPr="00705979" w:rsidRDefault="00705979" w:rsidP="00705979">
            <w:pPr>
              <w:widowControl w:val="0"/>
              <w:autoSpaceDE w:val="0"/>
              <w:autoSpaceDN w:val="0"/>
              <w:adjustRightInd w:val="0"/>
              <w:spacing w:after="0" w:line="240" w:lineRule="auto"/>
              <w:ind w:left="142"/>
              <w:rPr>
                <w:rFonts w:ascii="Times New Roman" w:eastAsia="Times New Roman" w:hAnsi="Times New Roman" w:cs="Times New Roman"/>
                <w:bCs/>
                <w:sz w:val="18"/>
                <w:szCs w:val="18"/>
                <w:lang w:val="en-GB"/>
              </w:rPr>
            </w:pPr>
            <w:r w:rsidRPr="00705979">
              <w:rPr>
                <w:rFonts w:ascii="Times New Roman" w:eastAsia="Times New Roman" w:hAnsi="Times New Roman" w:cs="Times New Roman"/>
                <w:bCs/>
                <w:sz w:val="18"/>
                <w:szCs w:val="18"/>
                <w:lang w:val="en-GB"/>
              </w:rPr>
              <w:t>O = Not applicable</w:t>
            </w:r>
          </w:p>
          <w:p w14:paraId="55EDAA62" w14:textId="113021C3" w:rsidR="00705979" w:rsidRPr="00705979" w:rsidRDefault="00705979" w:rsidP="00705979">
            <w:pPr>
              <w:suppressAutoHyphens/>
              <w:spacing w:beforeLines="40" w:before="96" w:afterLines="40" w:after="96" w:line="240" w:lineRule="auto"/>
              <w:ind w:left="113" w:right="113"/>
              <w:rPr>
                <w:rFonts w:ascii="Times New Roman" w:eastAsia="Times New Roman" w:hAnsi="Times New Roman" w:cs="Times New Roman"/>
                <w:sz w:val="20"/>
                <w:szCs w:val="20"/>
                <w:u w:val="single"/>
                <w:lang w:val="fr-CH"/>
              </w:rPr>
            </w:pPr>
            <w:r w:rsidRPr="00705979">
              <w:rPr>
                <w:rFonts w:ascii="Times New Roman" w:eastAsia="Times New Roman" w:hAnsi="Times New Roman" w:cs="Times New Roman"/>
                <w:bCs/>
                <w:sz w:val="18"/>
                <w:szCs w:val="18"/>
                <w:lang w:val="en-GB"/>
              </w:rPr>
              <w:t>A = As applicable</w:t>
            </w:r>
          </w:p>
        </w:tc>
      </w:tr>
    </w:tbl>
    <w:p w14:paraId="065F0DC4" w14:textId="77777777" w:rsidR="00FE5FD3" w:rsidRPr="00004EFE" w:rsidRDefault="00FE5FD3" w:rsidP="00004EFE">
      <w:pPr>
        <w:spacing w:after="0"/>
        <w:ind w:left="900"/>
        <w:rPr>
          <w:rFonts w:ascii="Times New Roman" w:eastAsia="Times New Roman" w:hAnsi="Times New Roman" w:cs="Times New Roman"/>
          <w:sz w:val="20"/>
          <w:szCs w:val="20"/>
        </w:rPr>
      </w:pPr>
    </w:p>
    <w:p w14:paraId="615EA1EC" w14:textId="5BE0F34C" w:rsidR="005C4F5E" w:rsidRDefault="00705979" w:rsidP="00705979">
      <w:pPr>
        <w:tabs>
          <w:tab w:val="left" w:pos="3420"/>
        </w:tabs>
        <w:rPr>
          <w:rFonts w:ascii="Arial" w:hAnsi="Arial" w:cs="Arial"/>
          <w:sz w:val="28"/>
          <w:szCs w:val="28"/>
        </w:rPr>
      </w:pPr>
      <w:r>
        <w:rPr>
          <w:rFonts w:ascii="Arial" w:hAnsi="Arial" w:cs="Arial"/>
          <w:sz w:val="28"/>
          <w:szCs w:val="28"/>
        </w:rPr>
        <w:tab/>
      </w:r>
    </w:p>
    <w:p w14:paraId="5FE2A1D2" w14:textId="1466CEC2" w:rsidR="00705979" w:rsidRDefault="00705979" w:rsidP="00705979">
      <w:pPr>
        <w:tabs>
          <w:tab w:val="left" w:pos="3420"/>
        </w:tabs>
        <w:rPr>
          <w:rFonts w:ascii="Arial" w:hAnsi="Arial" w:cs="Arial"/>
          <w:sz w:val="28"/>
          <w:szCs w:val="28"/>
        </w:rPr>
      </w:pPr>
    </w:p>
    <w:p w14:paraId="4716974F" w14:textId="13D3F9C6" w:rsidR="00705979" w:rsidRDefault="00705979" w:rsidP="00705979">
      <w:pPr>
        <w:tabs>
          <w:tab w:val="left" w:pos="3420"/>
        </w:tabs>
        <w:rPr>
          <w:rFonts w:ascii="Times New Roman" w:hAnsi="Times New Roman" w:cs="Times New Roman"/>
          <w:sz w:val="20"/>
          <w:szCs w:val="20"/>
        </w:rPr>
      </w:pPr>
      <w:r>
        <w:rPr>
          <w:rFonts w:ascii="Arial" w:hAnsi="Arial" w:cs="Arial"/>
          <w:sz w:val="28"/>
          <w:szCs w:val="28"/>
        </w:rPr>
        <w:t xml:space="preserve">             </w:t>
      </w:r>
      <w:r>
        <w:rPr>
          <w:rFonts w:ascii="Times New Roman" w:hAnsi="Times New Roman" w:cs="Times New Roman"/>
          <w:sz w:val="20"/>
          <w:szCs w:val="20"/>
        </w:rPr>
        <w:t xml:space="preserve">Add reference </w:t>
      </w:r>
      <w:r w:rsidR="00F53D41">
        <w:rPr>
          <w:rFonts w:ascii="Times New Roman" w:hAnsi="Times New Roman" w:cs="Times New Roman"/>
          <w:sz w:val="20"/>
          <w:szCs w:val="20"/>
        </w:rPr>
        <w:t>to Annex 5</w:t>
      </w:r>
      <w:r w:rsidR="00404D62">
        <w:rPr>
          <w:rFonts w:ascii="Times New Roman" w:hAnsi="Times New Roman" w:cs="Times New Roman"/>
          <w:sz w:val="20"/>
          <w:szCs w:val="20"/>
        </w:rPr>
        <w:t>R</w:t>
      </w:r>
      <w:r w:rsidR="00F53D41">
        <w:rPr>
          <w:rFonts w:ascii="Times New Roman" w:hAnsi="Times New Roman" w:cs="Times New Roman"/>
          <w:sz w:val="20"/>
          <w:szCs w:val="20"/>
        </w:rPr>
        <w:t xml:space="preserve"> in Table 5-1 </w:t>
      </w:r>
    </w:p>
    <w:p w14:paraId="5D830928" w14:textId="0C2B9063" w:rsidR="00F53D41" w:rsidRPr="00705979" w:rsidRDefault="00F53D41" w:rsidP="00F53D41">
      <w:pPr>
        <w:tabs>
          <w:tab w:val="left" w:pos="2268"/>
        </w:tabs>
        <w:spacing w:before="120" w:after="0" w:line="240" w:lineRule="auto"/>
        <w:ind w:left="2268" w:right="1134" w:hanging="1134"/>
        <w:jc w:val="both"/>
        <w:rPr>
          <w:rFonts w:ascii="Times New Roman" w:hAnsi="Times New Roman" w:cs="Times New Roman"/>
          <w:sz w:val="20"/>
          <w:szCs w:val="20"/>
        </w:rPr>
      </w:pPr>
      <w:r>
        <w:rPr>
          <w:rFonts w:ascii="Times New Roman" w:hAnsi="Times New Roman" w:cs="Times New Roman"/>
          <w:sz w:val="20"/>
          <w:szCs w:val="20"/>
        </w:rPr>
        <w:t xml:space="preserve"> </w:t>
      </w:r>
      <w:r w:rsidRPr="00BA1F97">
        <w:rPr>
          <w:rFonts w:ascii="Times New Roman" w:eastAsia="Times New Roman" w:hAnsi="Times New Roman" w:cs="Times New Roman"/>
          <w:sz w:val="20"/>
          <w:szCs w:val="20"/>
        </w:rPr>
        <w:t>Table 5.1</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
        <w:gridCol w:w="709"/>
        <w:gridCol w:w="709"/>
        <w:gridCol w:w="709"/>
        <w:gridCol w:w="708"/>
        <w:gridCol w:w="709"/>
        <w:gridCol w:w="709"/>
        <w:gridCol w:w="709"/>
      </w:tblGrid>
      <w:tr w:rsidR="00F53D41" w:rsidRPr="00BA1F97" w14:paraId="38AD4069" w14:textId="77777777" w:rsidTr="00670C0F">
        <w:tc>
          <w:tcPr>
            <w:tcW w:w="2268" w:type="dxa"/>
            <w:tcBorders>
              <w:bottom w:val="single" w:sz="12" w:space="0" w:color="auto"/>
            </w:tcBorders>
          </w:tcPr>
          <w:p w14:paraId="5AF45BBD" w14:textId="77777777" w:rsidR="00F53D41" w:rsidRPr="00BA1F97" w:rsidRDefault="00F53D41" w:rsidP="00670C0F">
            <w:pPr>
              <w:suppressAutoHyphens/>
              <w:spacing w:beforeLines="30" w:before="72" w:afterLines="30" w:after="72" w:line="240" w:lineRule="auto"/>
              <w:ind w:left="85" w:right="85"/>
              <w:jc w:val="both"/>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Test</w:t>
            </w:r>
          </w:p>
        </w:tc>
        <w:tc>
          <w:tcPr>
            <w:tcW w:w="708" w:type="dxa"/>
            <w:tcBorders>
              <w:bottom w:val="single" w:sz="12" w:space="0" w:color="auto"/>
            </w:tcBorders>
          </w:tcPr>
          <w:p w14:paraId="6B70562C"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0</w:t>
            </w:r>
          </w:p>
        </w:tc>
        <w:tc>
          <w:tcPr>
            <w:tcW w:w="709" w:type="dxa"/>
            <w:tcBorders>
              <w:bottom w:val="single" w:sz="12" w:space="0" w:color="auto"/>
            </w:tcBorders>
          </w:tcPr>
          <w:p w14:paraId="4FA6C122"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1</w:t>
            </w:r>
          </w:p>
        </w:tc>
        <w:tc>
          <w:tcPr>
            <w:tcW w:w="709" w:type="dxa"/>
            <w:tcBorders>
              <w:bottom w:val="single" w:sz="12" w:space="0" w:color="auto"/>
            </w:tcBorders>
          </w:tcPr>
          <w:p w14:paraId="4B4C0599"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2</w:t>
            </w:r>
          </w:p>
        </w:tc>
        <w:tc>
          <w:tcPr>
            <w:tcW w:w="709" w:type="dxa"/>
            <w:tcBorders>
              <w:bottom w:val="single" w:sz="12" w:space="0" w:color="auto"/>
            </w:tcBorders>
          </w:tcPr>
          <w:p w14:paraId="3E7FAD07"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3</w:t>
            </w:r>
          </w:p>
        </w:tc>
        <w:tc>
          <w:tcPr>
            <w:tcW w:w="708" w:type="dxa"/>
            <w:tcBorders>
              <w:bottom w:val="single" w:sz="12" w:space="0" w:color="auto"/>
            </w:tcBorders>
          </w:tcPr>
          <w:p w14:paraId="431DB557"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4</w:t>
            </w:r>
          </w:p>
        </w:tc>
        <w:tc>
          <w:tcPr>
            <w:tcW w:w="709" w:type="dxa"/>
            <w:tcBorders>
              <w:bottom w:val="single" w:sz="12" w:space="0" w:color="auto"/>
            </w:tcBorders>
          </w:tcPr>
          <w:p w14:paraId="65C2B59A"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5</w:t>
            </w:r>
          </w:p>
        </w:tc>
        <w:tc>
          <w:tcPr>
            <w:tcW w:w="709" w:type="dxa"/>
            <w:tcBorders>
              <w:bottom w:val="single" w:sz="12" w:space="0" w:color="auto"/>
            </w:tcBorders>
          </w:tcPr>
          <w:p w14:paraId="79BDBD78"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Class 6</w:t>
            </w:r>
          </w:p>
        </w:tc>
        <w:tc>
          <w:tcPr>
            <w:tcW w:w="709" w:type="dxa"/>
            <w:tcBorders>
              <w:bottom w:val="single" w:sz="12" w:space="0" w:color="auto"/>
            </w:tcBorders>
          </w:tcPr>
          <w:p w14:paraId="7F1A8D57" w14:textId="77777777" w:rsidR="00F53D41" w:rsidRPr="00BA1F97" w:rsidRDefault="00F53D41" w:rsidP="00670C0F">
            <w:pPr>
              <w:suppressAutoHyphens/>
              <w:spacing w:beforeLines="30" w:before="72" w:afterLines="30" w:after="72" w:line="240" w:lineRule="auto"/>
              <w:ind w:left="85" w:right="85"/>
              <w:jc w:val="center"/>
              <w:rPr>
                <w:rFonts w:ascii="Times New Roman" w:eastAsia="Times New Roman" w:hAnsi="Times New Roman" w:cs="Times New Roman"/>
                <w:i/>
                <w:sz w:val="16"/>
                <w:szCs w:val="16"/>
                <w:lang w:val="fr-CH"/>
              </w:rPr>
            </w:pPr>
            <w:r w:rsidRPr="00BA1F97">
              <w:rPr>
                <w:rFonts w:ascii="Times New Roman" w:eastAsia="Times New Roman" w:hAnsi="Times New Roman" w:cs="Times New Roman"/>
                <w:i/>
                <w:sz w:val="16"/>
                <w:szCs w:val="16"/>
                <w:lang w:val="fr-CH"/>
              </w:rPr>
              <w:t>Annex</w:t>
            </w:r>
          </w:p>
        </w:tc>
      </w:tr>
      <w:tr w:rsidR="00F53D41" w:rsidRPr="00BA1F97" w14:paraId="7A17B262" w14:textId="77777777" w:rsidTr="00670C0F">
        <w:tc>
          <w:tcPr>
            <w:tcW w:w="2268" w:type="dxa"/>
            <w:tcBorders>
              <w:top w:val="single" w:sz="12" w:space="0" w:color="auto"/>
            </w:tcBorders>
          </w:tcPr>
          <w:p w14:paraId="698CD515"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Overpressure or strength</w:t>
            </w:r>
          </w:p>
        </w:tc>
        <w:tc>
          <w:tcPr>
            <w:tcW w:w="708" w:type="dxa"/>
            <w:tcBorders>
              <w:top w:val="single" w:sz="12" w:space="0" w:color="auto"/>
            </w:tcBorders>
          </w:tcPr>
          <w:p w14:paraId="5AD777C5"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Borders>
              <w:top w:val="single" w:sz="12" w:space="0" w:color="auto"/>
            </w:tcBorders>
          </w:tcPr>
          <w:p w14:paraId="171AA50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Borders>
              <w:top w:val="single" w:sz="12" w:space="0" w:color="auto"/>
            </w:tcBorders>
          </w:tcPr>
          <w:p w14:paraId="743A871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Borders>
              <w:top w:val="single" w:sz="12" w:space="0" w:color="auto"/>
            </w:tcBorders>
          </w:tcPr>
          <w:p w14:paraId="045D4D02"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8" w:type="dxa"/>
            <w:tcBorders>
              <w:top w:val="single" w:sz="12" w:space="0" w:color="auto"/>
            </w:tcBorders>
          </w:tcPr>
          <w:p w14:paraId="0A5FFC8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Borders>
              <w:top w:val="single" w:sz="12" w:space="0" w:color="auto"/>
            </w:tcBorders>
          </w:tcPr>
          <w:p w14:paraId="1F668BE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Borders>
              <w:top w:val="single" w:sz="12" w:space="0" w:color="auto"/>
            </w:tcBorders>
          </w:tcPr>
          <w:p w14:paraId="3C10CDE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Borders>
              <w:top w:val="single" w:sz="12" w:space="0" w:color="auto"/>
            </w:tcBorders>
          </w:tcPr>
          <w:p w14:paraId="6BB7828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5A</w:t>
            </w:r>
          </w:p>
        </w:tc>
      </w:tr>
      <w:tr w:rsidR="00F53D41" w:rsidRPr="00BA1F97" w14:paraId="5C8A1A40" w14:textId="77777777" w:rsidTr="00670C0F">
        <w:tc>
          <w:tcPr>
            <w:tcW w:w="2268" w:type="dxa"/>
          </w:tcPr>
          <w:p w14:paraId="7A235A1A"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External leakage</w:t>
            </w:r>
          </w:p>
        </w:tc>
        <w:tc>
          <w:tcPr>
            <w:tcW w:w="708" w:type="dxa"/>
          </w:tcPr>
          <w:p w14:paraId="3944851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14B1AD2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7F4B773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0D28997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8" w:type="dxa"/>
          </w:tcPr>
          <w:p w14:paraId="699393F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5DA1282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0A8D3DF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678E637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5B</w:t>
            </w:r>
          </w:p>
        </w:tc>
      </w:tr>
      <w:tr w:rsidR="00F53D41" w:rsidRPr="00BA1F97" w14:paraId="298DB8C3" w14:textId="77777777" w:rsidTr="00670C0F">
        <w:tc>
          <w:tcPr>
            <w:tcW w:w="2268" w:type="dxa"/>
          </w:tcPr>
          <w:p w14:paraId="391E0389"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Internal leakage</w:t>
            </w:r>
          </w:p>
        </w:tc>
        <w:tc>
          <w:tcPr>
            <w:tcW w:w="708" w:type="dxa"/>
          </w:tcPr>
          <w:p w14:paraId="4F7A630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535EF9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1354AD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4853C4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56653FC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054CE86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27B62F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0291AC5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5C</w:t>
            </w:r>
          </w:p>
        </w:tc>
      </w:tr>
      <w:tr w:rsidR="00F53D41" w:rsidRPr="00BA1F97" w14:paraId="12332FAA" w14:textId="77777777" w:rsidTr="00670C0F">
        <w:tc>
          <w:tcPr>
            <w:tcW w:w="2268" w:type="dxa"/>
          </w:tcPr>
          <w:p w14:paraId="3CF5CFEF"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Durability tests</w:t>
            </w:r>
          </w:p>
        </w:tc>
        <w:tc>
          <w:tcPr>
            <w:tcW w:w="708" w:type="dxa"/>
          </w:tcPr>
          <w:p w14:paraId="3D36CC0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A3F12D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0C1E50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097CC06D"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11EEB88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0E296C2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62709F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02B5C42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5L</w:t>
            </w:r>
          </w:p>
        </w:tc>
      </w:tr>
      <w:tr w:rsidR="00F53D41" w:rsidRPr="00BA1F97" w14:paraId="3D299448" w14:textId="77777777" w:rsidTr="00670C0F">
        <w:tc>
          <w:tcPr>
            <w:tcW w:w="2268" w:type="dxa"/>
          </w:tcPr>
          <w:p w14:paraId="50B84D46"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CNG/LNG compatibility</w:t>
            </w:r>
          </w:p>
        </w:tc>
        <w:tc>
          <w:tcPr>
            <w:tcW w:w="708" w:type="dxa"/>
          </w:tcPr>
          <w:p w14:paraId="49794FF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4DFDB94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9B8DC7D"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3EF742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74473C8D"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BEAE54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D69EE8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53F01A3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5D</w:t>
            </w:r>
          </w:p>
        </w:tc>
      </w:tr>
      <w:tr w:rsidR="00F53D41" w:rsidRPr="00BA1F97" w14:paraId="11B2F511" w14:textId="77777777" w:rsidTr="00670C0F">
        <w:tc>
          <w:tcPr>
            <w:tcW w:w="2268" w:type="dxa"/>
          </w:tcPr>
          <w:p w14:paraId="7F2A56C2"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Corrosion resistance</w:t>
            </w:r>
          </w:p>
        </w:tc>
        <w:tc>
          <w:tcPr>
            <w:tcW w:w="708" w:type="dxa"/>
          </w:tcPr>
          <w:p w14:paraId="164F510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7BE5543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27DD6CF2"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74A9502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8" w:type="dxa"/>
          </w:tcPr>
          <w:p w14:paraId="1E75235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0ED9908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4B8B6A2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E7460D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5E</w:t>
            </w:r>
          </w:p>
        </w:tc>
      </w:tr>
      <w:tr w:rsidR="00F53D41" w:rsidRPr="00BA1F97" w14:paraId="3AD36EBF" w14:textId="77777777" w:rsidTr="00670C0F">
        <w:tc>
          <w:tcPr>
            <w:tcW w:w="2268" w:type="dxa"/>
          </w:tcPr>
          <w:p w14:paraId="19703710"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Resistance to dry heat</w:t>
            </w:r>
          </w:p>
        </w:tc>
        <w:tc>
          <w:tcPr>
            <w:tcW w:w="708" w:type="dxa"/>
          </w:tcPr>
          <w:p w14:paraId="00FD28E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0B16A8F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F5DDCE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4EF0A44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00DC3BD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BF0C2C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E6E43E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730164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5F</w:t>
            </w:r>
          </w:p>
        </w:tc>
      </w:tr>
      <w:tr w:rsidR="00F53D41" w:rsidRPr="00BA1F97" w14:paraId="63D23C21" w14:textId="77777777" w:rsidTr="00670C0F">
        <w:tc>
          <w:tcPr>
            <w:tcW w:w="2268" w:type="dxa"/>
          </w:tcPr>
          <w:p w14:paraId="5C4C5DC4"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Ozone ageing</w:t>
            </w:r>
          </w:p>
        </w:tc>
        <w:tc>
          <w:tcPr>
            <w:tcW w:w="708" w:type="dxa"/>
          </w:tcPr>
          <w:p w14:paraId="78B613D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C2552E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3EE9B87D"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7576E2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6029805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332E8AD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B90204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0333586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5G</w:t>
            </w:r>
          </w:p>
        </w:tc>
      </w:tr>
      <w:tr w:rsidR="00F53D41" w:rsidRPr="00BA1F97" w14:paraId="49FBFE9E" w14:textId="77777777" w:rsidTr="00670C0F">
        <w:tc>
          <w:tcPr>
            <w:tcW w:w="2268" w:type="dxa"/>
          </w:tcPr>
          <w:p w14:paraId="1359B55B"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Burst/destructive tests</w:t>
            </w:r>
          </w:p>
        </w:tc>
        <w:tc>
          <w:tcPr>
            <w:tcW w:w="708" w:type="dxa"/>
          </w:tcPr>
          <w:p w14:paraId="738F15B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5341B78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1B2B3F3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6524F42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8" w:type="dxa"/>
          </w:tcPr>
          <w:p w14:paraId="55B7477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733DB57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1684FA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9C4B26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5M</w:t>
            </w:r>
          </w:p>
        </w:tc>
      </w:tr>
      <w:tr w:rsidR="00F53D41" w:rsidRPr="00BA1F97" w14:paraId="0F05E70A" w14:textId="77777777" w:rsidTr="00670C0F">
        <w:tc>
          <w:tcPr>
            <w:tcW w:w="2268" w:type="dxa"/>
          </w:tcPr>
          <w:p w14:paraId="6363C2E5"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Temperature cycle</w:t>
            </w:r>
          </w:p>
        </w:tc>
        <w:tc>
          <w:tcPr>
            <w:tcW w:w="708" w:type="dxa"/>
          </w:tcPr>
          <w:p w14:paraId="0538C0A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D44A5D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7D9BA9C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57CE4FB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20D57135"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3764C18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2F61A952"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50A96EA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5H</w:t>
            </w:r>
          </w:p>
        </w:tc>
      </w:tr>
      <w:tr w:rsidR="00F53D41" w:rsidRPr="00BA1F97" w14:paraId="35432974" w14:textId="77777777" w:rsidTr="00670C0F">
        <w:tc>
          <w:tcPr>
            <w:tcW w:w="2268" w:type="dxa"/>
          </w:tcPr>
          <w:p w14:paraId="707D2839"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Pressure cycle</w:t>
            </w:r>
          </w:p>
        </w:tc>
        <w:tc>
          <w:tcPr>
            <w:tcW w:w="708" w:type="dxa"/>
          </w:tcPr>
          <w:p w14:paraId="0C7CF86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151B42D"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2679DD65"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2C2F244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8" w:type="dxa"/>
          </w:tcPr>
          <w:p w14:paraId="278EFD80"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339FE53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828BD3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6DF042E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5I</w:t>
            </w:r>
          </w:p>
        </w:tc>
      </w:tr>
      <w:tr w:rsidR="00F53D41" w:rsidRPr="00BA1F97" w14:paraId="07D5496F" w14:textId="77777777" w:rsidTr="00670C0F">
        <w:tc>
          <w:tcPr>
            <w:tcW w:w="2268" w:type="dxa"/>
          </w:tcPr>
          <w:p w14:paraId="6C9A0E18"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Vibration resistance</w:t>
            </w:r>
          </w:p>
        </w:tc>
        <w:tc>
          <w:tcPr>
            <w:tcW w:w="708" w:type="dxa"/>
          </w:tcPr>
          <w:p w14:paraId="6D1BAF7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5A2684A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12BBC53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4889EB4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8" w:type="dxa"/>
          </w:tcPr>
          <w:p w14:paraId="6E13FF3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103408C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37417B8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A</w:t>
            </w:r>
          </w:p>
        </w:tc>
        <w:tc>
          <w:tcPr>
            <w:tcW w:w="709" w:type="dxa"/>
          </w:tcPr>
          <w:p w14:paraId="662DD871"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5N</w:t>
            </w:r>
          </w:p>
        </w:tc>
      </w:tr>
      <w:tr w:rsidR="00F53D41" w:rsidRPr="00BA1F97" w14:paraId="7B3D4740" w14:textId="77777777" w:rsidTr="00670C0F">
        <w:tc>
          <w:tcPr>
            <w:tcW w:w="2268" w:type="dxa"/>
          </w:tcPr>
          <w:p w14:paraId="1C6EEDC2" w14:textId="77777777" w:rsidR="00F53D41" w:rsidRPr="00BA1F97" w:rsidRDefault="00F53D41" w:rsidP="00670C0F">
            <w:pPr>
              <w:suppressAutoHyphens/>
              <w:spacing w:beforeLines="30" w:before="72" w:afterLines="30" w:after="72" w:line="240" w:lineRule="auto"/>
              <w:ind w:left="113" w:right="113"/>
              <w:jc w:val="both"/>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Operating temperatures</w:t>
            </w:r>
          </w:p>
        </w:tc>
        <w:tc>
          <w:tcPr>
            <w:tcW w:w="708" w:type="dxa"/>
          </w:tcPr>
          <w:p w14:paraId="66A3FB6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BF1572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4A9ECE8"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75F2436A"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8" w:type="dxa"/>
          </w:tcPr>
          <w:p w14:paraId="6A11301E"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06FDD6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4E8E28A3"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3EB9DC1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5O</w:t>
            </w:r>
          </w:p>
        </w:tc>
      </w:tr>
      <w:tr w:rsidR="00F53D41" w:rsidRPr="00BA1F97" w14:paraId="4B84424D" w14:textId="77777777" w:rsidTr="00670C0F">
        <w:tc>
          <w:tcPr>
            <w:tcW w:w="2268" w:type="dxa"/>
          </w:tcPr>
          <w:p w14:paraId="78E36DD7" w14:textId="77777777" w:rsidR="00F53D41" w:rsidRPr="00BA1F97" w:rsidRDefault="00F53D41" w:rsidP="00670C0F">
            <w:pPr>
              <w:tabs>
                <w:tab w:val="left" w:pos="1276"/>
                <w:tab w:val="left" w:pos="1701"/>
              </w:tabs>
              <w:suppressAutoHyphens/>
              <w:spacing w:beforeLines="30" w:before="72" w:afterLines="30" w:after="72" w:line="240" w:lineRule="auto"/>
              <w:ind w:left="113" w:right="113"/>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LNG low temperature</w:t>
            </w:r>
          </w:p>
        </w:tc>
        <w:tc>
          <w:tcPr>
            <w:tcW w:w="708" w:type="dxa"/>
          </w:tcPr>
          <w:p w14:paraId="47F9BA3B"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526A3D47"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50BDB072"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1826F596"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8" w:type="dxa"/>
          </w:tcPr>
          <w:p w14:paraId="29A82BBF"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33A31754"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X</w:t>
            </w:r>
          </w:p>
        </w:tc>
        <w:tc>
          <w:tcPr>
            <w:tcW w:w="709" w:type="dxa"/>
          </w:tcPr>
          <w:p w14:paraId="12C2BC4C"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O</w:t>
            </w:r>
          </w:p>
        </w:tc>
        <w:tc>
          <w:tcPr>
            <w:tcW w:w="709" w:type="dxa"/>
          </w:tcPr>
          <w:p w14:paraId="53BE6DB9" w14:textId="77777777" w:rsidR="00F53D41" w:rsidRPr="00BA1F97"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BA1F97">
              <w:rPr>
                <w:rFonts w:ascii="Times New Roman" w:eastAsia="Times New Roman" w:hAnsi="Times New Roman" w:cs="Times New Roman"/>
                <w:sz w:val="20"/>
                <w:szCs w:val="20"/>
                <w:lang w:val="fr-CH"/>
              </w:rPr>
              <w:t>5P</w:t>
            </w:r>
          </w:p>
        </w:tc>
      </w:tr>
      <w:tr w:rsidR="00F53D41" w:rsidRPr="00BA1F97" w14:paraId="015B02A9" w14:textId="77777777" w:rsidTr="00D1300F">
        <w:tc>
          <w:tcPr>
            <w:tcW w:w="2268" w:type="dxa"/>
          </w:tcPr>
          <w:p w14:paraId="2BF0539F" w14:textId="610976C2" w:rsidR="00F53D41" w:rsidRPr="00D1300F" w:rsidRDefault="00C35AF7" w:rsidP="00C35AF7">
            <w:pPr>
              <w:tabs>
                <w:tab w:val="left" w:pos="1276"/>
                <w:tab w:val="left" w:pos="1701"/>
              </w:tabs>
              <w:suppressAutoHyphens/>
              <w:spacing w:beforeLines="30" w:before="72" w:afterLines="30" w:after="72" w:line="240" w:lineRule="auto"/>
              <w:ind w:left="113" w:right="113"/>
              <w:rPr>
                <w:rFonts w:ascii="Times New Roman" w:eastAsia="Times New Roman" w:hAnsi="Times New Roman" w:cs="Times New Roman"/>
                <w:sz w:val="20"/>
                <w:szCs w:val="20"/>
                <w:u w:val="single"/>
                <w:lang w:val="fr-CH"/>
              </w:rPr>
            </w:pPr>
            <w:r w:rsidRPr="00C35AF7">
              <w:rPr>
                <w:rFonts w:ascii="Times New Roman" w:eastAsia="Times New Roman" w:hAnsi="Times New Roman" w:cs="Times New Roman"/>
                <w:sz w:val="20"/>
                <w:szCs w:val="20"/>
              </w:rPr>
              <w:t>Compatibility with heat exchange fluids</w:t>
            </w:r>
            <w:r>
              <w:rPr>
                <w:rFonts w:ascii="Times New Roman" w:eastAsia="Times New Roman" w:hAnsi="Times New Roman" w:cs="Times New Roman"/>
                <w:sz w:val="20"/>
                <w:szCs w:val="20"/>
              </w:rPr>
              <w:t xml:space="preserve"> </w:t>
            </w:r>
            <w:r w:rsidRPr="00C35AF7">
              <w:rPr>
                <w:rFonts w:ascii="Times New Roman" w:eastAsia="Times New Roman" w:hAnsi="Times New Roman" w:cs="Times New Roman"/>
                <w:sz w:val="20"/>
                <w:szCs w:val="20"/>
              </w:rPr>
              <w:t>of non-metallic part</w:t>
            </w:r>
          </w:p>
        </w:tc>
        <w:tc>
          <w:tcPr>
            <w:tcW w:w="708" w:type="dxa"/>
          </w:tcPr>
          <w:p w14:paraId="6D9BC0E8"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3DC4D7D3" w14:textId="0B4483AA"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73F13FCA" w14:textId="77777777"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4398840E" w14:textId="4BED916F" w:rsidR="00F53D41"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08F8CBD6"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4D0EF516" w14:textId="4BB076A8"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5B08D6A2"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51DD2B53" w14:textId="46EF5580" w:rsidR="00C35AF7" w:rsidRPr="00F64D3C"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8" w:type="dxa"/>
          </w:tcPr>
          <w:p w14:paraId="04051263"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2CD4034B" w14:textId="519F147D"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1B3E0811"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5C8F1C8D" w14:textId="35C847A6"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1D4D994F"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794731EC" w14:textId="44FF4071" w:rsidR="00C35AF7" w:rsidRPr="00F64D3C" w:rsidRDefault="00C35AF7"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A</w:t>
            </w:r>
          </w:p>
        </w:tc>
        <w:tc>
          <w:tcPr>
            <w:tcW w:w="709" w:type="dxa"/>
          </w:tcPr>
          <w:p w14:paraId="386FE838" w14:textId="77777777" w:rsidR="00F53D41" w:rsidRPr="00F64D3C" w:rsidRDefault="00F53D41"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p>
          <w:p w14:paraId="3B532FBC" w14:textId="1F8EE5F7" w:rsidR="00F64D3C" w:rsidRPr="00F64D3C" w:rsidRDefault="00F64D3C" w:rsidP="00670C0F">
            <w:pPr>
              <w:suppressAutoHyphens/>
              <w:spacing w:beforeLines="30" w:before="72" w:afterLines="30" w:after="72" w:line="240" w:lineRule="auto"/>
              <w:ind w:left="113" w:right="113"/>
              <w:jc w:val="center"/>
              <w:rPr>
                <w:rFonts w:ascii="Times New Roman" w:eastAsia="Times New Roman" w:hAnsi="Times New Roman" w:cs="Times New Roman"/>
                <w:sz w:val="20"/>
                <w:szCs w:val="20"/>
                <w:lang w:val="fr-CH"/>
              </w:rPr>
            </w:pPr>
            <w:r w:rsidRPr="00F64D3C">
              <w:rPr>
                <w:rFonts w:ascii="Times New Roman" w:eastAsia="Times New Roman" w:hAnsi="Times New Roman" w:cs="Times New Roman"/>
                <w:sz w:val="20"/>
                <w:szCs w:val="20"/>
                <w:lang w:val="fr-CH"/>
              </w:rPr>
              <w:t>5Q</w:t>
            </w:r>
          </w:p>
        </w:tc>
      </w:tr>
      <w:tr w:rsidR="00C35AF7" w:rsidRPr="00BA1F97" w14:paraId="144D0D9A" w14:textId="77777777" w:rsidTr="00D1300F">
        <w:tc>
          <w:tcPr>
            <w:tcW w:w="2268" w:type="dxa"/>
          </w:tcPr>
          <w:p w14:paraId="00022C17" w14:textId="552074B1" w:rsidR="00C35AF7" w:rsidRPr="00D1300F" w:rsidRDefault="00C35AF7" w:rsidP="00C35AF7">
            <w:pPr>
              <w:tabs>
                <w:tab w:val="left" w:pos="1276"/>
                <w:tab w:val="left" w:pos="1701"/>
              </w:tabs>
              <w:suppressAutoHyphens/>
              <w:spacing w:beforeLines="30" w:before="72" w:afterLines="30" w:after="72" w:line="240" w:lineRule="auto"/>
              <w:ind w:left="113" w:right="113"/>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 xml:space="preserve">Benchtop activation </w:t>
            </w:r>
          </w:p>
        </w:tc>
        <w:tc>
          <w:tcPr>
            <w:tcW w:w="708" w:type="dxa"/>
          </w:tcPr>
          <w:p w14:paraId="6E6225BA" w14:textId="5929906D"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464E3354" w14:textId="2A96958B"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4113EE5D" w14:textId="6DF3B735"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34AC3F40" w14:textId="39C8518F"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8" w:type="dxa"/>
          </w:tcPr>
          <w:p w14:paraId="4F034F71" w14:textId="54EDA49A"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4D0B900C" w14:textId="3BD096FD"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O</w:t>
            </w:r>
          </w:p>
        </w:tc>
        <w:tc>
          <w:tcPr>
            <w:tcW w:w="709" w:type="dxa"/>
          </w:tcPr>
          <w:p w14:paraId="4FA1E8B6" w14:textId="4C3D4917"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A</w:t>
            </w:r>
          </w:p>
        </w:tc>
        <w:tc>
          <w:tcPr>
            <w:tcW w:w="709" w:type="dxa"/>
          </w:tcPr>
          <w:p w14:paraId="11696B7B" w14:textId="23343839" w:rsidR="00C35AF7" w:rsidRPr="00D1300F" w:rsidRDefault="00C35AF7" w:rsidP="00C35AF7">
            <w:pPr>
              <w:suppressAutoHyphens/>
              <w:spacing w:beforeLines="30" w:before="72" w:afterLines="30" w:after="72" w:line="240" w:lineRule="auto"/>
              <w:ind w:left="113" w:right="113"/>
              <w:jc w:val="center"/>
              <w:rPr>
                <w:rFonts w:ascii="Times New Roman" w:eastAsia="Times New Roman" w:hAnsi="Times New Roman" w:cs="Times New Roman"/>
                <w:sz w:val="20"/>
                <w:szCs w:val="20"/>
                <w:highlight w:val="yellow"/>
                <w:u w:val="single"/>
                <w:lang w:val="fr-CH"/>
              </w:rPr>
            </w:pPr>
            <w:r w:rsidRPr="00D1300F">
              <w:rPr>
                <w:rFonts w:ascii="Times New Roman" w:eastAsia="Times New Roman" w:hAnsi="Times New Roman" w:cs="Times New Roman"/>
                <w:sz w:val="20"/>
                <w:szCs w:val="20"/>
                <w:highlight w:val="yellow"/>
                <w:u w:val="single"/>
                <w:lang w:val="fr-CH"/>
              </w:rPr>
              <w:t>5</w:t>
            </w:r>
            <w:r>
              <w:rPr>
                <w:rFonts w:ascii="Times New Roman" w:eastAsia="Times New Roman" w:hAnsi="Times New Roman" w:cs="Times New Roman"/>
                <w:sz w:val="20"/>
                <w:szCs w:val="20"/>
                <w:highlight w:val="yellow"/>
                <w:u w:val="single"/>
                <w:lang w:val="fr-CH"/>
              </w:rPr>
              <w:t>R</w:t>
            </w:r>
          </w:p>
        </w:tc>
      </w:tr>
      <w:tr w:rsidR="00C35AF7" w:rsidRPr="00BA1F97" w14:paraId="23A67684" w14:textId="77777777" w:rsidTr="00E5575A">
        <w:tc>
          <w:tcPr>
            <w:tcW w:w="7938" w:type="dxa"/>
            <w:gridSpan w:val="9"/>
            <w:tcBorders>
              <w:bottom w:val="single" w:sz="12" w:space="0" w:color="auto"/>
            </w:tcBorders>
          </w:tcPr>
          <w:p w14:paraId="412BC8B3" w14:textId="77777777" w:rsidR="00C35AF7" w:rsidRPr="00705979" w:rsidRDefault="00C35AF7" w:rsidP="00C35AF7">
            <w:pPr>
              <w:widowControl w:val="0"/>
              <w:autoSpaceDE w:val="0"/>
              <w:autoSpaceDN w:val="0"/>
              <w:adjustRightInd w:val="0"/>
              <w:spacing w:after="0" w:line="240" w:lineRule="auto"/>
              <w:ind w:left="142"/>
              <w:rPr>
                <w:rFonts w:ascii="Times New Roman" w:eastAsia="Times New Roman" w:hAnsi="Times New Roman" w:cs="Times New Roman"/>
                <w:bCs/>
                <w:sz w:val="18"/>
                <w:szCs w:val="18"/>
                <w:lang w:val="en-GB"/>
              </w:rPr>
            </w:pPr>
            <w:r w:rsidRPr="00705979">
              <w:rPr>
                <w:rFonts w:ascii="Times New Roman" w:eastAsia="Times New Roman" w:hAnsi="Times New Roman" w:cs="Times New Roman"/>
                <w:bCs/>
                <w:sz w:val="18"/>
                <w:szCs w:val="18"/>
                <w:lang w:val="en-GB"/>
              </w:rPr>
              <w:t>X = Applicable</w:t>
            </w:r>
          </w:p>
          <w:p w14:paraId="47BF5265" w14:textId="77777777" w:rsidR="00C35AF7" w:rsidRPr="00705979" w:rsidRDefault="00C35AF7" w:rsidP="00C35AF7">
            <w:pPr>
              <w:widowControl w:val="0"/>
              <w:autoSpaceDE w:val="0"/>
              <w:autoSpaceDN w:val="0"/>
              <w:adjustRightInd w:val="0"/>
              <w:spacing w:after="0" w:line="240" w:lineRule="auto"/>
              <w:ind w:left="142"/>
              <w:rPr>
                <w:rFonts w:ascii="Times New Roman" w:eastAsia="Times New Roman" w:hAnsi="Times New Roman" w:cs="Times New Roman"/>
                <w:bCs/>
                <w:sz w:val="18"/>
                <w:szCs w:val="18"/>
                <w:lang w:val="en-GB"/>
              </w:rPr>
            </w:pPr>
            <w:r w:rsidRPr="00705979">
              <w:rPr>
                <w:rFonts w:ascii="Times New Roman" w:eastAsia="Times New Roman" w:hAnsi="Times New Roman" w:cs="Times New Roman"/>
                <w:bCs/>
                <w:sz w:val="18"/>
                <w:szCs w:val="18"/>
                <w:lang w:val="en-GB"/>
              </w:rPr>
              <w:t>O = Not applicable</w:t>
            </w:r>
          </w:p>
          <w:p w14:paraId="1FB2A667" w14:textId="11C8BE97" w:rsidR="00C35AF7" w:rsidRPr="00F0777F" w:rsidRDefault="00C35AF7" w:rsidP="00C35AF7">
            <w:pPr>
              <w:suppressAutoHyphens/>
              <w:spacing w:beforeLines="30" w:before="72" w:afterLines="30" w:after="72" w:line="240" w:lineRule="auto"/>
              <w:ind w:left="113" w:right="113"/>
              <w:rPr>
                <w:rFonts w:ascii="Times New Roman" w:eastAsia="Times New Roman" w:hAnsi="Times New Roman" w:cs="Times New Roman"/>
                <w:sz w:val="20"/>
                <w:szCs w:val="20"/>
                <w:highlight w:val="yellow"/>
                <w:lang w:val="fr-CH"/>
              </w:rPr>
            </w:pPr>
            <w:r w:rsidRPr="00705979">
              <w:rPr>
                <w:rFonts w:ascii="Times New Roman" w:eastAsia="Times New Roman" w:hAnsi="Times New Roman" w:cs="Times New Roman"/>
                <w:bCs/>
                <w:sz w:val="18"/>
                <w:szCs w:val="18"/>
                <w:lang w:val="en-GB"/>
              </w:rPr>
              <w:t>A = As applicable</w:t>
            </w:r>
          </w:p>
        </w:tc>
      </w:tr>
    </w:tbl>
    <w:p w14:paraId="198D9F6D" w14:textId="03AC8C9B" w:rsidR="00C8233A" w:rsidRDefault="00C8233A" w:rsidP="00C8233A">
      <w:pPr>
        <w:pStyle w:val="ListParagraph"/>
        <w:ind w:left="1080"/>
        <w:rPr>
          <w:rFonts w:ascii="Arial" w:hAnsi="Arial" w:cs="Arial"/>
          <w:sz w:val="28"/>
          <w:szCs w:val="28"/>
        </w:rPr>
      </w:pPr>
    </w:p>
    <w:p w14:paraId="1454B35D" w14:textId="77777777" w:rsidR="00561248" w:rsidRPr="00561248" w:rsidRDefault="00561248" w:rsidP="00561248">
      <w:pPr>
        <w:pStyle w:val="ListParagraph"/>
        <w:ind w:left="1080"/>
        <w:rPr>
          <w:rFonts w:ascii="Times New Roman" w:hAnsi="Times New Roman" w:cs="Times New Roman"/>
          <w:sz w:val="20"/>
          <w:szCs w:val="20"/>
        </w:rPr>
      </w:pPr>
      <w:r w:rsidRPr="00561248">
        <w:rPr>
          <w:rFonts w:ascii="Times New Roman" w:hAnsi="Times New Roman" w:cs="Times New Roman"/>
          <w:sz w:val="20"/>
          <w:szCs w:val="20"/>
        </w:rPr>
        <w:t>Remarks:</w:t>
      </w:r>
    </w:p>
    <w:p w14:paraId="5AE03316" w14:textId="77777777" w:rsidR="00561248" w:rsidRDefault="00561248" w:rsidP="00561248">
      <w:pPr>
        <w:pStyle w:val="ListParagraph"/>
        <w:ind w:left="1080"/>
        <w:rPr>
          <w:rFonts w:ascii="Times New Roman" w:hAnsi="Times New Roman" w:cs="Times New Roman"/>
          <w:sz w:val="20"/>
          <w:szCs w:val="20"/>
        </w:rPr>
      </w:pPr>
    </w:p>
    <w:p w14:paraId="1071C35D" w14:textId="1240CC09" w:rsidR="00561248" w:rsidRPr="00561248" w:rsidRDefault="00561248" w:rsidP="00561248">
      <w:pPr>
        <w:pStyle w:val="ListParagraph"/>
        <w:ind w:left="1080"/>
        <w:rPr>
          <w:rFonts w:ascii="Times New Roman" w:hAnsi="Times New Roman" w:cs="Times New Roman"/>
          <w:sz w:val="20"/>
          <w:szCs w:val="20"/>
        </w:rPr>
      </w:pPr>
      <w:r w:rsidRPr="00561248">
        <w:rPr>
          <w:rFonts w:ascii="Times New Roman" w:hAnsi="Times New Roman" w:cs="Times New Roman"/>
          <w:sz w:val="20"/>
          <w:szCs w:val="20"/>
        </w:rPr>
        <w:t>(a) Internal leakage: Applicable if the Class of the component consists of internal valve seats that are normally closed during engine "OFF" condition;</w:t>
      </w:r>
    </w:p>
    <w:p w14:paraId="0D9ACCEF" w14:textId="409949BD" w:rsidR="00561248" w:rsidRDefault="00F373CD" w:rsidP="00C8233A">
      <w:pPr>
        <w:pStyle w:val="ListParagraph"/>
        <w:ind w:left="1080"/>
        <w:rPr>
          <w:rFonts w:ascii="Arial" w:hAnsi="Arial" w:cs="Arial"/>
          <w:sz w:val="28"/>
          <w:szCs w:val="28"/>
        </w:rPr>
      </w:pPr>
      <w:r>
        <w:rPr>
          <w:rFonts w:ascii="Arial" w:hAnsi="Arial" w:cs="Arial"/>
          <w:sz w:val="28"/>
          <w:szCs w:val="28"/>
        </w:rPr>
        <w:t>….</w:t>
      </w:r>
    </w:p>
    <w:p w14:paraId="5EBD123A" w14:textId="77777777" w:rsidR="00F373CD" w:rsidRPr="005B1D42" w:rsidRDefault="00F373CD" w:rsidP="00C8233A">
      <w:pPr>
        <w:pStyle w:val="ListParagraph"/>
        <w:ind w:left="1080"/>
        <w:rPr>
          <w:rFonts w:ascii="Times New Roman" w:hAnsi="Times New Roman" w:cs="Times New Roman"/>
          <w:sz w:val="20"/>
          <w:szCs w:val="20"/>
          <w:u w:val="single"/>
        </w:rPr>
      </w:pPr>
      <w:r w:rsidRPr="005B1D42">
        <w:rPr>
          <w:rFonts w:ascii="Times New Roman" w:hAnsi="Times New Roman" w:cs="Times New Roman"/>
          <w:sz w:val="20"/>
          <w:szCs w:val="20"/>
          <w:u w:val="single"/>
        </w:rPr>
        <w:t>(g) Benchtop activation: Applicable if the class of the component is dependent upon temperature for activation.</w:t>
      </w:r>
    </w:p>
    <w:p w14:paraId="0F2CF2ED" w14:textId="77777777" w:rsidR="00F373CD" w:rsidRDefault="00F373CD" w:rsidP="00C8233A">
      <w:pPr>
        <w:pStyle w:val="ListParagraph"/>
        <w:ind w:left="1080"/>
        <w:rPr>
          <w:rFonts w:ascii="Times New Roman" w:hAnsi="Times New Roman" w:cs="Times New Roman"/>
          <w:sz w:val="20"/>
          <w:szCs w:val="20"/>
        </w:rPr>
      </w:pPr>
    </w:p>
    <w:p w14:paraId="279B4B1D" w14:textId="77400141" w:rsidR="00F373CD" w:rsidRDefault="00F373CD" w:rsidP="00C8233A">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Add reference to Annex 5R </w:t>
      </w:r>
      <w:r w:rsidRPr="00F373CD">
        <w:rPr>
          <w:rFonts w:ascii="Times New Roman" w:hAnsi="Times New Roman" w:cs="Times New Roman"/>
          <w:sz w:val="20"/>
          <w:szCs w:val="20"/>
        </w:rPr>
        <w:t>in Annex 4</w:t>
      </w:r>
      <w:r w:rsidR="005B1D42" w:rsidRPr="00F373CD">
        <w:rPr>
          <w:rFonts w:ascii="Times New Roman" w:hAnsi="Times New Roman" w:cs="Times New Roman"/>
          <w:sz w:val="20"/>
          <w:szCs w:val="20"/>
        </w:rPr>
        <w:t>A</w:t>
      </w:r>
      <w:r w:rsidR="005B1D42">
        <w:rPr>
          <w:rFonts w:ascii="Times New Roman" w:hAnsi="Times New Roman" w:cs="Times New Roman"/>
          <w:sz w:val="20"/>
          <w:szCs w:val="20"/>
        </w:rPr>
        <w:t>,</w:t>
      </w:r>
      <w:r w:rsidR="005B1D42" w:rsidRPr="00F373CD">
        <w:rPr>
          <w:rFonts w:ascii="Times New Roman" w:hAnsi="Times New Roman" w:cs="Times New Roman"/>
          <w:sz w:val="20"/>
          <w:szCs w:val="20"/>
        </w:rPr>
        <w:t xml:space="preserve"> clause</w:t>
      </w:r>
      <w:r>
        <w:rPr>
          <w:rFonts w:ascii="Times New Roman" w:hAnsi="Times New Roman" w:cs="Times New Roman"/>
          <w:sz w:val="20"/>
          <w:szCs w:val="20"/>
        </w:rPr>
        <w:t xml:space="preserve"> 4.2.5 </w:t>
      </w:r>
    </w:p>
    <w:p w14:paraId="2E7B6AEF" w14:textId="77777777" w:rsidR="00F373CD" w:rsidRDefault="00F373CD" w:rsidP="00C8233A">
      <w:pPr>
        <w:pStyle w:val="ListParagraph"/>
        <w:ind w:left="1080"/>
        <w:rPr>
          <w:rFonts w:ascii="Times New Roman" w:hAnsi="Times New Roman" w:cs="Times New Roman"/>
          <w:sz w:val="20"/>
          <w:szCs w:val="20"/>
        </w:rPr>
      </w:pPr>
    </w:p>
    <w:p w14:paraId="466D1A48" w14:textId="3DCFC428" w:rsidR="00F373CD" w:rsidRPr="00F373CD" w:rsidRDefault="00F373CD" w:rsidP="00F373CD">
      <w:pPr>
        <w:pStyle w:val="ListParagraph"/>
        <w:ind w:left="1080"/>
        <w:rPr>
          <w:rFonts w:ascii="Times New Roman" w:hAnsi="Times New Roman" w:cs="Times New Roman"/>
          <w:sz w:val="20"/>
          <w:szCs w:val="20"/>
        </w:rPr>
      </w:pPr>
      <w:r w:rsidRPr="00F373CD">
        <w:rPr>
          <w:rFonts w:ascii="Times New Roman" w:hAnsi="Times New Roman" w:cs="Times New Roman"/>
          <w:b/>
          <w:bCs/>
          <w:sz w:val="20"/>
          <w:szCs w:val="20"/>
        </w:rPr>
        <w:t xml:space="preserve">4.2.5. </w:t>
      </w:r>
      <w:r w:rsidRPr="00F373CD">
        <w:rPr>
          <w:rFonts w:ascii="Times New Roman" w:hAnsi="Times New Roman" w:cs="Times New Roman"/>
          <w:sz w:val="20"/>
          <w:szCs w:val="20"/>
        </w:rPr>
        <w:t xml:space="preserve">The pressure relief device shall be so designed to open the fuse at a temperature of 110 °C ± 10 °C </w:t>
      </w:r>
      <w:r w:rsidRPr="00F373CD">
        <w:rPr>
          <w:rFonts w:ascii="Times New Roman" w:hAnsi="Times New Roman" w:cs="Times New Roman"/>
          <w:sz w:val="20"/>
          <w:szCs w:val="20"/>
          <w:u w:val="single"/>
        </w:rPr>
        <w:t>as specified in annex 5</w:t>
      </w:r>
      <w:r w:rsidR="005B1D42">
        <w:rPr>
          <w:rFonts w:ascii="Times New Roman" w:hAnsi="Times New Roman" w:cs="Times New Roman"/>
          <w:sz w:val="20"/>
          <w:szCs w:val="20"/>
          <w:u w:val="single"/>
        </w:rPr>
        <w:t>R</w:t>
      </w:r>
      <w:r w:rsidRPr="00F373CD">
        <w:rPr>
          <w:rFonts w:ascii="Times New Roman" w:hAnsi="Times New Roman" w:cs="Times New Roman"/>
          <w:sz w:val="20"/>
          <w:szCs w:val="20"/>
          <w:u w:val="single"/>
        </w:rPr>
        <w:t>.</w:t>
      </w:r>
    </w:p>
    <w:p w14:paraId="53AEBA57" w14:textId="0B9D5967" w:rsidR="00F373CD" w:rsidRPr="00F373CD" w:rsidRDefault="00F373CD" w:rsidP="00C8233A">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w:t>
      </w:r>
    </w:p>
    <w:p w14:paraId="34DBBC34" w14:textId="34F1DEBF" w:rsidR="00C8233A" w:rsidRDefault="00CC51EB" w:rsidP="00CC51EB">
      <w:pPr>
        <w:rPr>
          <w:rFonts w:ascii="Arial" w:hAnsi="Arial" w:cs="Arial"/>
          <w:sz w:val="28"/>
          <w:szCs w:val="28"/>
        </w:rPr>
      </w:pPr>
      <w:r>
        <w:rPr>
          <w:rFonts w:ascii="Arial" w:hAnsi="Arial" w:cs="Arial"/>
          <w:sz w:val="28"/>
          <w:szCs w:val="28"/>
        </w:rPr>
        <w:lastRenderedPageBreak/>
        <w:t>II Justification</w:t>
      </w:r>
    </w:p>
    <w:p w14:paraId="09D09B01" w14:textId="2871E87E" w:rsidR="00CC51EB" w:rsidRPr="00CC51EB" w:rsidRDefault="001D359E" w:rsidP="00CC51EB">
      <w:pPr>
        <w:pStyle w:val="ListParagraph"/>
        <w:numPr>
          <w:ilvl w:val="0"/>
          <w:numId w:val="3"/>
        </w:numPr>
        <w:rPr>
          <w:rFonts w:ascii="Arial" w:hAnsi="Arial" w:cs="Arial"/>
        </w:rPr>
      </w:pPr>
      <w:r>
        <w:rPr>
          <w:rFonts w:ascii="Arial" w:hAnsi="Arial" w:cs="Arial"/>
        </w:rPr>
        <w:t>C</w:t>
      </w:r>
      <w:r w:rsidRPr="00CC51EB">
        <w:rPr>
          <w:rFonts w:ascii="Arial" w:hAnsi="Arial" w:cs="Arial"/>
        </w:rPr>
        <w:t xml:space="preserve">urrently </w:t>
      </w:r>
      <w:r>
        <w:rPr>
          <w:rFonts w:ascii="Arial" w:hAnsi="Arial" w:cs="Arial"/>
        </w:rPr>
        <w:t>t</w:t>
      </w:r>
      <w:r w:rsidR="00CC51EB" w:rsidRPr="00CC51EB">
        <w:rPr>
          <w:rFonts w:ascii="Arial" w:hAnsi="Arial" w:cs="Arial"/>
        </w:rPr>
        <w:t xml:space="preserve">here are no design qualification tests within UN ECE R110 to determine that a temperature activated pressure relief device (PRD) will consistently activate in a timely manner. The PRD is one of the primary safety tools that can prevent a container rupture during a thermal event. Ensuring that a PRD will activate when it reaches its designed activation temperature range is of utmost importance. </w:t>
      </w:r>
    </w:p>
    <w:p w14:paraId="22D72039" w14:textId="28625D4F" w:rsidR="00CC51EB" w:rsidRPr="00CC51EB" w:rsidRDefault="00CC51EB" w:rsidP="00CC51EB">
      <w:pPr>
        <w:pStyle w:val="ListParagraph"/>
        <w:numPr>
          <w:ilvl w:val="0"/>
          <w:numId w:val="3"/>
        </w:numPr>
        <w:rPr>
          <w:rFonts w:ascii="Arial" w:hAnsi="Arial" w:cs="Arial"/>
        </w:rPr>
      </w:pPr>
      <w:r w:rsidRPr="00CC51EB">
        <w:rPr>
          <w:rFonts w:ascii="Arial" w:hAnsi="Arial" w:cs="Arial"/>
        </w:rPr>
        <w:t>Performing batch testing, also ensures that no minor change in process or material will be detrimental to the intended activation time.</w:t>
      </w:r>
    </w:p>
    <w:p w14:paraId="31FC00A7" w14:textId="0A4961EC" w:rsidR="00CC51EB" w:rsidRPr="00CC51EB" w:rsidRDefault="00CC51EB" w:rsidP="00CC51EB">
      <w:pPr>
        <w:pStyle w:val="ListParagraph"/>
        <w:numPr>
          <w:ilvl w:val="0"/>
          <w:numId w:val="3"/>
        </w:numPr>
        <w:rPr>
          <w:rFonts w:ascii="Arial" w:hAnsi="Arial" w:cs="Arial"/>
        </w:rPr>
      </w:pPr>
      <w:r w:rsidRPr="00CC51EB">
        <w:rPr>
          <w:rFonts w:ascii="Arial" w:hAnsi="Arial" w:cs="Arial"/>
        </w:rPr>
        <w:t xml:space="preserve">The addition of these tests </w:t>
      </w:r>
      <w:r w:rsidR="001D359E" w:rsidRPr="00CC51EB">
        <w:rPr>
          <w:rFonts w:ascii="Arial" w:hAnsi="Arial" w:cs="Arial"/>
        </w:rPr>
        <w:t xml:space="preserve">also </w:t>
      </w:r>
      <w:r w:rsidRPr="00CC51EB">
        <w:rPr>
          <w:rFonts w:ascii="Arial" w:hAnsi="Arial" w:cs="Arial"/>
        </w:rPr>
        <w:t>will harmonize UN ECE R110 with ISO 15500-13</w:t>
      </w:r>
      <w:r w:rsidR="00DE0232">
        <w:rPr>
          <w:rFonts w:ascii="Arial" w:hAnsi="Arial" w:cs="Arial"/>
        </w:rPr>
        <w:t xml:space="preserve"> (2012)</w:t>
      </w:r>
      <w:r w:rsidRPr="00CC51EB">
        <w:rPr>
          <w:rFonts w:ascii="Arial" w:hAnsi="Arial" w:cs="Arial"/>
        </w:rPr>
        <w:t>, and the North American CSA/ANSI PRD 1</w:t>
      </w:r>
      <w:r w:rsidR="00DE0232">
        <w:rPr>
          <w:rFonts w:ascii="Arial" w:hAnsi="Arial" w:cs="Arial"/>
        </w:rPr>
        <w:t xml:space="preserve"> (2020).</w:t>
      </w:r>
      <w:r w:rsidR="009D6B26">
        <w:rPr>
          <w:rFonts w:ascii="Arial" w:hAnsi="Arial" w:cs="Arial"/>
        </w:rPr>
        <w:t xml:space="preserve"> </w:t>
      </w:r>
    </w:p>
    <w:p w14:paraId="3DFB1C14" w14:textId="2BB1C742" w:rsidR="00CC51EB" w:rsidRPr="00CC51EB" w:rsidRDefault="00CC51EB" w:rsidP="00CC51EB">
      <w:pPr>
        <w:rPr>
          <w:rFonts w:ascii="Arial" w:hAnsi="Arial" w:cs="Arial"/>
          <w:sz w:val="28"/>
          <w:szCs w:val="28"/>
        </w:rPr>
      </w:pPr>
    </w:p>
    <w:sectPr w:rsidR="00CC51EB" w:rsidRPr="00CC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2C6"/>
    <w:multiLevelType w:val="hybridMultilevel"/>
    <w:tmpl w:val="D5442AE2"/>
    <w:lvl w:ilvl="0" w:tplc="A2EA5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15:restartNumberingAfterBreak="0">
    <w:nsid w:val="5ED26A5F"/>
    <w:multiLevelType w:val="hybridMultilevel"/>
    <w:tmpl w:val="F0849406"/>
    <w:lvl w:ilvl="0" w:tplc="EDA6B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94"/>
    <w:rsid w:val="00004EFE"/>
    <w:rsid w:val="00060790"/>
    <w:rsid w:val="001A01E0"/>
    <w:rsid w:val="001D359E"/>
    <w:rsid w:val="00223D7E"/>
    <w:rsid w:val="00404D62"/>
    <w:rsid w:val="00496D5A"/>
    <w:rsid w:val="00544257"/>
    <w:rsid w:val="00561248"/>
    <w:rsid w:val="005A5594"/>
    <w:rsid w:val="005B1D42"/>
    <w:rsid w:val="005C4F5E"/>
    <w:rsid w:val="005C5140"/>
    <w:rsid w:val="00705979"/>
    <w:rsid w:val="008449E2"/>
    <w:rsid w:val="0099533A"/>
    <w:rsid w:val="009C3A30"/>
    <w:rsid w:val="009D6B26"/>
    <w:rsid w:val="00A93157"/>
    <w:rsid w:val="00A94991"/>
    <w:rsid w:val="00AC7A08"/>
    <w:rsid w:val="00C35AF7"/>
    <w:rsid w:val="00C8233A"/>
    <w:rsid w:val="00CC51EB"/>
    <w:rsid w:val="00D1300F"/>
    <w:rsid w:val="00DE0232"/>
    <w:rsid w:val="00E30E8E"/>
    <w:rsid w:val="00E465E0"/>
    <w:rsid w:val="00E70D1B"/>
    <w:rsid w:val="00F373CD"/>
    <w:rsid w:val="00F53D41"/>
    <w:rsid w:val="00F64D3C"/>
    <w:rsid w:val="00FE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75C"/>
  <w15:chartTrackingRefBased/>
  <w15:docId w15:val="{A1B1526F-FA58-4137-88A8-18578158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D1B"/>
    <w:pPr>
      <w:tabs>
        <w:tab w:val="center" w:pos="4680"/>
        <w:tab w:val="right" w:pos="9360"/>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E70D1B"/>
    <w:rPr>
      <w:rFonts w:ascii="Arial" w:eastAsia="Times New Roman" w:hAnsi="Arial" w:cs="Times New Roman"/>
    </w:rPr>
  </w:style>
  <w:style w:type="paragraph" w:styleId="ListParagraph">
    <w:name w:val="List Paragraph"/>
    <w:basedOn w:val="Normal"/>
    <w:uiPriority w:val="34"/>
    <w:qFormat/>
    <w:rsid w:val="00C8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81162">
      <w:bodyDiv w:val="1"/>
      <w:marLeft w:val="0"/>
      <w:marRight w:val="0"/>
      <w:marTop w:val="0"/>
      <w:marBottom w:val="0"/>
      <w:divBdr>
        <w:top w:val="none" w:sz="0" w:space="0" w:color="auto"/>
        <w:left w:val="none" w:sz="0" w:space="0" w:color="auto"/>
        <w:bottom w:val="none" w:sz="0" w:space="0" w:color="auto"/>
        <w:right w:val="none" w:sz="0" w:space="0" w:color="auto"/>
      </w:divBdr>
    </w:div>
    <w:div w:id="1427964779">
      <w:bodyDiv w:val="1"/>
      <w:marLeft w:val="0"/>
      <w:marRight w:val="0"/>
      <w:marTop w:val="0"/>
      <w:marBottom w:val="0"/>
      <w:divBdr>
        <w:top w:val="none" w:sz="0" w:space="0" w:color="auto"/>
        <w:left w:val="none" w:sz="0" w:space="0" w:color="auto"/>
        <w:bottom w:val="none" w:sz="0" w:space="0" w:color="auto"/>
        <w:right w:val="none" w:sz="0" w:space="0" w:color="auto"/>
      </w:divBdr>
    </w:div>
    <w:div w:id="20189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664C9-81BF-4762-BBB5-33975329C7BA}">
  <ds:schemaRefs>
    <ds:schemaRef ds:uri="http://schemas.openxmlformats.org/officeDocument/2006/bibliography"/>
  </ds:schemaRefs>
</ds:datastoreItem>
</file>

<file path=customXml/itemProps2.xml><?xml version="1.0" encoding="utf-8"?>
<ds:datastoreItem xmlns:ds="http://schemas.openxmlformats.org/officeDocument/2006/customXml" ds:itemID="{CC5CF15E-105F-4EDC-B8BD-DB3A31610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1F162-E158-4CF2-BEF5-A05271D94990}">
  <ds:schemaRefs>
    <ds:schemaRef ds:uri="http://schemas.microsoft.com/sharepoint/v3/contenttype/forms"/>
  </ds:schemaRefs>
</ds:datastoreItem>
</file>

<file path=customXml/itemProps4.xml><?xml version="1.0" encoding="utf-8"?>
<ds:datastoreItem xmlns:ds="http://schemas.openxmlformats.org/officeDocument/2006/customXml" ds:itemID="{862075CD-30AF-480F-9AA9-56C71C3CC41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purl.org/dc/dcmitype/"/>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Benedicte Boudol</cp:lastModifiedBy>
  <cp:revision>2</cp:revision>
  <dcterms:created xsi:type="dcterms:W3CDTF">2021-10-08T15:09:00Z</dcterms:created>
  <dcterms:modified xsi:type="dcterms:W3CDTF">2021-10-08T15:09:00Z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