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5DD8" w14:textId="7247FFCD" w:rsidR="00E77523" w:rsidRDefault="00E77523" w:rsidP="006041FB">
      <w:pPr>
        <w:pStyle w:val="HChG"/>
        <w:ind w:left="0" w:firstLine="0"/>
        <w:rPr>
          <w:bCs/>
        </w:rPr>
      </w:pPr>
      <w:r>
        <w:rPr>
          <w:bCs/>
        </w:rPr>
        <w:t>Proposal to amend</w:t>
      </w:r>
      <w:r w:rsidR="00B37BE8">
        <w:rPr>
          <w:bCs/>
        </w:rPr>
        <w:t xml:space="preserve"> UN R</w:t>
      </w:r>
      <w:r w:rsidR="00C54171">
        <w:rPr>
          <w:bCs/>
        </w:rPr>
        <w:t xml:space="preserve">egulation No. </w:t>
      </w:r>
      <w:r w:rsidR="009A1A95">
        <w:rPr>
          <w:bCs/>
        </w:rPr>
        <w:t>[16</w:t>
      </w:r>
      <w:r w:rsidR="006F40E4">
        <w:rPr>
          <w:bCs/>
        </w:rPr>
        <w:t>2</w:t>
      </w:r>
      <w:r w:rsidR="009A1A95">
        <w:rPr>
          <w:bCs/>
        </w:rPr>
        <w:t xml:space="preserve">] on </w:t>
      </w:r>
      <w:r w:rsidR="006F40E4">
        <w:rPr>
          <w:bCs/>
        </w:rPr>
        <w:t>immobilizer</w:t>
      </w:r>
      <w:r w:rsidR="003006A1">
        <w:rPr>
          <w:bCs/>
        </w:rPr>
        <w:t>s</w:t>
      </w:r>
    </w:p>
    <w:p w14:paraId="2E9FFC10" w14:textId="7C6476DA" w:rsidR="00B37BE8" w:rsidRDefault="00B37BE8" w:rsidP="000D246D">
      <w:pPr>
        <w:pStyle w:val="HChG"/>
        <w:numPr>
          <w:ilvl w:val="0"/>
          <w:numId w:val="1"/>
        </w:numPr>
        <w:rPr>
          <w:bCs/>
        </w:rPr>
      </w:pPr>
      <w:r w:rsidRPr="00B37BE8">
        <w:rPr>
          <w:bCs/>
        </w:rPr>
        <w:t>Proposal</w:t>
      </w:r>
    </w:p>
    <w:p w14:paraId="51C48D10" w14:textId="37D68176" w:rsidR="000D246D" w:rsidRPr="00FF153D" w:rsidRDefault="006E3711" w:rsidP="000D246D">
      <w:pPr>
        <w:rPr>
          <w:i/>
        </w:rPr>
      </w:pPr>
      <w:r>
        <w:rPr>
          <w:i/>
        </w:rPr>
        <w:t>Annex 6</w:t>
      </w:r>
      <w:r w:rsidR="00A76532">
        <w:rPr>
          <w:i/>
        </w:rPr>
        <w:t>,</w:t>
      </w:r>
      <w:r w:rsidR="00C33815">
        <w:rPr>
          <w:i/>
        </w:rPr>
        <w:t xml:space="preserve"> </w:t>
      </w:r>
      <w:r w:rsidR="00A76532">
        <w:rPr>
          <w:i/>
        </w:rPr>
        <w:t>p</w:t>
      </w:r>
      <w:r w:rsidR="00FF153D">
        <w:rPr>
          <w:i/>
        </w:rPr>
        <w:t xml:space="preserve">aragraph </w:t>
      </w:r>
      <w:r w:rsidR="00C33815">
        <w:rPr>
          <w:i/>
        </w:rPr>
        <w:t>1</w:t>
      </w:r>
      <w:r w:rsidR="00FF153D" w:rsidRPr="00FF153D">
        <w:t>., amend to read</w:t>
      </w:r>
      <w:r w:rsidR="00FF153D" w:rsidRPr="00D71609">
        <w:t>:</w:t>
      </w:r>
    </w:p>
    <w:p w14:paraId="272F6D26" w14:textId="77777777" w:rsidR="00D71609" w:rsidRPr="00FF153D" w:rsidRDefault="00D71609" w:rsidP="003E507B">
      <w:pPr>
        <w:rPr>
          <w:i/>
        </w:rPr>
      </w:pPr>
    </w:p>
    <w:p w14:paraId="0B1E2876" w14:textId="77777777" w:rsidR="005A25EC" w:rsidRPr="00C8791F" w:rsidRDefault="004C749A" w:rsidP="005A25EC">
      <w:pPr>
        <w:pStyle w:val="SingleTxtG"/>
        <w:spacing w:line="240" w:lineRule="exact"/>
        <w:ind w:left="2268" w:right="1133" w:hanging="1134"/>
        <w:rPr>
          <w:bCs/>
        </w:rPr>
      </w:pPr>
      <w:r>
        <w:t>“</w:t>
      </w:r>
      <w:r w:rsidR="005A25EC" w:rsidRPr="00C8791F">
        <w:rPr>
          <w:bCs/>
        </w:rPr>
        <w:t>1.</w:t>
      </w:r>
      <w:r w:rsidR="005A25EC" w:rsidRPr="00C8791F">
        <w:rPr>
          <w:bCs/>
        </w:rPr>
        <w:tab/>
        <w:t>Operation parameters</w:t>
      </w:r>
    </w:p>
    <w:p w14:paraId="1F02EFD1" w14:textId="77777777" w:rsidR="005A25EC" w:rsidRPr="00C8791F" w:rsidRDefault="005A25EC" w:rsidP="005A25EC">
      <w:pPr>
        <w:pStyle w:val="SingleTxtG"/>
        <w:spacing w:line="240" w:lineRule="exact"/>
        <w:ind w:left="2268" w:right="1133"/>
      </w:pPr>
      <w:r w:rsidRPr="00C8791F">
        <w:t>The requirements below do not apply to:</w:t>
      </w:r>
    </w:p>
    <w:p w14:paraId="4EB6DA33" w14:textId="77777777" w:rsidR="005A25EC" w:rsidRPr="00C8791F" w:rsidRDefault="005A25EC" w:rsidP="005A25EC">
      <w:pPr>
        <w:pStyle w:val="SingleTxtG"/>
        <w:spacing w:line="240" w:lineRule="exact"/>
        <w:ind w:left="2835" w:right="1133" w:hanging="567"/>
      </w:pPr>
      <w:r w:rsidRPr="00C8791F">
        <w:t>(a)</w:t>
      </w:r>
      <w:r w:rsidRPr="00C8791F">
        <w:tab/>
        <w:t xml:space="preserve">Those components that are fitted and tested as part of the vehicle, </w:t>
      </w:r>
      <w:proofErr w:type="gramStart"/>
      <w:r w:rsidRPr="00C8791F">
        <w:t>whether or not</w:t>
      </w:r>
      <w:proofErr w:type="gramEnd"/>
      <w:r w:rsidRPr="00C8791F">
        <w:t xml:space="preserve"> an immobilizer is fitted (e.g. lamps, alarm system, device to prevent unauthorized use by mean of a locking system); or</w:t>
      </w:r>
    </w:p>
    <w:p w14:paraId="57DDB5FC" w14:textId="053B3060" w:rsidR="005A25EC" w:rsidRDefault="005A25EC" w:rsidP="005A25EC">
      <w:pPr>
        <w:pStyle w:val="SingleTxtG"/>
        <w:spacing w:line="240" w:lineRule="exact"/>
        <w:ind w:left="2835" w:right="1133" w:hanging="567"/>
        <w:rPr>
          <w:b/>
        </w:rPr>
      </w:pPr>
      <w:r w:rsidRPr="00C8791F">
        <w:t>(b)</w:t>
      </w:r>
      <w:r w:rsidRPr="00C8791F">
        <w:tab/>
        <w:t>Those components that have previously been tested as part of the vehicle and documentary evidence has been provided</w:t>
      </w:r>
      <w:r w:rsidRPr="005A25EC">
        <w:rPr>
          <w:strike/>
        </w:rPr>
        <w:t>.</w:t>
      </w:r>
      <w:r>
        <w:t xml:space="preserve"> </w:t>
      </w:r>
      <w:proofErr w:type="gramStart"/>
      <w:r w:rsidR="00A81885">
        <w:t>,</w:t>
      </w:r>
      <w:r>
        <w:rPr>
          <w:b/>
        </w:rPr>
        <w:t>or</w:t>
      </w:r>
      <w:proofErr w:type="gramEnd"/>
    </w:p>
    <w:p w14:paraId="4ABB884C" w14:textId="294FDCAB" w:rsidR="00A81885" w:rsidRPr="005A25EC" w:rsidRDefault="00A81885" w:rsidP="005A25EC">
      <w:pPr>
        <w:pStyle w:val="SingleTxtG"/>
        <w:spacing w:line="240" w:lineRule="exact"/>
        <w:ind w:left="2835" w:right="1133" w:hanging="567"/>
        <w:rPr>
          <w:b/>
        </w:rPr>
      </w:pPr>
      <w:r>
        <w:rPr>
          <w:b/>
        </w:rPr>
        <w:t>(c)</w:t>
      </w:r>
      <w:r>
        <w:rPr>
          <w:b/>
        </w:rPr>
        <w:tab/>
      </w:r>
      <w:r w:rsidR="00225938" w:rsidRPr="00225938">
        <w:rPr>
          <w:b/>
        </w:rPr>
        <w:t>Components that are not embedded in the vehicle, e.g. keys.</w:t>
      </w:r>
    </w:p>
    <w:p w14:paraId="7CC24553" w14:textId="19C9B29A" w:rsidR="00AC15C7" w:rsidRPr="005A25EC" w:rsidRDefault="005A25EC" w:rsidP="005A25EC">
      <w:pPr>
        <w:pStyle w:val="SingleTxtG"/>
        <w:spacing w:line="240" w:lineRule="exact"/>
        <w:ind w:left="2268" w:right="1133"/>
        <w:rPr>
          <w:bCs/>
        </w:rPr>
      </w:pPr>
      <w:r w:rsidRPr="00C8791F">
        <w:rPr>
          <w:bCs/>
        </w:rPr>
        <w:t>All components of the immobilizer shall operate without any failure under the following conditions.</w:t>
      </w:r>
      <w:r>
        <w:rPr>
          <w:bCs/>
        </w:rPr>
        <w:t>"</w:t>
      </w:r>
    </w:p>
    <w:p w14:paraId="0F091ECC" w14:textId="635F7981" w:rsidR="00FB51C7" w:rsidRDefault="00FB51C7" w:rsidP="00FB51C7">
      <w:pPr>
        <w:pStyle w:val="HChG"/>
        <w:numPr>
          <w:ilvl w:val="0"/>
          <w:numId w:val="1"/>
        </w:numPr>
        <w:rPr>
          <w:bCs/>
        </w:rPr>
      </w:pPr>
      <w:r w:rsidRPr="00FB51C7">
        <w:rPr>
          <w:bCs/>
        </w:rPr>
        <w:t>Justification</w:t>
      </w:r>
    </w:p>
    <w:p w14:paraId="3467AEF5" w14:textId="77777777" w:rsidR="00974C31" w:rsidRDefault="00B8563A" w:rsidP="006C495F">
      <w:r>
        <w:t>The contents of Supplement 7 to the original version of UN R116 is missing in the new regulation</w:t>
      </w:r>
      <w:r w:rsidR="00974C31">
        <w:t>. Contents with regards to the immobilizer was:</w:t>
      </w:r>
    </w:p>
    <w:p w14:paraId="6AE5F79C" w14:textId="77777777" w:rsidR="00A76532" w:rsidRDefault="00A76532" w:rsidP="00A76532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"8.4.1.</w:t>
      </w:r>
      <w:r>
        <w:tab/>
        <w:t>Operation Parameters</w:t>
      </w:r>
    </w:p>
    <w:p w14:paraId="1358F909" w14:textId="77777777" w:rsidR="00A76532" w:rsidRDefault="00A76532" w:rsidP="00A76532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All components of the immobilizer shall comply with prescriptions given in paragraph 6.4. of this Regulation.</w:t>
      </w:r>
    </w:p>
    <w:p w14:paraId="57568E55" w14:textId="77777777" w:rsidR="00A76532" w:rsidRDefault="00A76532" w:rsidP="00A76532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ab/>
        <w:t>This requirement does not apply to:</w:t>
      </w:r>
    </w:p>
    <w:p w14:paraId="2E9F3855" w14:textId="77777777" w:rsidR="00A76532" w:rsidRDefault="00A76532" w:rsidP="00A76532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(i)</w:t>
      </w:r>
      <w:r>
        <w:tab/>
        <w:t xml:space="preserve">Those components that are fitted and tested as part of the vehicle, </w:t>
      </w:r>
      <w:proofErr w:type="gramStart"/>
      <w:r>
        <w:t>whether or not</w:t>
      </w:r>
      <w:proofErr w:type="gramEnd"/>
      <w:r>
        <w:t xml:space="preserve"> an immobilizer is fitted (e.g. lamps), or</w:t>
      </w:r>
    </w:p>
    <w:p w14:paraId="2D40EC79" w14:textId="77777777" w:rsidR="00A76532" w:rsidRDefault="00A76532" w:rsidP="00A76532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  <w:t>(ii)</w:t>
      </w:r>
      <w:r>
        <w:tab/>
        <w:t>Those components that have previously been tested as part of the vehicle and documentary evidence has been provided,</w:t>
      </w:r>
      <w:r w:rsidRPr="00A45EFF">
        <w:rPr>
          <w:bCs/>
        </w:rPr>
        <w:t xml:space="preserve"> or</w:t>
      </w:r>
    </w:p>
    <w:p w14:paraId="2EBC9E66" w14:textId="77777777" w:rsidR="00A76532" w:rsidRDefault="00A76532" w:rsidP="00A76532">
      <w:pPr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</w:pPr>
      <w:r>
        <w:tab/>
      </w:r>
      <w:r w:rsidRPr="00A45EFF">
        <w:rPr>
          <w:bCs/>
        </w:rPr>
        <w:t>(iii)</w:t>
      </w:r>
      <w:r w:rsidRPr="00A45EFF">
        <w:rPr>
          <w:bCs/>
        </w:rPr>
        <w:tab/>
      </w:r>
      <w:r>
        <w:rPr>
          <w:bCs/>
        </w:rPr>
        <w:t>C</w:t>
      </w:r>
      <w:r w:rsidRPr="00A45EFF">
        <w:rPr>
          <w:bCs/>
        </w:rPr>
        <w:t>omponents that are not embedded in the vehicle, e.g. keys</w:t>
      </w:r>
      <w:r>
        <w:t>."</w:t>
      </w:r>
    </w:p>
    <w:p w14:paraId="42EA2F4B" w14:textId="40CD59C6" w:rsidR="006C495F" w:rsidRPr="00FA4EA3" w:rsidRDefault="00A76532" w:rsidP="006C495F">
      <w:r>
        <w:t>Therefore</w:t>
      </w:r>
      <w:r w:rsidR="00DB0119">
        <w:t>,</w:t>
      </w:r>
      <w:r>
        <w:t xml:space="preserve"> Annex 6, paragraph 1. needs </w:t>
      </w:r>
      <w:r w:rsidR="00DB0119">
        <w:t>the amendment proposed.</w:t>
      </w:r>
    </w:p>
    <w:sectPr w:rsidR="006C495F" w:rsidRPr="00FA4EA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9FCF" w14:textId="77777777" w:rsidR="005C358C" w:rsidRDefault="005C358C" w:rsidP="006041FB">
      <w:pPr>
        <w:spacing w:line="240" w:lineRule="auto"/>
      </w:pPr>
      <w:r>
        <w:separator/>
      </w:r>
    </w:p>
  </w:endnote>
  <w:endnote w:type="continuationSeparator" w:id="0">
    <w:p w14:paraId="1A4E9705" w14:textId="77777777" w:rsidR="005C358C" w:rsidRDefault="005C358C" w:rsidP="00604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CFB8" w14:textId="77777777" w:rsidR="005C358C" w:rsidRDefault="005C358C" w:rsidP="006041FB">
      <w:pPr>
        <w:spacing w:line="240" w:lineRule="auto"/>
      </w:pPr>
      <w:r>
        <w:separator/>
      </w:r>
    </w:p>
  </w:footnote>
  <w:footnote w:type="continuationSeparator" w:id="0">
    <w:p w14:paraId="2451D341" w14:textId="77777777" w:rsidR="005C358C" w:rsidRDefault="005C358C" w:rsidP="00604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3006A1" w:rsidRPr="003006A1" w14:paraId="0C9E1600" w14:textId="77777777" w:rsidTr="00312FD6">
      <w:tc>
        <w:tcPr>
          <w:tcW w:w="3020" w:type="dxa"/>
        </w:tcPr>
        <w:p w14:paraId="51788094" w14:textId="77777777" w:rsidR="003006A1" w:rsidRPr="003006A1" w:rsidRDefault="003006A1" w:rsidP="003006A1">
          <w:pPr>
            <w:tabs>
              <w:tab w:val="center" w:pos="4680"/>
              <w:tab w:val="right" w:pos="9360"/>
            </w:tabs>
            <w:spacing w:line="240" w:lineRule="auto"/>
            <w:ind w:left="-115"/>
          </w:pPr>
          <w:r w:rsidRPr="003006A1">
            <w:t>Submitted by OICA</w:t>
          </w:r>
        </w:p>
      </w:tc>
      <w:tc>
        <w:tcPr>
          <w:tcW w:w="3020" w:type="dxa"/>
        </w:tcPr>
        <w:p w14:paraId="16E98C2E" w14:textId="77777777" w:rsidR="003006A1" w:rsidRPr="003006A1" w:rsidRDefault="003006A1" w:rsidP="003006A1">
          <w:pPr>
            <w:tabs>
              <w:tab w:val="center" w:pos="4680"/>
              <w:tab w:val="right" w:pos="9360"/>
            </w:tabs>
            <w:spacing w:line="240" w:lineRule="auto"/>
            <w:jc w:val="center"/>
          </w:pPr>
        </w:p>
      </w:tc>
      <w:tc>
        <w:tcPr>
          <w:tcW w:w="3020" w:type="dxa"/>
        </w:tcPr>
        <w:p w14:paraId="18B36F18" w14:textId="62BB52BE" w:rsidR="003006A1" w:rsidRPr="003006A1" w:rsidRDefault="003006A1" w:rsidP="003006A1">
          <w:pPr>
            <w:tabs>
              <w:tab w:val="center" w:pos="4680"/>
              <w:tab w:val="right" w:pos="9360"/>
            </w:tabs>
            <w:spacing w:line="240" w:lineRule="auto"/>
            <w:ind w:right="-115"/>
            <w:rPr>
              <w:b/>
              <w:bCs/>
            </w:rPr>
          </w:pPr>
          <w:r w:rsidRPr="003006A1">
            <w:rPr>
              <w:u w:val="single"/>
            </w:rPr>
            <w:t>Informal document</w:t>
          </w:r>
          <w:r w:rsidRPr="003006A1">
            <w:t xml:space="preserve"> </w:t>
          </w:r>
          <w:r w:rsidRPr="003006A1">
            <w:rPr>
              <w:b/>
              <w:bCs/>
            </w:rPr>
            <w:t>GRSG-122-</w:t>
          </w:r>
          <w:r w:rsidR="00E2526A">
            <w:rPr>
              <w:b/>
              <w:bCs/>
            </w:rPr>
            <w:t>12</w:t>
          </w:r>
        </w:p>
        <w:p w14:paraId="36B9AFE8" w14:textId="19E31CFF" w:rsidR="003006A1" w:rsidRPr="003006A1" w:rsidRDefault="003006A1" w:rsidP="003006A1">
          <w:pP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</w:pPr>
          <w:r w:rsidRPr="003006A1">
            <w:t>(122</w:t>
          </w:r>
          <w:r w:rsidRPr="003006A1">
            <w:rPr>
              <w:vertAlign w:val="superscript"/>
            </w:rPr>
            <w:t>nd</w:t>
          </w:r>
          <w:r w:rsidRPr="003006A1">
            <w:t xml:space="preserve"> GRSG, 12-15 October 2021 Agenda item 11</w:t>
          </w:r>
          <w:r w:rsidR="00E2526A">
            <w:t>c</w:t>
          </w:r>
          <w:r w:rsidRPr="003006A1">
            <w:t>)</w:t>
          </w:r>
        </w:p>
      </w:tc>
    </w:tr>
  </w:tbl>
  <w:p w14:paraId="1897AA94" w14:textId="30EEBA94" w:rsidR="003006A1" w:rsidRPr="003006A1" w:rsidRDefault="003006A1" w:rsidP="00300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1EC9"/>
    <w:multiLevelType w:val="hybridMultilevel"/>
    <w:tmpl w:val="527A8F18"/>
    <w:lvl w:ilvl="0" w:tplc="E8FA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FB"/>
    <w:rsid w:val="00000CE5"/>
    <w:rsid w:val="000326DA"/>
    <w:rsid w:val="00035939"/>
    <w:rsid w:val="00051BDD"/>
    <w:rsid w:val="00083AD9"/>
    <w:rsid w:val="000B2991"/>
    <w:rsid w:val="000B622D"/>
    <w:rsid w:val="000C0CD3"/>
    <w:rsid w:val="000D246D"/>
    <w:rsid w:val="001007EE"/>
    <w:rsid w:val="00134970"/>
    <w:rsid w:val="001851C4"/>
    <w:rsid w:val="00185FFE"/>
    <w:rsid w:val="00186AE3"/>
    <w:rsid w:val="001B1271"/>
    <w:rsid w:val="001B60F7"/>
    <w:rsid w:val="001B7F13"/>
    <w:rsid w:val="001E27F9"/>
    <w:rsid w:val="0020629D"/>
    <w:rsid w:val="00225938"/>
    <w:rsid w:val="00256379"/>
    <w:rsid w:val="00291AEB"/>
    <w:rsid w:val="0029365E"/>
    <w:rsid w:val="002B47E4"/>
    <w:rsid w:val="002B5FE6"/>
    <w:rsid w:val="002C0853"/>
    <w:rsid w:val="002C1DD2"/>
    <w:rsid w:val="002E727C"/>
    <w:rsid w:val="00300322"/>
    <w:rsid w:val="003006A1"/>
    <w:rsid w:val="00302BC6"/>
    <w:rsid w:val="00315B2D"/>
    <w:rsid w:val="00332E54"/>
    <w:rsid w:val="00333BD6"/>
    <w:rsid w:val="00334AE2"/>
    <w:rsid w:val="00370389"/>
    <w:rsid w:val="00371CEC"/>
    <w:rsid w:val="003A7DDE"/>
    <w:rsid w:val="003D2A7C"/>
    <w:rsid w:val="003E507B"/>
    <w:rsid w:val="003F2C8A"/>
    <w:rsid w:val="0040784E"/>
    <w:rsid w:val="004272C7"/>
    <w:rsid w:val="00451884"/>
    <w:rsid w:val="004531AC"/>
    <w:rsid w:val="004550AD"/>
    <w:rsid w:val="004A4366"/>
    <w:rsid w:val="004B0C53"/>
    <w:rsid w:val="004C597D"/>
    <w:rsid w:val="004C749A"/>
    <w:rsid w:val="004D7854"/>
    <w:rsid w:val="004E3E69"/>
    <w:rsid w:val="004E4BDD"/>
    <w:rsid w:val="004E7CC1"/>
    <w:rsid w:val="004F5B26"/>
    <w:rsid w:val="005A25EC"/>
    <w:rsid w:val="005C358C"/>
    <w:rsid w:val="005F71EA"/>
    <w:rsid w:val="005F7962"/>
    <w:rsid w:val="006041FB"/>
    <w:rsid w:val="0061146F"/>
    <w:rsid w:val="0061280A"/>
    <w:rsid w:val="00614E2D"/>
    <w:rsid w:val="00643ECA"/>
    <w:rsid w:val="006771BA"/>
    <w:rsid w:val="006C495F"/>
    <w:rsid w:val="006D2A00"/>
    <w:rsid w:val="006E3711"/>
    <w:rsid w:val="006F40E4"/>
    <w:rsid w:val="007132CA"/>
    <w:rsid w:val="0074125E"/>
    <w:rsid w:val="007731BF"/>
    <w:rsid w:val="007B48E9"/>
    <w:rsid w:val="008060FF"/>
    <w:rsid w:val="0081142F"/>
    <w:rsid w:val="00837EF8"/>
    <w:rsid w:val="00846E8C"/>
    <w:rsid w:val="00854140"/>
    <w:rsid w:val="00874F15"/>
    <w:rsid w:val="00895446"/>
    <w:rsid w:val="008F231B"/>
    <w:rsid w:val="009102BC"/>
    <w:rsid w:val="00944CA4"/>
    <w:rsid w:val="00973648"/>
    <w:rsid w:val="00974C31"/>
    <w:rsid w:val="009922C7"/>
    <w:rsid w:val="00993D71"/>
    <w:rsid w:val="00996C08"/>
    <w:rsid w:val="009A1A95"/>
    <w:rsid w:val="009A29D0"/>
    <w:rsid w:val="009A431B"/>
    <w:rsid w:val="009A60B7"/>
    <w:rsid w:val="009C4E2F"/>
    <w:rsid w:val="009F55E8"/>
    <w:rsid w:val="00A137EB"/>
    <w:rsid w:val="00A33F3B"/>
    <w:rsid w:val="00A4118E"/>
    <w:rsid w:val="00A411C4"/>
    <w:rsid w:val="00A536E8"/>
    <w:rsid w:val="00A76532"/>
    <w:rsid w:val="00A81885"/>
    <w:rsid w:val="00A84B1A"/>
    <w:rsid w:val="00AB1894"/>
    <w:rsid w:val="00AB4089"/>
    <w:rsid w:val="00AC111D"/>
    <w:rsid w:val="00AC15C7"/>
    <w:rsid w:val="00AC79B7"/>
    <w:rsid w:val="00AE7814"/>
    <w:rsid w:val="00AF364F"/>
    <w:rsid w:val="00B10D90"/>
    <w:rsid w:val="00B221C4"/>
    <w:rsid w:val="00B37BE8"/>
    <w:rsid w:val="00B40029"/>
    <w:rsid w:val="00B5351E"/>
    <w:rsid w:val="00B753CB"/>
    <w:rsid w:val="00B8563A"/>
    <w:rsid w:val="00BB6BE3"/>
    <w:rsid w:val="00BC1B38"/>
    <w:rsid w:val="00BE7CFA"/>
    <w:rsid w:val="00BF38BB"/>
    <w:rsid w:val="00C16562"/>
    <w:rsid w:val="00C33815"/>
    <w:rsid w:val="00C3791B"/>
    <w:rsid w:val="00C51A5B"/>
    <w:rsid w:val="00C54171"/>
    <w:rsid w:val="00C608D4"/>
    <w:rsid w:val="00CD58F8"/>
    <w:rsid w:val="00CE0AC9"/>
    <w:rsid w:val="00CE16ED"/>
    <w:rsid w:val="00D028CA"/>
    <w:rsid w:val="00D02ACB"/>
    <w:rsid w:val="00D17D44"/>
    <w:rsid w:val="00D27879"/>
    <w:rsid w:val="00D31C55"/>
    <w:rsid w:val="00D35153"/>
    <w:rsid w:val="00D4157F"/>
    <w:rsid w:val="00D71609"/>
    <w:rsid w:val="00D83C04"/>
    <w:rsid w:val="00D8726E"/>
    <w:rsid w:val="00DB0119"/>
    <w:rsid w:val="00DD4F5A"/>
    <w:rsid w:val="00DF1F5E"/>
    <w:rsid w:val="00E04B5F"/>
    <w:rsid w:val="00E2526A"/>
    <w:rsid w:val="00E4032C"/>
    <w:rsid w:val="00E60878"/>
    <w:rsid w:val="00E63FF9"/>
    <w:rsid w:val="00E77523"/>
    <w:rsid w:val="00E82903"/>
    <w:rsid w:val="00EA33B4"/>
    <w:rsid w:val="00EA648A"/>
    <w:rsid w:val="00EC642A"/>
    <w:rsid w:val="00EC6836"/>
    <w:rsid w:val="00EE7596"/>
    <w:rsid w:val="00EF0CFE"/>
    <w:rsid w:val="00EF1DE8"/>
    <w:rsid w:val="00F07BD9"/>
    <w:rsid w:val="00F123F0"/>
    <w:rsid w:val="00F27A17"/>
    <w:rsid w:val="00F50CFA"/>
    <w:rsid w:val="00F76F2B"/>
    <w:rsid w:val="00F77C3B"/>
    <w:rsid w:val="00F90326"/>
    <w:rsid w:val="00FA4EA3"/>
    <w:rsid w:val="00FA7A4C"/>
    <w:rsid w:val="00FA7B7A"/>
    <w:rsid w:val="00FB51C7"/>
    <w:rsid w:val="00FC099C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DD5C6"/>
  <w15:chartTrackingRefBased/>
  <w15:docId w15:val="{102EE0F5-C844-4EFF-B421-4B216A1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FB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6041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6041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6041FB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041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ara">
    <w:name w:val="para"/>
    <w:basedOn w:val="Normal"/>
    <w:link w:val="paraChar"/>
    <w:rsid w:val="006041FB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6041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6041FB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5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3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F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F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5A25EC"/>
    <w:pPr>
      <w:spacing w:after="120"/>
      <w:ind w:left="1134" w:right="1134"/>
      <w:jc w:val="both"/>
    </w:pPr>
    <w:rPr>
      <w:lang w:eastAsia="fr-FR"/>
    </w:rPr>
  </w:style>
  <w:style w:type="character" w:customStyle="1" w:styleId="SingleTxtGChar">
    <w:name w:val="_ Single Txt_G Char"/>
    <w:link w:val="SingleTxtG"/>
    <w:qFormat/>
    <w:rsid w:val="005A25E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3006A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A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A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3EBCD-56FE-4A1A-AAB4-E486ACDE6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B5923-0441-454C-AEEE-8F1110971522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DB228A-2263-4B6B-9AEB-63819A28E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Andreas</dc:creator>
  <cp:keywords/>
  <dc:description/>
  <cp:lastModifiedBy>Benedicte Boudol</cp:lastModifiedBy>
  <cp:revision>2</cp:revision>
  <dcterms:created xsi:type="dcterms:W3CDTF">2021-10-07T14:44:00Z</dcterms:created>
  <dcterms:modified xsi:type="dcterms:W3CDTF">2021-10-07T14:44:00Z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3338300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