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5DD8" w14:textId="0CE8CC39" w:rsidR="00E77523" w:rsidRDefault="00E77523" w:rsidP="006041FB">
      <w:pPr>
        <w:pStyle w:val="HChG"/>
        <w:ind w:left="0" w:firstLine="0"/>
        <w:rPr>
          <w:bCs/>
        </w:rPr>
      </w:pPr>
      <w:r>
        <w:rPr>
          <w:bCs/>
        </w:rPr>
        <w:t>Proposal to amend</w:t>
      </w:r>
      <w:r w:rsidR="00B37BE8">
        <w:rPr>
          <w:bCs/>
        </w:rPr>
        <w:t xml:space="preserve"> UN R</w:t>
      </w:r>
      <w:r w:rsidR="00C54171">
        <w:rPr>
          <w:bCs/>
        </w:rPr>
        <w:t xml:space="preserve">egulation No. </w:t>
      </w:r>
      <w:r w:rsidR="009A1A95">
        <w:rPr>
          <w:bCs/>
        </w:rPr>
        <w:t>[16</w:t>
      </w:r>
      <w:r w:rsidR="003B5BF8">
        <w:rPr>
          <w:bCs/>
        </w:rPr>
        <w:t>3</w:t>
      </w:r>
      <w:r w:rsidR="009A1A95">
        <w:rPr>
          <w:bCs/>
        </w:rPr>
        <w:t xml:space="preserve">] on </w:t>
      </w:r>
      <w:r w:rsidR="003B5BF8">
        <w:rPr>
          <w:bCs/>
        </w:rPr>
        <w:t>Vehicle Alarm Systems</w:t>
      </w:r>
    </w:p>
    <w:p w14:paraId="2E9FFC10" w14:textId="7C6476DA" w:rsidR="00B37BE8" w:rsidRDefault="00B37BE8" w:rsidP="000D246D">
      <w:pPr>
        <w:pStyle w:val="HChG"/>
        <w:numPr>
          <w:ilvl w:val="0"/>
          <w:numId w:val="1"/>
        </w:numPr>
        <w:rPr>
          <w:bCs/>
        </w:rPr>
      </w:pPr>
      <w:r w:rsidRPr="00B37BE8">
        <w:rPr>
          <w:bCs/>
        </w:rPr>
        <w:t>Proposal</w:t>
      </w:r>
    </w:p>
    <w:p w14:paraId="51C48D10" w14:textId="0736FCA8" w:rsidR="000D246D" w:rsidRPr="00FF153D" w:rsidRDefault="00FF153D" w:rsidP="00FE1A15">
      <w:pPr>
        <w:pStyle w:val="para"/>
        <w:ind w:left="0" w:firstLine="0"/>
        <w:rPr>
          <w:i/>
        </w:rPr>
      </w:pPr>
      <w:r>
        <w:rPr>
          <w:i/>
        </w:rPr>
        <w:t xml:space="preserve">Paragraph </w:t>
      </w:r>
      <w:r w:rsidR="00AC551A">
        <w:rPr>
          <w:i/>
        </w:rPr>
        <w:t>7</w:t>
      </w:r>
      <w:r w:rsidRPr="00FE1A15">
        <w:rPr>
          <w:i/>
        </w:rPr>
        <w:t>., amend to read:</w:t>
      </w:r>
    </w:p>
    <w:p w14:paraId="78BDA542" w14:textId="03946A3A" w:rsidR="004739BA" w:rsidRPr="000B4A06" w:rsidRDefault="000B4A06" w:rsidP="004739BA">
      <w:pPr>
        <w:pStyle w:val="HChG"/>
        <w:tabs>
          <w:tab w:val="clear" w:pos="851"/>
        </w:tabs>
        <w:ind w:left="2268"/>
        <w:rPr>
          <w:b w:val="0"/>
          <w:bCs/>
        </w:rPr>
      </w:pPr>
      <w:r w:rsidRPr="000B4A06">
        <w:rPr>
          <w:b w:val="0"/>
          <w:bCs/>
        </w:rPr>
        <w:t>"</w:t>
      </w:r>
      <w:r w:rsidR="004739BA" w:rsidRPr="000B4A06">
        <w:rPr>
          <w:b w:val="0"/>
          <w:bCs/>
        </w:rPr>
        <w:t>7.</w:t>
      </w:r>
      <w:r w:rsidR="004739BA" w:rsidRPr="000B4A06">
        <w:rPr>
          <w:b w:val="0"/>
          <w:bCs/>
        </w:rPr>
        <w:tab/>
        <w:t>Operation parameters and test conditions</w:t>
      </w:r>
    </w:p>
    <w:p w14:paraId="0CC641E9" w14:textId="162E1660" w:rsidR="005276F8" w:rsidRPr="000B4A06" w:rsidRDefault="005276F8" w:rsidP="005276F8">
      <w:pPr>
        <w:tabs>
          <w:tab w:val="left" w:pos="2268"/>
        </w:tabs>
        <w:spacing w:before="120" w:after="120" w:line="240" w:lineRule="auto"/>
        <w:ind w:left="2268" w:right="1134" w:hanging="1134"/>
        <w:jc w:val="both"/>
        <w:rPr>
          <w:b/>
        </w:rPr>
      </w:pPr>
      <w:r>
        <w:rPr>
          <w:bCs/>
        </w:rPr>
        <w:tab/>
      </w:r>
      <w:r w:rsidRPr="000B4A06">
        <w:rPr>
          <w:b/>
        </w:rPr>
        <w:t xml:space="preserve">Lamps which are used as part of the optical warning devices and which are included in the standard car lighting system need not comply with the operation parameters in paragraph </w:t>
      </w:r>
      <w:r w:rsidR="00217E10">
        <w:rPr>
          <w:b/>
        </w:rPr>
        <w:t>7</w:t>
      </w:r>
      <w:r w:rsidRPr="000B4A06">
        <w:rPr>
          <w:b/>
        </w:rPr>
        <w:t>.1. and shall not be submitted to tests listed under paragraph</w:t>
      </w:r>
      <w:r w:rsidR="001F0C87">
        <w:rPr>
          <w:b/>
        </w:rPr>
        <w:t xml:space="preserve"> 7</w:t>
      </w:r>
      <w:r w:rsidRPr="000B4A06">
        <w:rPr>
          <w:b/>
        </w:rPr>
        <w:t>.2.</w:t>
      </w:r>
    </w:p>
    <w:p w14:paraId="2CDB4C35" w14:textId="07C2D38E" w:rsidR="005276F8" w:rsidRPr="000B4A06" w:rsidRDefault="005276F8" w:rsidP="005276F8">
      <w:pPr>
        <w:tabs>
          <w:tab w:val="left" w:pos="2268"/>
        </w:tabs>
        <w:spacing w:before="120" w:after="120" w:line="240" w:lineRule="auto"/>
        <w:ind w:left="2268" w:right="1134" w:hanging="1134"/>
        <w:jc w:val="both"/>
        <w:rPr>
          <w:b/>
        </w:rPr>
      </w:pPr>
      <w:r w:rsidRPr="000B4A06">
        <w:rPr>
          <w:b/>
        </w:rPr>
        <w:tab/>
        <w:t xml:space="preserve">Components that are not embedded in the vehicle (e.g. keys which are used for activation/deactivation of the VAS) need not to comply with the operation parameters in paragraph </w:t>
      </w:r>
      <w:r w:rsidR="001F0C87">
        <w:rPr>
          <w:b/>
        </w:rPr>
        <w:t>7</w:t>
      </w:r>
      <w:r w:rsidRPr="000B4A06">
        <w:rPr>
          <w:b/>
        </w:rPr>
        <w:t xml:space="preserve">.1. and are not required to be submitted to test listed under paragraph </w:t>
      </w:r>
      <w:r w:rsidR="001F0C87">
        <w:rPr>
          <w:b/>
        </w:rPr>
        <w:t>7</w:t>
      </w:r>
      <w:r w:rsidRPr="000B4A06">
        <w:rPr>
          <w:b/>
        </w:rPr>
        <w:t>.2."</w:t>
      </w:r>
    </w:p>
    <w:p w14:paraId="7CC24553" w14:textId="77777777" w:rsidR="00AC15C7" w:rsidRDefault="00AC15C7" w:rsidP="00300322">
      <w:pPr>
        <w:pStyle w:val="para"/>
        <w:ind w:left="0" w:firstLine="0"/>
        <w:rPr>
          <w:i/>
        </w:rPr>
      </w:pPr>
    </w:p>
    <w:p w14:paraId="774801FF" w14:textId="7E7D809D" w:rsidR="00DB7038" w:rsidRDefault="00DB7038" w:rsidP="00DB7038">
      <w:pPr>
        <w:pStyle w:val="para"/>
        <w:ind w:left="0" w:firstLine="0"/>
      </w:pPr>
      <w:r>
        <w:rPr>
          <w:i/>
        </w:rPr>
        <w:t xml:space="preserve">Paragraphs 14.1. to 14.3., </w:t>
      </w:r>
      <w:r>
        <w:t>delete:</w:t>
      </w:r>
    </w:p>
    <w:p w14:paraId="45FB286A" w14:textId="77777777" w:rsidR="00DB7038" w:rsidRPr="00DB7038" w:rsidRDefault="00DB7038" w:rsidP="00DB7038"/>
    <w:p w14:paraId="24C46325" w14:textId="1E153A58" w:rsidR="005D0F37" w:rsidRPr="005D0F37" w:rsidRDefault="00DB7038" w:rsidP="005D0F37">
      <w:pPr>
        <w:tabs>
          <w:tab w:val="left" w:pos="2268"/>
          <w:tab w:val="left" w:pos="2720"/>
          <w:tab w:val="left" w:leader="dot" w:pos="2890"/>
        </w:tabs>
        <w:suppressAutoHyphens w:val="0"/>
        <w:spacing w:after="120"/>
        <w:ind w:left="2268" w:right="1134" w:hanging="1134"/>
        <w:jc w:val="both"/>
        <w:rPr>
          <w:strike/>
        </w:rPr>
      </w:pPr>
      <w:r>
        <w:t>“</w:t>
      </w:r>
      <w:r w:rsidR="005D0F37" w:rsidRPr="005D0F37">
        <w:rPr>
          <w:strike/>
        </w:rPr>
        <w:t>14.1.</w:t>
      </w:r>
      <w:r w:rsidR="005D0F37" w:rsidRPr="005D0F37">
        <w:rPr>
          <w:strike/>
        </w:rPr>
        <w:tab/>
        <w:t>Every modification of the vehicle type or component type shall be notified to the Type Approval Authority which approved the vehicle or component type. The Type Approval Authority shall then either:</w:t>
      </w:r>
    </w:p>
    <w:p w14:paraId="1D1C522B" w14:textId="77777777" w:rsidR="005D0F37" w:rsidRPr="005D0F37" w:rsidRDefault="005D0F37" w:rsidP="005D0F37">
      <w:pPr>
        <w:suppressAutoHyphens w:val="0"/>
        <w:spacing w:after="120"/>
        <w:ind w:left="2835" w:right="1134" w:hanging="567"/>
        <w:jc w:val="both"/>
        <w:rPr>
          <w:strike/>
        </w:rPr>
      </w:pPr>
      <w:r w:rsidRPr="005D0F37">
        <w:rPr>
          <w:strike/>
        </w:rPr>
        <w:t>(a)</w:t>
      </w:r>
      <w:r w:rsidRPr="005D0F37">
        <w:rPr>
          <w:strike/>
        </w:rPr>
        <w:tab/>
        <w:t>Decide, in consultation with the manufacturer, that a new type approval is to be granted, or</w:t>
      </w:r>
    </w:p>
    <w:p w14:paraId="6288F949" w14:textId="77777777" w:rsidR="005D0F37" w:rsidRPr="005D0F37" w:rsidRDefault="005D0F37" w:rsidP="005D0F37">
      <w:pPr>
        <w:suppressAutoHyphens w:val="0"/>
        <w:spacing w:after="120"/>
        <w:ind w:left="2835" w:right="1134" w:hanging="567"/>
        <w:jc w:val="both"/>
        <w:rPr>
          <w:strike/>
        </w:rPr>
      </w:pPr>
      <w:r w:rsidRPr="005D0F37">
        <w:rPr>
          <w:strike/>
        </w:rPr>
        <w:t>(b)</w:t>
      </w:r>
      <w:r w:rsidRPr="005D0F37">
        <w:rPr>
          <w:strike/>
        </w:rPr>
        <w:tab/>
        <w:t>Apply the procedure contained in paragraph 14.1.1. (Revision) below and, if applicable, the procedure contained in paragraph 14.1.2. (Extension) below.</w:t>
      </w:r>
    </w:p>
    <w:p w14:paraId="3BD0522B" w14:textId="77777777" w:rsidR="005D0F37" w:rsidRPr="005D0F37" w:rsidRDefault="005D0F37" w:rsidP="005D0F37">
      <w:pPr>
        <w:tabs>
          <w:tab w:val="left" w:pos="2268"/>
          <w:tab w:val="left" w:pos="2720"/>
          <w:tab w:val="left" w:leader="dot" w:pos="2890"/>
        </w:tabs>
        <w:suppressAutoHyphens w:val="0"/>
        <w:spacing w:after="120"/>
        <w:ind w:left="2268" w:right="1134" w:hanging="1134"/>
        <w:jc w:val="both"/>
        <w:rPr>
          <w:strike/>
        </w:rPr>
      </w:pPr>
      <w:r w:rsidRPr="005D0F37">
        <w:rPr>
          <w:strike/>
        </w:rPr>
        <w:t>14.1.1.</w:t>
      </w:r>
      <w:r w:rsidRPr="005D0F37">
        <w:rPr>
          <w:strike/>
        </w:rPr>
        <w:tab/>
        <w:t>Revision</w:t>
      </w:r>
    </w:p>
    <w:p w14:paraId="41ECFDA2" w14:textId="77777777" w:rsidR="005D0F37" w:rsidRPr="005D0F37" w:rsidRDefault="005D0F37" w:rsidP="005D0F37">
      <w:pPr>
        <w:suppressAutoHyphens w:val="0"/>
        <w:spacing w:after="120"/>
        <w:ind w:left="2268" w:right="1134"/>
        <w:jc w:val="both"/>
        <w:rPr>
          <w:strike/>
        </w:rPr>
      </w:pPr>
      <w:r w:rsidRPr="005D0F37">
        <w:rPr>
          <w:strike/>
        </w:rPr>
        <w:tab/>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3BCB0AAA" w14:textId="77777777" w:rsidR="005D0F37" w:rsidRPr="005D0F37" w:rsidRDefault="005D0F37" w:rsidP="005D0F37">
      <w:pPr>
        <w:suppressAutoHyphens w:val="0"/>
        <w:spacing w:after="120"/>
        <w:ind w:left="2268" w:right="1134"/>
        <w:jc w:val="both"/>
        <w:rPr>
          <w:strike/>
        </w:rPr>
      </w:pPr>
      <w:r w:rsidRPr="005D0F37">
        <w:rPr>
          <w:strike/>
        </w:rPr>
        <w:tab/>
        <w:t xml:space="preserve">In such a case, the Type Approval Authority shall issue the revised pages of the information documents as necessary, marking each revised page to </w:t>
      </w:r>
      <w:proofErr w:type="gramStart"/>
      <w:r w:rsidRPr="005D0F37">
        <w:rPr>
          <w:strike/>
        </w:rPr>
        <w:t>show clearly</w:t>
      </w:r>
      <w:proofErr w:type="gramEnd"/>
      <w:r w:rsidRPr="005D0F37">
        <w:rPr>
          <w:strike/>
        </w:rPr>
        <w:t xml:space="preserve"> the nature of the modification and the date of re-issue. A consolidated, updated version of the information documents, accompanied by a detailed description of the modification, shall be deemed to meet this requirement.</w:t>
      </w:r>
    </w:p>
    <w:p w14:paraId="7764FB4A" w14:textId="77777777" w:rsidR="005D0F37" w:rsidRPr="005D0F37" w:rsidRDefault="005D0F37" w:rsidP="005D0F37">
      <w:pPr>
        <w:tabs>
          <w:tab w:val="left" w:pos="2268"/>
          <w:tab w:val="left" w:pos="2720"/>
          <w:tab w:val="left" w:leader="dot" w:pos="2890"/>
        </w:tabs>
        <w:suppressAutoHyphens w:val="0"/>
        <w:spacing w:after="120"/>
        <w:ind w:left="2268" w:right="1134" w:hanging="1134"/>
        <w:jc w:val="both"/>
        <w:rPr>
          <w:strike/>
        </w:rPr>
      </w:pPr>
      <w:r w:rsidRPr="005D0F37">
        <w:rPr>
          <w:strike/>
        </w:rPr>
        <w:t>14.1.2.</w:t>
      </w:r>
      <w:r w:rsidRPr="005D0F37">
        <w:rPr>
          <w:strike/>
        </w:rPr>
        <w:tab/>
        <w:t>The modification shall be designated as an "extension" if, in addition to the change of the data recorded in the information documents:</w:t>
      </w:r>
    </w:p>
    <w:p w14:paraId="7809366C" w14:textId="77777777" w:rsidR="005D0F37" w:rsidRPr="005D0F37" w:rsidRDefault="005D0F37" w:rsidP="005D0F37">
      <w:pPr>
        <w:suppressAutoHyphens w:val="0"/>
        <w:spacing w:after="120"/>
        <w:ind w:left="2835" w:right="1134" w:hanging="567"/>
        <w:jc w:val="both"/>
        <w:rPr>
          <w:strike/>
        </w:rPr>
      </w:pPr>
      <w:r w:rsidRPr="005D0F37">
        <w:rPr>
          <w:strike/>
        </w:rPr>
        <w:t>(a)</w:t>
      </w:r>
      <w:r w:rsidRPr="005D0F37">
        <w:rPr>
          <w:strike/>
        </w:rPr>
        <w:tab/>
        <w:t>Further inspections or tests are required; or</w:t>
      </w:r>
    </w:p>
    <w:p w14:paraId="1479C6D9" w14:textId="77777777" w:rsidR="005D0F37" w:rsidRPr="005D0F37" w:rsidRDefault="005D0F37" w:rsidP="005D0F37">
      <w:pPr>
        <w:suppressAutoHyphens w:val="0"/>
        <w:spacing w:after="120"/>
        <w:ind w:left="2835" w:right="1134" w:hanging="567"/>
        <w:jc w:val="both"/>
        <w:rPr>
          <w:strike/>
        </w:rPr>
      </w:pPr>
      <w:r w:rsidRPr="005D0F37">
        <w:rPr>
          <w:strike/>
        </w:rPr>
        <w:t>(b)</w:t>
      </w:r>
      <w:r w:rsidRPr="005D0F37">
        <w:rPr>
          <w:strike/>
        </w:rPr>
        <w:tab/>
        <w:t>Any information on the communication document (</w:t>
      </w:r>
      <w:proofErr w:type="gramStart"/>
      <w:r w:rsidRPr="005D0F37">
        <w:rPr>
          <w:strike/>
        </w:rPr>
        <w:t>with the exception of</w:t>
      </w:r>
      <w:proofErr w:type="gramEnd"/>
      <w:r w:rsidRPr="005D0F37">
        <w:rPr>
          <w:strike/>
        </w:rPr>
        <w:t xml:space="preserve"> its attachments) has changed; or</w:t>
      </w:r>
    </w:p>
    <w:p w14:paraId="1ECE1ED1" w14:textId="77777777" w:rsidR="005D0F37" w:rsidRPr="005D0F37" w:rsidRDefault="005D0F37" w:rsidP="005D0F37">
      <w:pPr>
        <w:suppressAutoHyphens w:val="0"/>
        <w:spacing w:after="120"/>
        <w:ind w:left="2835" w:right="1134" w:hanging="567"/>
        <w:jc w:val="both"/>
        <w:rPr>
          <w:strike/>
        </w:rPr>
      </w:pPr>
      <w:r w:rsidRPr="005D0F37">
        <w:rPr>
          <w:strike/>
        </w:rPr>
        <w:t>(c)</w:t>
      </w:r>
      <w:r w:rsidRPr="005D0F37">
        <w:rPr>
          <w:strike/>
        </w:rPr>
        <w:tab/>
        <w:t xml:space="preserve">Approval to a later series of amendments is requested after its entry into force. </w:t>
      </w:r>
    </w:p>
    <w:p w14:paraId="6481034D" w14:textId="77777777" w:rsidR="005D0F37" w:rsidRPr="005D0F37" w:rsidRDefault="005D0F37" w:rsidP="005D0F37">
      <w:pPr>
        <w:tabs>
          <w:tab w:val="left" w:pos="2268"/>
          <w:tab w:val="left" w:pos="2720"/>
          <w:tab w:val="left" w:leader="dot" w:pos="2890"/>
        </w:tabs>
        <w:suppressAutoHyphens w:val="0"/>
        <w:spacing w:after="120"/>
        <w:ind w:left="2268" w:right="1134" w:hanging="1134"/>
        <w:jc w:val="both"/>
        <w:rPr>
          <w:strike/>
        </w:rPr>
      </w:pPr>
      <w:r w:rsidRPr="005D0F37">
        <w:rPr>
          <w:strike/>
        </w:rPr>
        <w:lastRenderedPageBreak/>
        <w:t>14.2.</w:t>
      </w:r>
      <w:r w:rsidRPr="005D0F37">
        <w:rPr>
          <w:strike/>
        </w:rPr>
        <w:tab/>
        <w:t>Confirmation or refusal of approval, specifying the alterations, shall be communicated to the Contracting Parties to the Agreement applying the UN Regulation by means of the communication document In addition, the index to the information documents and to the test reports, attached to the communication document, shall be amended accordingly to show the date of the most recent revision or extension.</w:t>
      </w:r>
    </w:p>
    <w:p w14:paraId="446896D6" w14:textId="77777777" w:rsidR="005D0F37" w:rsidRPr="005D0F37" w:rsidRDefault="005D0F37" w:rsidP="005D0F37">
      <w:pPr>
        <w:tabs>
          <w:tab w:val="left" w:pos="2268"/>
          <w:tab w:val="left" w:pos="2720"/>
          <w:tab w:val="left" w:leader="dot" w:pos="2890"/>
        </w:tabs>
        <w:suppressAutoHyphens w:val="0"/>
        <w:spacing w:after="120"/>
        <w:ind w:left="2268" w:right="1134" w:hanging="1134"/>
        <w:jc w:val="both"/>
        <w:rPr>
          <w:strike/>
        </w:rPr>
      </w:pPr>
      <w:r w:rsidRPr="005D0F37">
        <w:rPr>
          <w:strike/>
        </w:rPr>
        <w:t>14.3.</w:t>
      </w:r>
      <w:r w:rsidRPr="005D0F37">
        <w:rPr>
          <w:strike/>
        </w:rPr>
        <w:tab/>
        <w:t>The Type Approval Authority granting the extension of approval shall assign a series number to each communication form drawn up for such an extension.</w:t>
      </w:r>
    </w:p>
    <w:p w14:paraId="7B6F5EDD" w14:textId="77777777" w:rsidR="005D0F37" w:rsidRPr="005D0F37" w:rsidRDefault="005D0F37" w:rsidP="005D0F37">
      <w:pPr>
        <w:tabs>
          <w:tab w:val="left" w:pos="2268"/>
          <w:tab w:val="left" w:pos="2720"/>
          <w:tab w:val="left" w:leader="dot" w:pos="2890"/>
        </w:tabs>
        <w:suppressAutoHyphens w:val="0"/>
        <w:spacing w:after="120"/>
        <w:ind w:left="2268" w:right="1134" w:hanging="1134"/>
        <w:jc w:val="both"/>
        <w:rPr>
          <w:strike/>
        </w:rPr>
      </w:pPr>
      <w:r w:rsidRPr="005D0F37">
        <w:rPr>
          <w:strike/>
        </w:rPr>
        <w:t>14.2.</w:t>
      </w:r>
      <w:r w:rsidRPr="005D0F37">
        <w:rPr>
          <w:strike/>
        </w:rPr>
        <w:tab/>
        <w:t>Confirmation or refusal of approval, specifying the alteration, shall be communicated by the procedure specified in paragraph 4.3. above to the Contracting Parties to the Agreement applying this Regulation.</w:t>
      </w:r>
    </w:p>
    <w:p w14:paraId="7A973D4B" w14:textId="77777777" w:rsidR="005D0F37" w:rsidRPr="005D0F37" w:rsidRDefault="005D0F37" w:rsidP="005D0F37">
      <w:pPr>
        <w:tabs>
          <w:tab w:val="left" w:pos="2268"/>
          <w:tab w:val="left" w:pos="2720"/>
          <w:tab w:val="left" w:leader="dot" w:pos="2890"/>
        </w:tabs>
        <w:suppressAutoHyphens w:val="0"/>
        <w:spacing w:after="120"/>
        <w:ind w:left="2268" w:right="1134" w:hanging="1134"/>
        <w:jc w:val="both"/>
        <w:rPr>
          <w:strike/>
        </w:rPr>
      </w:pPr>
      <w:r w:rsidRPr="005D0F37">
        <w:rPr>
          <w:strike/>
        </w:rPr>
        <w:t>14.3.</w:t>
      </w:r>
      <w:r w:rsidRPr="005D0F37">
        <w:rPr>
          <w:strike/>
        </w:rPr>
        <w:tab/>
        <w:t>The Type Approval Authority issuing the extension of approval shall assign a serial number to each communication form drawn up for such an extension.</w:t>
      </w:r>
    </w:p>
    <w:p w14:paraId="13ED6EC7" w14:textId="2580BD71" w:rsidR="00AC15C7" w:rsidRDefault="00AC15C7" w:rsidP="00300322">
      <w:pPr>
        <w:pStyle w:val="para"/>
        <w:ind w:left="0" w:firstLine="0"/>
        <w:rPr>
          <w:b/>
          <w:bCs/>
          <w:i/>
          <w:iCs/>
        </w:rPr>
      </w:pPr>
    </w:p>
    <w:p w14:paraId="52620799" w14:textId="600EA241" w:rsidR="00BC1B38" w:rsidRDefault="00DB7038" w:rsidP="00BC1B38">
      <w:pPr>
        <w:pStyle w:val="para"/>
        <w:ind w:left="0" w:firstLine="0"/>
      </w:pPr>
      <w:r>
        <w:rPr>
          <w:bCs/>
          <w:i/>
          <w:iCs/>
        </w:rPr>
        <w:t xml:space="preserve">Insert new </w:t>
      </w:r>
      <w:r w:rsidR="00BC1B38">
        <w:rPr>
          <w:i/>
        </w:rPr>
        <w:t>Paragraphs</w:t>
      </w:r>
      <w:r w:rsidR="005D0F37">
        <w:rPr>
          <w:i/>
        </w:rPr>
        <w:t>14</w:t>
      </w:r>
      <w:r w:rsidR="00BC1B38">
        <w:rPr>
          <w:i/>
        </w:rPr>
        <w:t xml:space="preserve">.1. to </w:t>
      </w:r>
      <w:r w:rsidR="005D0F37">
        <w:rPr>
          <w:i/>
        </w:rPr>
        <w:t>14</w:t>
      </w:r>
      <w:r w:rsidR="00BC1B38">
        <w:rPr>
          <w:i/>
        </w:rPr>
        <w:t xml:space="preserve">.3., </w:t>
      </w:r>
      <w:r w:rsidR="00BC1B38">
        <w:t xml:space="preserve">to </w:t>
      </w:r>
      <w:r>
        <w:t>read</w:t>
      </w:r>
      <w:r w:rsidR="00BC1B38" w:rsidRPr="00AC15C7">
        <w:t>:</w:t>
      </w:r>
    </w:p>
    <w:p w14:paraId="4996CF85" w14:textId="471AF3DF" w:rsidR="00BC1B38" w:rsidRPr="000B4A06" w:rsidRDefault="000B4A06" w:rsidP="00BC1B38">
      <w:pPr>
        <w:pStyle w:val="HChG"/>
        <w:ind w:left="2268"/>
        <w:rPr>
          <w:b w:val="0"/>
          <w:bCs/>
        </w:rPr>
      </w:pPr>
      <w:r w:rsidRPr="000B4A06">
        <w:rPr>
          <w:b w:val="0"/>
          <w:bCs/>
        </w:rPr>
        <w:t>"</w:t>
      </w:r>
      <w:r w:rsidR="003605D9" w:rsidRPr="000B4A06">
        <w:rPr>
          <w:b w:val="0"/>
          <w:bCs/>
        </w:rPr>
        <w:t>14</w:t>
      </w:r>
      <w:r w:rsidR="00BC1B38" w:rsidRPr="000B4A06">
        <w:rPr>
          <w:b w:val="0"/>
          <w:bCs/>
        </w:rPr>
        <w:t>.</w:t>
      </w:r>
      <w:r w:rsidR="00BC1B38" w:rsidRPr="000B4A06">
        <w:rPr>
          <w:b w:val="0"/>
          <w:bCs/>
        </w:rPr>
        <w:tab/>
        <w:t xml:space="preserve">Modification of the type and extension of </w:t>
      </w:r>
      <w:r>
        <w:rPr>
          <w:b w:val="0"/>
          <w:bCs/>
        </w:rPr>
        <w:t>a</w:t>
      </w:r>
      <w:r w:rsidR="00BC1B38" w:rsidRPr="000B4A06">
        <w:rPr>
          <w:b w:val="0"/>
          <w:bCs/>
        </w:rPr>
        <w:t>pproval</w:t>
      </w:r>
    </w:p>
    <w:p w14:paraId="3525CF0D" w14:textId="07E6CFC4" w:rsidR="00AC79B7" w:rsidRDefault="003605D9" w:rsidP="004E7CC1">
      <w:pPr>
        <w:pStyle w:val="ListParagraph"/>
        <w:tabs>
          <w:tab w:val="left" w:pos="2268"/>
        </w:tabs>
        <w:suppressAutoHyphens w:val="0"/>
        <w:spacing w:before="120" w:after="120" w:line="240" w:lineRule="auto"/>
        <w:ind w:left="2262" w:right="992" w:hanging="1185"/>
        <w:contextualSpacing w:val="0"/>
        <w:jc w:val="both"/>
        <w:rPr>
          <w:b/>
          <w:bCs/>
        </w:rPr>
      </w:pPr>
      <w:r>
        <w:rPr>
          <w:b/>
          <w:bCs/>
        </w:rPr>
        <w:t>14</w:t>
      </w:r>
      <w:r w:rsidR="00AC79B7" w:rsidRPr="00FA7A4C">
        <w:rPr>
          <w:b/>
          <w:bCs/>
        </w:rPr>
        <w:t>.1.</w:t>
      </w:r>
      <w:r w:rsidR="00AC79B7" w:rsidRPr="00FA7A4C">
        <w:rPr>
          <w:b/>
          <w:bCs/>
        </w:rPr>
        <w:tab/>
      </w:r>
      <w:r w:rsidR="00FA7A4C" w:rsidRPr="00FA7A4C">
        <w:rPr>
          <w:b/>
          <w:bCs/>
        </w:rPr>
        <w:t xml:space="preserve">Every modification of a vehicle or component type </w:t>
      </w:r>
      <w:proofErr w:type="gramStart"/>
      <w:r w:rsidR="00FA7A4C" w:rsidRPr="00FA7A4C">
        <w:rPr>
          <w:b/>
          <w:bCs/>
        </w:rPr>
        <w:t>with regard to</w:t>
      </w:r>
      <w:proofErr w:type="gramEnd"/>
      <w:r w:rsidR="00FA7A4C" w:rsidRPr="00FA7A4C">
        <w:rPr>
          <w:b/>
          <w:bCs/>
        </w:rPr>
        <w:t xml:space="preserve"> this Regulation shall be notified to the administrative department which approved the vehicle or component type. The department may then either:</w:t>
      </w:r>
    </w:p>
    <w:p w14:paraId="1AD79F57" w14:textId="1ED87E80" w:rsidR="00FA7A4C" w:rsidRDefault="003605D9" w:rsidP="004E7CC1">
      <w:pPr>
        <w:pStyle w:val="ListParagraph"/>
        <w:tabs>
          <w:tab w:val="left" w:pos="2268"/>
        </w:tabs>
        <w:suppressAutoHyphens w:val="0"/>
        <w:spacing w:before="120" w:after="120" w:line="240" w:lineRule="auto"/>
        <w:ind w:left="2262" w:right="992" w:hanging="1185"/>
        <w:contextualSpacing w:val="0"/>
        <w:jc w:val="both"/>
        <w:rPr>
          <w:b/>
          <w:bCs/>
        </w:rPr>
      </w:pPr>
      <w:r>
        <w:rPr>
          <w:b/>
          <w:bCs/>
        </w:rPr>
        <w:t>14</w:t>
      </w:r>
      <w:r w:rsidR="00FA7A4C">
        <w:rPr>
          <w:b/>
          <w:bCs/>
        </w:rPr>
        <w:t>.1.1.</w:t>
      </w:r>
      <w:r w:rsidR="00FA7A4C">
        <w:rPr>
          <w:b/>
          <w:bCs/>
        </w:rPr>
        <w:tab/>
      </w:r>
      <w:r w:rsidR="0020629D" w:rsidRPr="0020629D">
        <w:rPr>
          <w:b/>
          <w:bCs/>
        </w:rPr>
        <w:t>consider that the modifications made are unlikely to have an appreciable adverse effect and that in any case the component or the vehicle still complies with the requirements, or</w:t>
      </w:r>
    </w:p>
    <w:p w14:paraId="6A74E5E0" w14:textId="407B9000" w:rsidR="0020629D" w:rsidRDefault="003605D9" w:rsidP="004E7CC1">
      <w:pPr>
        <w:pStyle w:val="ListParagraph"/>
        <w:tabs>
          <w:tab w:val="left" w:pos="2268"/>
        </w:tabs>
        <w:suppressAutoHyphens w:val="0"/>
        <w:spacing w:before="120" w:after="120" w:line="240" w:lineRule="auto"/>
        <w:ind w:left="2262" w:right="992" w:hanging="1185"/>
        <w:contextualSpacing w:val="0"/>
        <w:jc w:val="both"/>
        <w:rPr>
          <w:b/>
          <w:bCs/>
        </w:rPr>
      </w:pPr>
      <w:r>
        <w:rPr>
          <w:b/>
          <w:bCs/>
        </w:rPr>
        <w:t>14</w:t>
      </w:r>
      <w:r w:rsidR="0020629D">
        <w:rPr>
          <w:b/>
          <w:bCs/>
        </w:rPr>
        <w:t>.1.2.</w:t>
      </w:r>
      <w:r w:rsidR="0020629D">
        <w:rPr>
          <w:b/>
          <w:bCs/>
        </w:rPr>
        <w:tab/>
      </w:r>
      <w:r w:rsidR="0020629D" w:rsidRPr="0020629D">
        <w:rPr>
          <w:b/>
          <w:bCs/>
        </w:rPr>
        <w:t>require a further report from the technical service responsible for conducting the tests.</w:t>
      </w:r>
    </w:p>
    <w:p w14:paraId="4B1209EA" w14:textId="21E628D5" w:rsidR="00A33F3B" w:rsidRDefault="003605D9" w:rsidP="004E7CC1">
      <w:pPr>
        <w:pStyle w:val="ListParagraph"/>
        <w:tabs>
          <w:tab w:val="left" w:pos="2268"/>
        </w:tabs>
        <w:suppressAutoHyphens w:val="0"/>
        <w:spacing w:before="120" w:after="120" w:line="240" w:lineRule="auto"/>
        <w:ind w:left="2262" w:right="992" w:hanging="1185"/>
        <w:contextualSpacing w:val="0"/>
        <w:jc w:val="both"/>
        <w:rPr>
          <w:b/>
          <w:bCs/>
        </w:rPr>
      </w:pPr>
      <w:r>
        <w:rPr>
          <w:b/>
          <w:bCs/>
        </w:rPr>
        <w:t>14</w:t>
      </w:r>
      <w:r w:rsidR="00A33F3B">
        <w:rPr>
          <w:b/>
          <w:bCs/>
        </w:rPr>
        <w:t>.2.</w:t>
      </w:r>
      <w:r w:rsidR="00A33F3B">
        <w:rPr>
          <w:b/>
          <w:bCs/>
        </w:rPr>
        <w:tab/>
      </w:r>
      <w:r w:rsidR="00A33F3B" w:rsidRPr="00A33F3B">
        <w:rPr>
          <w:b/>
          <w:bCs/>
        </w:rPr>
        <w:t>Confirmation or refusal of approval, specifying the alteration, shall be communicated by the procedure specified in paragraph 4.3. above to the Contracting Parties to the Agreement applying this Regulation.</w:t>
      </w:r>
    </w:p>
    <w:p w14:paraId="4A8F7AC4" w14:textId="7B596E20" w:rsidR="00A33F3B" w:rsidRDefault="003605D9" w:rsidP="004E7CC1">
      <w:pPr>
        <w:pStyle w:val="ListParagraph"/>
        <w:tabs>
          <w:tab w:val="left" w:pos="2268"/>
        </w:tabs>
        <w:suppressAutoHyphens w:val="0"/>
        <w:spacing w:before="120" w:after="120" w:line="240" w:lineRule="auto"/>
        <w:ind w:left="2262" w:right="992" w:hanging="1185"/>
        <w:contextualSpacing w:val="0"/>
        <w:jc w:val="both"/>
        <w:rPr>
          <w:b/>
          <w:bCs/>
        </w:rPr>
      </w:pPr>
      <w:r>
        <w:rPr>
          <w:b/>
          <w:bCs/>
        </w:rPr>
        <w:t>14</w:t>
      </w:r>
      <w:r w:rsidR="00A33F3B">
        <w:rPr>
          <w:b/>
          <w:bCs/>
        </w:rPr>
        <w:t>.3.</w:t>
      </w:r>
      <w:r w:rsidR="00A33F3B">
        <w:rPr>
          <w:b/>
          <w:bCs/>
        </w:rPr>
        <w:tab/>
      </w:r>
      <w:r w:rsidR="004E7CC1" w:rsidRPr="004E7CC1">
        <w:rPr>
          <w:b/>
          <w:bCs/>
        </w:rPr>
        <w:t>The competent authority issuing the extension of approval shall assign a serial number to each communication form drawn up for such an extension.</w:t>
      </w:r>
      <w:r w:rsidR="006C495F" w:rsidRPr="00DB7038">
        <w:t>"</w:t>
      </w:r>
    </w:p>
    <w:p w14:paraId="36BE31F3" w14:textId="77777777" w:rsidR="00EB1261" w:rsidRDefault="00EB1261" w:rsidP="00D27D2D">
      <w:pPr>
        <w:rPr>
          <w:i/>
        </w:rPr>
      </w:pPr>
    </w:p>
    <w:p w14:paraId="25914C60" w14:textId="404BCB2C" w:rsidR="00D27D2D" w:rsidRPr="00FF153D" w:rsidRDefault="00D27D2D" w:rsidP="00D27D2D">
      <w:pPr>
        <w:rPr>
          <w:i/>
        </w:rPr>
      </w:pPr>
      <w:r>
        <w:rPr>
          <w:i/>
        </w:rPr>
        <w:t xml:space="preserve">Annex </w:t>
      </w:r>
      <w:r w:rsidR="007904D3">
        <w:rPr>
          <w:i/>
        </w:rPr>
        <w:t>1</w:t>
      </w:r>
      <w:r w:rsidR="00501A3F">
        <w:rPr>
          <w:i/>
        </w:rPr>
        <w:t>a</w:t>
      </w:r>
      <w:r>
        <w:rPr>
          <w:i/>
        </w:rPr>
        <w:t xml:space="preserve">, paragraph </w:t>
      </w:r>
      <w:r w:rsidR="007904D3">
        <w:rPr>
          <w:i/>
        </w:rPr>
        <w:t>3.1.1</w:t>
      </w:r>
      <w:r w:rsidRPr="00FF153D">
        <w:t>., amend to read</w:t>
      </w:r>
      <w:r w:rsidRPr="00D71609">
        <w:t>:</w:t>
      </w:r>
    </w:p>
    <w:p w14:paraId="522BC9F4" w14:textId="77777777" w:rsidR="00D27D2D" w:rsidRPr="00FF153D" w:rsidRDefault="00D27D2D" w:rsidP="00D27D2D">
      <w:pPr>
        <w:rPr>
          <w:i/>
        </w:rPr>
      </w:pPr>
    </w:p>
    <w:p w14:paraId="1F9167E1" w14:textId="44740A9A" w:rsidR="00EB1261" w:rsidRPr="00B43EC4" w:rsidRDefault="00D27D2D" w:rsidP="00EB1261">
      <w:pPr>
        <w:tabs>
          <w:tab w:val="left" w:pos="2268"/>
          <w:tab w:val="right" w:leader="dot" w:pos="8505"/>
        </w:tabs>
        <w:suppressAutoHyphens w:val="0"/>
        <w:spacing w:after="120"/>
        <w:ind w:left="2268" w:right="1134" w:hanging="1134"/>
        <w:jc w:val="both"/>
      </w:pPr>
      <w:r>
        <w:t>“</w:t>
      </w:r>
      <w:r w:rsidR="00EB1261" w:rsidRPr="00B43EC4">
        <w:t>3.1.1.</w:t>
      </w:r>
      <w:r w:rsidR="00EB1261" w:rsidRPr="00B43EC4">
        <w:tab/>
        <w:t xml:space="preserve">A detailed description of the vehicle type with regard to the arrangement of the installed </w:t>
      </w:r>
      <w:r w:rsidR="00EB1261" w:rsidRPr="00177240">
        <w:rPr>
          <w:strike/>
        </w:rPr>
        <w:t>immobilizer</w:t>
      </w:r>
      <w:r w:rsidR="00177240">
        <w:t xml:space="preserve"> </w:t>
      </w:r>
      <w:r w:rsidR="00177240">
        <w:rPr>
          <w:b/>
        </w:rPr>
        <w:t>vehicle alarm system</w:t>
      </w:r>
      <w:r w:rsidR="00EB1261" w:rsidRPr="00B43EC4">
        <w:t xml:space="preserve"> illustrated by photographs and/or drawings (where the </w:t>
      </w:r>
      <w:r w:rsidR="00DE0066" w:rsidRPr="00177240">
        <w:rPr>
          <w:strike/>
        </w:rPr>
        <w:t>immobilizer</w:t>
      </w:r>
      <w:r w:rsidR="00DE0066">
        <w:t xml:space="preserve"> </w:t>
      </w:r>
      <w:r w:rsidR="00DE0066">
        <w:rPr>
          <w:b/>
        </w:rPr>
        <w:t>vehicle alarm system</w:t>
      </w:r>
      <w:r w:rsidR="00EB1261" w:rsidRPr="00B43EC4">
        <w:t xml:space="preserve"> is already type approved as a separate technical unit, reference may be made to the description in item 4.2. of the </w:t>
      </w:r>
      <w:r w:rsidR="00DE0066" w:rsidRPr="00177240">
        <w:rPr>
          <w:strike/>
        </w:rPr>
        <w:t>immobilizer</w:t>
      </w:r>
      <w:r w:rsidR="00DE0066">
        <w:t xml:space="preserve"> </w:t>
      </w:r>
      <w:r w:rsidR="00DE0066">
        <w:rPr>
          <w:b/>
        </w:rPr>
        <w:t>vehicle alarm system</w:t>
      </w:r>
      <w:r w:rsidR="00DE0066" w:rsidRPr="00B43EC4">
        <w:t xml:space="preserve"> </w:t>
      </w:r>
      <w:r w:rsidR="00EB1261" w:rsidRPr="00B43EC4">
        <w:t>manufacturer’s information document):</w:t>
      </w:r>
      <w:r w:rsidR="00E625FB">
        <w:t>"</w:t>
      </w:r>
    </w:p>
    <w:p w14:paraId="23A9BEA8" w14:textId="77777777" w:rsidR="00203E21" w:rsidRDefault="00203E21" w:rsidP="00A60EAD">
      <w:pPr>
        <w:rPr>
          <w:i/>
        </w:rPr>
      </w:pPr>
    </w:p>
    <w:p w14:paraId="1E7549BA" w14:textId="77777777" w:rsidR="00203E21" w:rsidRDefault="00203E21">
      <w:pPr>
        <w:suppressAutoHyphens w:val="0"/>
        <w:spacing w:after="200" w:line="276" w:lineRule="auto"/>
        <w:rPr>
          <w:i/>
        </w:rPr>
      </w:pPr>
      <w:r>
        <w:rPr>
          <w:i/>
        </w:rPr>
        <w:br w:type="page"/>
      </w:r>
    </w:p>
    <w:p w14:paraId="49011746" w14:textId="6D7E399E" w:rsidR="00A60EAD" w:rsidRPr="00FF153D" w:rsidRDefault="00A60EAD" w:rsidP="00A60EAD">
      <w:pPr>
        <w:rPr>
          <w:i/>
        </w:rPr>
      </w:pPr>
      <w:r w:rsidRPr="00A60EAD">
        <w:rPr>
          <w:i/>
        </w:rPr>
        <w:lastRenderedPageBreak/>
        <w:t>Annex 2b, paragraph 4.2.4.</w:t>
      </w:r>
      <w:r w:rsidRPr="00FF153D">
        <w:t>, amend to read</w:t>
      </w:r>
      <w:r w:rsidRPr="00D71609">
        <w:t>:</w:t>
      </w:r>
    </w:p>
    <w:p w14:paraId="3A57F2C1" w14:textId="67BA1CDD" w:rsidR="00AD6624" w:rsidRPr="00B43EC4" w:rsidRDefault="00A60EAD" w:rsidP="00AD6624">
      <w:pPr>
        <w:tabs>
          <w:tab w:val="left" w:pos="963"/>
          <w:tab w:val="left" w:leader="dot" w:pos="8505"/>
        </w:tabs>
        <w:spacing w:before="120" w:after="120"/>
        <w:ind w:left="2268" w:right="1134" w:hanging="1134"/>
        <w:jc w:val="both"/>
      </w:pPr>
      <w:r>
        <w:t>“</w:t>
      </w:r>
      <w:r w:rsidR="00AD6624" w:rsidRPr="00B43EC4">
        <w:t>4.2.4</w:t>
      </w:r>
      <w:r w:rsidR="00AD6624" w:rsidRPr="00B43EC4">
        <w:tab/>
        <w:t xml:space="preserve">Types of vehicles on which the </w:t>
      </w:r>
      <w:r w:rsidR="00920F60" w:rsidRPr="00177240">
        <w:rPr>
          <w:strike/>
        </w:rPr>
        <w:t>immobilizer</w:t>
      </w:r>
      <w:r w:rsidR="00920F60">
        <w:t xml:space="preserve"> </w:t>
      </w:r>
      <w:r w:rsidR="00920F60">
        <w:rPr>
          <w:b/>
        </w:rPr>
        <w:t>vehicle alarm system</w:t>
      </w:r>
      <w:r w:rsidR="00920F60" w:rsidRPr="00B43EC4">
        <w:t xml:space="preserve"> </w:t>
      </w:r>
      <w:r w:rsidR="00AD6624" w:rsidRPr="00B43EC4">
        <w:t>has been tested:</w:t>
      </w:r>
      <w:r w:rsidR="00426114">
        <w:t>”</w:t>
      </w:r>
    </w:p>
    <w:p w14:paraId="181A6E2B" w14:textId="77777777" w:rsidR="00A60EAD" w:rsidRPr="0098617B" w:rsidRDefault="00A60EAD" w:rsidP="00A60EAD">
      <w:pPr>
        <w:spacing w:after="120"/>
        <w:ind w:right="1133"/>
        <w:jc w:val="both"/>
        <w:rPr>
          <w:bCs/>
        </w:rPr>
      </w:pPr>
    </w:p>
    <w:p w14:paraId="0F091ECC" w14:textId="635F7981" w:rsidR="00FB51C7" w:rsidRDefault="00FB51C7" w:rsidP="00FB51C7">
      <w:pPr>
        <w:pStyle w:val="HChG"/>
        <w:numPr>
          <w:ilvl w:val="0"/>
          <w:numId w:val="1"/>
        </w:numPr>
        <w:rPr>
          <w:bCs/>
        </w:rPr>
      </w:pPr>
      <w:r w:rsidRPr="00FB51C7">
        <w:rPr>
          <w:bCs/>
        </w:rPr>
        <w:t>Justification</w:t>
      </w:r>
    </w:p>
    <w:p w14:paraId="60C5371B" w14:textId="2CFB631F" w:rsidR="00FC099C" w:rsidRPr="00DB7038" w:rsidRDefault="00FC099C" w:rsidP="00FC099C">
      <w:pPr>
        <w:rPr>
          <w:b/>
          <w:bCs/>
        </w:rPr>
      </w:pPr>
      <w:r w:rsidRPr="00DB7038">
        <w:rPr>
          <w:b/>
          <w:bCs/>
        </w:rPr>
        <w:t xml:space="preserve">Paragraph </w:t>
      </w:r>
      <w:r w:rsidR="00FD0E08" w:rsidRPr="00DB7038">
        <w:rPr>
          <w:b/>
          <w:bCs/>
        </w:rPr>
        <w:t>7</w:t>
      </w:r>
      <w:r w:rsidRPr="00DB7038">
        <w:rPr>
          <w:b/>
          <w:bCs/>
        </w:rPr>
        <w:t>.</w:t>
      </w:r>
    </w:p>
    <w:p w14:paraId="5B598996" w14:textId="3EDED383" w:rsidR="00C51A5B" w:rsidRDefault="003A4AD9" w:rsidP="003A4AD9">
      <w:r>
        <w:t>The text added is the content regarding a vehicle alarm system of UN R116 Supplement 7</w:t>
      </w:r>
      <w:r w:rsidR="007C7D77">
        <w:t xml:space="preserve"> and was lost during the split into the new regulation.</w:t>
      </w:r>
      <w:r w:rsidR="00297E00">
        <w:t xml:space="preserve"> </w:t>
      </w:r>
      <w:proofErr w:type="gramStart"/>
      <w:r w:rsidR="00297E00">
        <w:t>Therefore</w:t>
      </w:r>
      <w:proofErr w:type="gramEnd"/>
      <w:r w:rsidR="00297E00">
        <w:t xml:space="preserve"> it needs to added again.</w:t>
      </w:r>
    </w:p>
    <w:p w14:paraId="056519E4" w14:textId="79F2F2AA" w:rsidR="00531A10" w:rsidRDefault="00531A10" w:rsidP="003A4AD9">
      <w:r>
        <w:t>Text of Supplement 7 of UN R116:</w:t>
      </w:r>
    </w:p>
    <w:p w14:paraId="0A1FAF58" w14:textId="77777777" w:rsidR="000D7D7E" w:rsidRDefault="000D7D7E" w:rsidP="000D7D7E">
      <w:pPr>
        <w:tabs>
          <w:tab w:val="left" w:pos="1134"/>
        </w:tabs>
        <w:spacing w:before="120" w:after="120" w:line="240" w:lineRule="auto"/>
        <w:ind w:left="1134" w:right="1134"/>
        <w:jc w:val="both"/>
      </w:pPr>
      <w:r w:rsidRPr="00475FCC">
        <w:rPr>
          <w:i/>
        </w:rPr>
        <w:t>Paragraph 6.</w:t>
      </w:r>
      <w:r>
        <w:rPr>
          <w:i/>
        </w:rPr>
        <w:t>4</w:t>
      </w:r>
      <w:r w:rsidRPr="00475FCC">
        <w:rPr>
          <w:i/>
        </w:rPr>
        <w:t>.</w:t>
      </w:r>
      <w:r>
        <w:rPr>
          <w:i/>
        </w:rPr>
        <w:t>,</w:t>
      </w:r>
      <w:r w:rsidRPr="00475FCC">
        <w:t xml:space="preserve"> </w:t>
      </w:r>
      <w:r>
        <w:t xml:space="preserve">amend to read (also </w:t>
      </w:r>
      <w:r w:rsidRPr="00811626">
        <w:t>delet</w:t>
      </w:r>
      <w:r>
        <w:t>ing</w:t>
      </w:r>
      <w:r w:rsidRPr="00811626">
        <w:t xml:space="preserve"> the reference to footnote </w:t>
      </w:r>
      <w:r w:rsidRPr="00FB46E7">
        <w:rPr>
          <w:vertAlign w:val="superscript"/>
        </w:rPr>
        <w:t>8</w:t>
      </w:r>
      <w:r w:rsidRPr="00811626">
        <w:t xml:space="preserve"> and the </w:t>
      </w:r>
      <w:r>
        <w:t>text of footnote </w:t>
      </w:r>
      <w:r w:rsidRPr="00FB46E7">
        <w:rPr>
          <w:vertAlign w:val="superscript"/>
        </w:rPr>
        <w:t>8</w:t>
      </w:r>
      <w:r>
        <w:t xml:space="preserve"> including the</w:t>
      </w:r>
      <w:r w:rsidRPr="00811626">
        <w:t xml:space="preserve"> re-number</w:t>
      </w:r>
      <w:r>
        <w:t>ing</w:t>
      </w:r>
      <w:r w:rsidRPr="00811626">
        <w:t xml:space="preserve"> the subsequent footnotes</w:t>
      </w:r>
      <w:r>
        <w:t>):</w:t>
      </w:r>
    </w:p>
    <w:p w14:paraId="7C9671A5" w14:textId="77777777" w:rsidR="000D7D7E" w:rsidRPr="00811626" w:rsidRDefault="000D7D7E" w:rsidP="000D7D7E">
      <w:pPr>
        <w:tabs>
          <w:tab w:val="left" w:pos="2268"/>
        </w:tabs>
        <w:spacing w:before="120" w:after="120" w:line="240" w:lineRule="auto"/>
        <w:ind w:left="2268" w:right="1134" w:hanging="1134"/>
        <w:jc w:val="both"/>
      </w:pPr>
      <w:r>
        <w:t>"6.4.</w:t>
      </w:r>
      <w:r w:rsidRPr="00811626">
        <w:tab/>
        <w:t>Operation parameters and test conditions</w:t>
      </w:r>
    </w:p>
    <w:p w14:paraId="3292CD5D" w14:textId="77777777" w:rsidR="000D7D7E" w:rsidRPr="00A45EFF" w:rsidRDefault="000D7D7E" w:rsidP="000D7D7E">
      <w:pPr>
        <w:tabs>
          <w:tab w:val="left" w:pos="2268"/>
        </w:tabs>
        <w:spacing w:before="120" w:after="120" w:line="240" w:lineRule="auto"/>
        <w:ind w:left="2268" w:right="1134" w:hanging="1134"/>
        <w:jc w:val="both"/>
        <w:rPr>
          <w:bCs/>
        </w:rPr>
      </w:pPr>
      <w:r w:rsidRPr="00811626">
        <w:rPr>
          <w:b/>
        </w:rPr>
        <w:tab/>
      </w:r>
      <w:r w:rsidRPr="00A45EFF">
        <w:rPr>
          <w:bCs/>
        </w:rPr>
        <w:t>Lamps which are used as part of the optical warning devices and which are included in the standard car lighting system need not comply with the operation parameters in paragraph 6.4.1. and shall not be submitted to tests listed under paragraph 6.4.2.</w:t>
      </w:r>
    </w:p>
    <w:p w14:paraId="44DD3D87" w14:textId="77777777" w:rsidR="000D7D7E" w:rsidRPr="00A45EFF" w:rsidRDefault="000D7D7E" w:rsidP="000D7D7E">
      <w:pPr>
        <w:tabs>
          <w:tab w:val="left" w:pos="2268"/>
        </w:tabs>
        <w:spacing w:before="120" w:after="120" w:line="240" w:lineRule="auto"/>
        <w:ind w:left="2268" w:right="1134" w:hanging="1134"/>
        <w:jc w:val="both"/>
        <w:rPr>
          <w:bCs/>
        </w:rPr>
      </w:pPr>
      <w:r w:rsidRPr="00A45EFF">
        <w:rPr>
          <w:bCs/>
        </w:rPr>
        <w:tab/>
        <w:t>Components that are not embedded in the vehicle (e.g. keys which are used for activation/deactivation of the VAS) need not to comply with the operation parameters in paragraph 6.4.1. and are not required to be submitted to test listed under paragraph 6.4.2."</w:t>
      </w:r>
    </w:p>
    <w:p w14:paraId="7854544C" w14:textId="77777777" w:rsidR="00531A10" w:rsidRDefault="00531A10" w:rsidP="003A4AD9"/>
    <w:p w14:paraId="6F9DB401" w14:textId="100F8446" w:rsidR="00297E00" w:rsidRDefault="00297E00" w:rsidP="003A4AD9"/>
    <w:p w14:paraId="3E523949" w14:textId="66726A08" w:rsidR="00297E00" w:rsidRDefault="00297E00" w:rsidP="003A4AD9">
      <w:r>
        <w:t xml:space="preserve">Note: </w:t>
      </w:r>
      <w:r w:rsidR="00CB3F14">
        <w:tab/>
      </w:r>
      <w:r>
        <w:t>Supplement 7 t</w:t>
      </w:r>
      <w:r w:rsidR="00F74D8D">
        <w:t xml:space="preserve">o UN R116 also contains </w:t>
      </w:r>
      <w:r w:rsidR="00DA4DE6">
        <w:t xml:space="preserve">an amendment of </w:t>
      </w:r>
      <w:r w:rsidR="00E012C0">
        <w:t xml:space="preserve">the following </w:t>
      </w:r>
      <w:r w:rsidR="00DA4DE6">
        <w:t>paragraph</w:t>
      </w:r>
      <w:r w:rsidR="00E012C0">
        <w:t>:</w:t>
      </w:r>
    </w:p>
    <w:p w14:paraId="49E690D0" w14:textId="77777777" w:rsidR="00E012C0" w:rsidRDefault="00E012C0" w:rsidP="00CB3F14">
      <w:pPr>
        <w:tabs>
          <w:tab w:val="left" w:pos="2268"/>
          <w:tab w:val="left" w:pos="2720"/>
          <w:tab w:val="left" w:leader="dot" w:pos="2890"/>
        </w:tabs>
        <w:suppressAutoHyphens w:val="0"/>
        <w:spacing w:after="120"/>
        <w:ind w:left="2268" w:right="1134" w:hanging="1134"/>
        <w:jc w:val="both"/>
      </w:pPr>
      <w:r>
        <w:t>"</w:t>
      </w:r>
      <w:r w:rsidRPr="00CB3F14">
        <w:t>7.4.3.</w:t>
      </w:r>
      <w:r w:rsidRPr="00CB3F14">
        <w:tab/>
        <w:t>Components that are not embedded in the vehicle, e.g. keys."</w:t>
      </w:r>
    </w:p>
    <w:p w14:paraId="0C08D52B" w14:textId="684C23B4" w:rsidR="00E012C0" w:rsidRDefault="00E012C0" w:rsidP="00CB3F14">
      <w:pPr>
        <w:ind w:firstLine="708"/>
      </w:pPr>
      <w:r w:rsidRPr="00E012C0">
        <w:t xml:space="preserve">However, this </w:t>
      </w:r>
      <w:r>
        <w:t xml:space="preserve">is already </w:t>
      </w:r>
      <w:r w:rsidR="005C15D7">
        <w:t>incorporated</w:t>
      </w:r>
      <w:r>
        <w:t xml:space="preserve"> in the new regulation to vehicle alarm systems</w:t>
      </w:r>
      <w:r w:rsidR="005C15D7">
        <w:t>:</w:t>
      </w:r>
    </w:p>
    <w:p w14:paraId="2B60D98B" w14:textId="77777777" w:rsidR="00CB3F14" w:rsidRPr="00FB7A94" w:rsidRDefault="00CB3F14" w:rsidP="00CB3F14">
      <w:pPr>
        <w:tabs>
          <w:tab w:val="left" w:pos="2268"/>
          <w:tab w:val="left" w:pos="2720"/>
          <w:tab w:val="left" w:leader="dot" w:pos="2890"/>
        </w:tabs>
        <w:suppressAutoHyphens w:val="0"/>
        <w:spacing w:after="120"/>
        <w:ind w:left="2268" w:right="1134" w:hanging="1134"/>
        <w:jc w:val="both"/>
      </w:pPr>
      <w:bookmarkStart w:id="0" w:name="_Hlk13659795"/>
      <w:r w:rsidRPr="00FB7A94">
        <w:t>12.3.</w:t>
      </w:r>
      <w:r w:rsidRPr="00FB7A94">
        <w:tab/>
        <w:t>Components that are not embedded in the vehicle, e.g. keys.</w:t>
      </w:r>
    </w:p>
    <w:bookmarkEnd w:id="0"/>
    <w:p w14:paraId="4C02AD72" w14:textId="77777777" w:rsidR="005C15D7" w:rsidRPr="00E012C0" w:rsidRDefault="005C15D7" w:rsidP="003A4AD9"/>
    <w:p w14:paraId="2CED11AB" w14:textId="31ADEBED" w:rsidR="006C495F" w:rsidRDefault="006C495F" w:rsidP="006C495F">
      <w:pPr>
        <w:rPr>
          <w:color w:val="FF0000"/>
        </w:rPr>
      </w:pPr>
    </w:p>
    <w:p w14:paraId="7840C374" w14:textId="2A81A6A6" w:rsidR="006C495F" w:rsidRPr="00DB7038" w:rsidRDefault="006C495F" w:rsidP="006C495F">
      <w:pPr>
        <w:rPr>
          <w:b/>
          <w:bCs/>
        </w:rPr>
      </w:pPr>
      <w:r w:rsidRPr="00DB7038">
        <w:rPr>
          <w:b/>
          <w:bCs/>
        </w:rPr>
        <w:t xml:space="preserve">Paragraphs </w:t>
      </w:r>
      <w:r w:rsidR="00B63EA0" w:rsidRPr="00DB7038">
        <w:rPr>
          <w:b/>
          <w:bCs/>
        </w:rPr>
        <w:t>14</w:t>
      </w:r>
      <w:r w:rsidRPr="00DB7038">
        <w:rPr>
          <w:b/>
          <w:bCs/>
        </w:rPr>
        <w:t xml:space="preserve">.1. to </w:t>
      </w:r>
      <w:r w:rsidR="00B63EA0" w:rsidRPr="00DB7038">
        <w:rPr>
          <w:b/>
          <w:bCs/>
        </w:rPr>
        <w:t>14</w:t>
      </w:r>
      <w:r w:rsidRPr="00DB7038">
        <w:rPr>
          <w:b/>
          <w:bCs/>
        </w:rPr>
        <w:t>.3.</w:t>
      </w:r>
    </w:p>
    <w:p w14:paraId="42EA2F4B" w14:textId="754E2D58" w:rsidR="006C495F" w:rsidRDefault="000326DA" w:rsidP="006C495F">
      <w:r>
        <w:t>During the split of U</w:t>
      </w:r>
      <w:r w:rsidR="00B63EA0">
        <w:t>N</w:t>
      </w:r>
      <w:r>
        <w:t xml:space="preserve"> R116 alignment to UN R116 paragraph 9 was lost</w:t>
      </w:r>
      <w:r w:rsidR="00AE7814">
        <w:t xml:space="preserve"> and a new text was created. To be in line with the TF's objective, proposing to </w:t>
      </w:r>
      <w:r w:rsidR="00C3791B">
        <w:t>realign the respective paragraphs.</w:t>
      </w:r>
      <w:r w:rsidR="000B2991">
        <w:t xml:space="preserve"> </w:t>
      </w:r>
      <w:r w:rsidR="00FA4EA3">
        <w:t xml:space="preserve"> </w:t>
      </w:r>
    </w:p>
    <w:p w14:paraId="1A167282" w14:textId="6A33A630" w:rsidR="00122763" w:rsidRDefault="00122763" w:rsidP="006C495F"/>
    <w:p w14:paraId="71CB78DF" w14:textId="24884E6E" w:rsidR="00122763" w:rsidRPr="00DB7038" w:rsidRDefault="00122763" w:rsidP="006C495F">
      <w:pPr>
        <w:rPr>
          <w:b/>
          <w:bCs/>
        </w:rPr>
      </w:pPr>
      <w:r w:rsidRPr="00DB7038">
        <w:rPr>
          <w:b/>
          <w:bCs/>
        </w:rPr>
        <w:t xml:space="preserve">Annex </w:t>
      </w:r>
      <w:r w:rsidR="00A133C3" w:rsidRPr="00DB7038">
        <w:rPr>
          <w:b/>
          <w:bCs/>
        </w:rPr>
        <w:t>1a</w:t>
      </w:r>
      <w:r w:rsidRPr="00DB7038">
        <w:rPr>
          <w:b/>
          <w:bCs/>
        </w:rPr>
        <w:t xml:space="preserve">, paragraph </w:t>
      </w:r>
      <w:r w:rsidR="00A133C3" w:rsidRPr="00DB7038">
        <w:rPr>
          <w:b/>
          <w:bCs/>
        </w:rPr>
        <w:t>3.1.1.</w:t>
      </w:r>
      <w:r w:rsidR="00D82437" w:rsidRPr="00DB7038">
        <w:rPr>
          <w:b/>
          <w:bCs/>
        </w:rPr>
        <w:t xml:space="preserve"> and Annex 2b, paragraph </w:t>
      </w:r>
      <w:r w:rsidR="00FE1A15" w:rsidRPr="00DB7038">
        <w:rPr>
          <w:b/>
          <w:bCs/>
        </w:rPr>
        <w:t>4.2.4.</w:t>
      </w:r>
    </w:p>
    <w:p w14:paraId="033E31D2" w14:textId="0D13D295" w:rsidR="002E58DB" w:rsidRPr="00DB7038" w:rsidRDefault="00DB7038" w:rsidP="10C293A8">
      <w:pPr>
        <w:rPr>
          <w:color w:val="333333"/>
        </w:rPr>
      </w:pPr>
      <w:r>
        <w:rPr>
          <w:rFonts w:eastAsia="Segoe UI"/>
          <w:color w:val="333333"/>
          <w:sz w:val="18"/>
          <w:szCs w:val="18"/>
        </w:rPr>
        <w:t>Copy/paste errors: some references to immobilizers should turn to references to VAS.</w:t>
      </w:r>
    </w:p>
    <w:sectPr w:rsidR="002E58DB" w:rsidRPr="00DB703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839FC" w14:textId="77777777" w:rsidR="003A736C" w:rsidRDefault="003A736C" w:rsidP="006041FB">
      <w:pPr>
        <w:spacing w:line="240" w:lineRule="auto"/>
      </w:pPr>
      <w:r>
        <w:separator/>
      </w:r>
    </w:p>
  </w:endnote>
  <w:endnote w:type="continuationSeparator" w:id="0">
    <w:p w14:paraId="3939D85D" w14:textId="77777777" w:rsidR="003A736C" w:rsidRDefault="003A736C" w:rsidP="00604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19E4" w14:textId="77777777" w:rsidR="003A736C" w:rsidRDefault="003A736C" w:rsidP="006041FB">
      <w:pPr>
        <w:spacing w:line="240" w:lineRule="auto"/>
      </w:pPr>
      <w:r>
        <w:separator/>
      </w:r>
    </w:p>
  </w:footnote>
  <w:footnote w:type="continuationSeparator" w:id="0">
    <w:p w14:paraId="18099759" w14:textId="77777777" w:rsidR="003A736C" w:rsidRDefault="003A736C" w:rsidP="00604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426114" w:rsidRPr="00426114" w14:paraId="439CCE4F" w14:textId="77777777" w:rsidTr="00312FD6">
      <w:tc>
        <w:tcPr>
          <w:tcW w:w="3020" w:type="dxa"/>
        </w:tcPr>
        <w:p w14:paraId="1758A71C" w14:textId="77777777" w:rsidR="00426114" w:rsidRPr="00426114" w:rsidRDefault="00426114" w:rsidP="00426114">
          <w:pPr>
            <w:pStyle w:val="Header"/>
          </w:pPr>
          <w:r w:rsidRPr="00426114">
            <w:t>Submitted by OICA</w:t>
          </w:r>
        </w:p>
      </w:tc>
      <w:tc>
        <w:tcPr>
          <w:tcW w:w="3020" w:type="dxa"/>
        </w:tcPr>
        <w:p w14:paraId="3F0FA81A" w14:textId="77777777" w:rsidR="00426114" w:rsidRPr="00426114" w:rsidRDefault="00426114" w:rsidP="00426114">
          <w:pPr>
            <w:pStyle w:val="Header"/>
          </w:pPr>
        </w:p>
      </w:tc>
      <w:tc>
        <w:tcPr>
          <w:tcW w:w="3020" w:type="dxa"/>
        </w:tcPr>
        <w:p w14:paraId="56B0B97F" w14:textId="2BB72295" w:rsidR="00426114" w:rsidRPr="00426114" w:rsidRDefault="00426114" w:rsidP="00426114">
          <w:pPr>
            <w:pStyle w:val="Header"/>
            <w:rPr>
              <w:b/>
              <w:bCs/>
            </w:rPr>
          </w:pPr>
          <w:r w:rsidRPr="00426114">
            <w:rPr>
              <w:u w:val="single"/>
            </w:rPr>
            <w:t>Informal document</w:t>
          </w:r>
          <w:r w:rsidRPr="00426114">
            <w:t xml:space="preserve"> </w:t>
          </w:r>
          <w:r w:rsidRPr="00426114">
            <w:rPr>
              <w:b/>
              <w:bCs/>
            </w:rPr>
            <w:t>GRSG-122-</w:t>
          </w:r>
          <w:r w:rsidR="002B00C7">
            <w:rPr>
              <w:b/>
              <w:bCs/>
            </w:rPr>
            <w:t>11</w:t>
          </w:r>
        </w:p>
        <w:p w14:paraId="54C924FD" w14:textId="43146EE2" w:rsidR="00426114" w:rsidRPr="00426114" w:rsidRDefault="00426114" w:rsidP="00426114">
          <w:pPr>
            <w:pStyle w:val="Header"/>
          </w:pPr>
          <w:r w:rsidRPr="00426114">
            <w:t>(122</w:t>
          </w:r>
          <w:r w:rsidRPr="00426114">
            <w:rPr>
              <w:vertAlign w:val="superscript"/>
            </w:rPr>
            <w:t>nd</w:t>
          </w:r>
          <w:r w:rsidRPr="00426114">
            <w:t xml:space="preserve"> GRSG, 12-15 October 2021 Agenda item 11</w:t>
          </w:r>
          <w:r w:rsidR="000A693F">
            <w:t>d</w:t>
          </w:r>
          <w:r w:rsidRPr="00426114">
            <w:t>)</w:t>
          </w:r>
        </w:p>
      </w:tc>
    </w:tr>
  </w:tbl>
  <w:p w14:paraId="147BA938" w14:textId="77777777" w:rsidR="00426114" w:rsidRPr="00426114" w:rsidRDefault="00426114" w:rsidP="0042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41E"/>
    <w:multiLevelType w:val="hybridMultilevel"/>
    <w:tmpl w:val="87CC476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3DA0437"/>
    <w:multiLevelType w:val="hybridMultilevel"/>
    <w:tmpl w:val="69E87E60"/>
    <w:lvl w:ilvl="0" w:tplc="20A6EF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301EC9"/>
    <w:multiLevelType w:val="hybridMultilevel"/>
    <w:tmpl w:val="527A8F18"/>
    <w:lvl w:ilvl="0" w:tplc="E8FA73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FB"/>
    <w:rsid w:val="00000CE5"/>
    <w:rsid w:val="000326DA"/>
    <w:rsid w:val="00035939"/>
    <w:rsid w:val="0004576D"/>
    <w:rsid w:val="00051BDD"/>
    <w:rsid w:val="000A693F"/>
    <w:rsid w:val="000B2991"/>
    <w:rsid w:val="000B4A06"/>
    <w:rsid w:val="000B622D"/>
    <w:rsid w:val="000C0CD3"/>
    <w:rsid w:val="000D246D"/>
    <w:rsid w:val="000D7D7E"/>
    <w:rsid w:val="001007EE"/>
    <w:rsid w:val="00122763"/>
    <w:rsid w:val="00134970"/>
    <w:rsid w:val="00177240"/>
    <w:rsid w:val="001851C4"/>
    <w:rsid w:val="00185FFE"/>
    <w:rsid w:val="00186AE3"/>
    <w:rsid w:val="001A7424"/>
    <w:rsid w:val="001B1271"/>
    <w:rsid w:val="001B1F47"/>
    <w:rsid w:val="001B60F7"/>
    <w:rsid w:val="001B7F13"/>
    <w:rsid w:val="001E27F9"/>
    <w:rsid w:val="001F0C87"/>
    <w:rsid w:val="001F3CE5"/>
    <w:rsid w:val="00203E21"/>
    <w:rsid w:val="0020629D"/>
    <w:rsid w:val="00211352"/>
    <w:rsid w:val="00217E10"/>
    <w:rsid w:val="00256379"/>
    <w:rsid w:val="00291AEB"/>
    <w:rsid w:val="0029365E"/>
    <w:rsid w:val="00297E00"/>
    <w:rsid w:val="002B00C7"/>
    <w:rsid w:val="002B47E4"/>
    <w:rsid w:val="002B5FE6"/>
    <w:rsid w:val="002C0853"/>
    <w:rsid w:val="002C1DD2"/>
    <w:rsid w:val="002E58DB"/>
    <w:rsid w:val="002E727C"/>
    <w:rsid w:val="00300322"/>
    <w:rsid w:val="00302BC6"/>
    <w:rsid w:val="00315B2D"/>
    <w:rsid w:val="00332E54"/>
    <w:rsid w:val="00333BD6"/>
    <w:rsid w:val="003605D9"/>
    <w:rsid w:val="00370389"/>
    <w:rsid w:val="00371CEC"/>
    <w:rsid w:val="00377B28"/>
    <w:rsid w:val="00380D60"/>
    <w:rsid w:val="003A4AD9"/>
    <w:rsid w:val="003A736C"/>
    <w:rsid w:val="003A7DDE"/>
    <w:rsid w:val="003B5BF8"/>
    <w:rsid w:val="003B7018"/>
    <w:rsid w:val="003D2A7C"/>
    <w:rsid w:val="003E507B"/>
    <w:rsid w:val="003F2C8A"/>
    <w:rsid w:val="0040784E"/>
    <w:rsid w:val="00426114"/>
    <w:rsid w:val="004272C7"/>
    <w:rsid w:val="00451884"/>
    <w:rsid w:val="004531AC"/>
    <w:rsid w:val="004550AD"/>
    <w:rsid w:val="004739BA"/>
    <w:rsid w:val="00485FD9"/>
    <w:rsid w:val="004A4366"/>
    <w:rsid w:val="004B0C53"/>
    <w:rsid w:val="004C597D"/>
    <w:rsid w:val="004C749A"/>
    <w:rsid w:val="004D7854"/>
    <w:rsid w:val="004E3E69"/>
    <w:rsid w:val="004E4BDD"/>
    <w:rsid w:val="004E7CC1"/>
    <w:rsid w:val="00501A3F"/>
    <w:rsid w:val="005276F8"/>
    <w:rsid w:val="00531A10"/>
    <w:rsid w:val="005C15D7"/>
    <w:rsid w:val="005D0F37"/>
    <w:rsid w:val="005F71EA"/>
    <w:rsid w:val="005F7962"/>
    <w:rsid w:val="006041FB"/>
    <w:rsid w:val="0061280A"/>
    <w:rsid w:val="00614E2D"/>
    <w:rsid w:val="00643ECA"/>
    <w:rsid w:val="006771BA"/>
    <w:rsid w:val="006C495F"/>
    <w:rsid w:val="006D2A00"/>
    <w:rsid w:val="007132CA"/>
    <w:rsid w:val="0074125E"/>
    <w:rsid w:val="007731BF"/>
    <w:rsid w:val="007904D3"/>
    <w:rsid w:val="007B48E9"/>
    <w:rsid w:val="007C1ED1"/>
    <w:rsid w:val="007C7D77"/>
    <w:rsid w:val="008060FF"/>
    <w:rsid w:val="0081142F"/>
    <w:rsid w:val="00837EF8"/>
    <w:rsid w:val="00846E8C"/>
    <w:rsid w:val="00854140"/>
    <w:rsid w:val="00874F15"/>
    <w:rsid w:val="00895446"/>
    <w:rsid w:val="008F231B"/>
    <w:rsid w:val="009102BC"/>
    <w:rsid w:val="00920F60"/>
    <w:rsid w:val="00944CA4"/>
    <w:rsid w:val="00973648"/>
    <w:rsid w:val="0098617B"/>
    <w:rsid w:val="009922C7"/>
    <w:rsid w:val="00993D71"/>
    <w:rsid w:val="00996C08"/>
    <w:rsid w:val="009A1A95"/>
    <w:rsid w:val="009A29D0"/>
    <w:rsid w:val="009A431B"/>
    <w:rsid w:val="009A60B7"/>
    <w:rsid w:val="009C4E2F"/>
    <w:rsid w:val="009F55E8"/>
    <w:rsid w:val="00A133C3"/>
    <w:rsid w:val="00A137EB"/>
    <w:rsid w:val="00A33F3B"/>
    <w:rsid w:val="00A4118E"/>
    <w:rsid w:val="00A411C4"/>
    <w:rsid w:val="00A536E8"/>
    <w:rsid w:val="00A60EAD"/>
    <w:rsid w:val="00A84B1A"/>
    <w:rsid w:val="00AB1894"/>
    <w:rsid w:val="00AB4089"/>
    <w:rsid w:val="00AC111D"/>
    <w:rsid w:val="00AC15C7"/>
    <w:rsid w:val="00AC551A"/>
    <w:rsid w:val="00AC79B7"/>
    <w:rsid w:val="00AD6624"/>
    <w:rsid w:val="00AE7814"/>
    <w:rsid w:val="00AF364F"/>
    <w:rsid w:val="00B37BE8"/>
    <w:rsid w:val="00B40029"/>
    <w:rsid w:val="00B5351E"/>
    <w:rsid w:val="00B63EA0"/>
    <w:rsid w:val="00B753CB"/>
    <w:rsid w:val="00BB6BE3"/>
    <w:rsid w:val="00BC1B38"/>
    <w:rsid w:val="00BE7CFA"/>
    <w:rsid w:val="00BF38BB"/>
    <w:rsid w:val="00C16562"/>
    <w:rsid w:val="00C3791B"/>
    <w:rsid w:val="00C51A5B"/>
    <w:rsid w:val="00C54171"/>
    <w:rsid w:val="00C608D4"/>
    <w:rsid w:val="00CB3F14"/>
    <w:rsid w:val="00CD58F8"/>
    <w:rsid w:val="00CDAB94"/>
    <w:rsid w:val="00CE0AC9"/>
    <w:rsid w:val="00CE16ED"/>
    <w:rsid w:val="00CF38D8"/>
    <w:rsid w:val="00D028CA"/>
    <w:rsid w:val="00D02ACB"/>
    <w:rsid w:val="00D17D44"/>
    <w:rsid w:val="00D27879"/>
    <w:rsid w:val="00D27D2D"/>
    <w:rsid w:val="00D31C55"/>
    <w:rsid w:val="00D35153"/>
    <w:rsid w:val="00D4157F"/>
    <w:rsid w:val="00D71609"/>
    <w:rsid w:val="00D82437"/>
    <w:rsid w:val="00D83C04"/>
    <w:rsid w:val="00D8726E"/>
    <w:rsid w:val="00DA4DE6"/>
    <w:rsid w:val="00DB7038"/>
    <w:rsid w:val="00DD2CFA"/>
    <w:rsid w:val="00DD4F5A"/>
    <w:rsid w:val="00DE0066"/>
    <w:rsid w:val="00DF1F5E"/>
    <w:rsid w:val="00E012C0"/>
    <w:rsid w:val="00E04B5F"/>
    <w:rsid w:val="00E4032C"/>
    <w:rsid w:val="00E60878"/>
    <w:rsid w:val="00E625FB"/>
    <w:rsid w:val="00E63FF9"/>
    <w:rsid w:val="00E77523"/>
    <w:rsid w:val="00E82903"/>
    <w:rsid w:val="00EA33B4"/>
    <w:rsid w:val="00EA648A"/>
    <w:rsid w:val="00EB1261"/>
    <w:rsid w:val="00EC642A"/>
    <w:rsid w:val="00EC6836"/>
    <w:rsid w:val="00EE7596"/>
    <w:rsid w:val="00EF0CFE"/>
    <w:rsid w:val="00EF1DE8"/>
    <w:rsid w:val="00F07BD9"/>
    <w:rsid w:val="00F123F0"/>
    <w:rsid w:val="00F13149"/>
    <w:rsid w:val="00F27A17"/>
    <w:rsid w:val="00F50CFA"/>
    <w:rsid w:val="00F74D8D"/>
    <w:rsid w:val="00F76F2B"/>
    <w:rsid w:val="00F77C3B"/>
    <w:rsid w:val="00F90326"/>
    <w:rsid w:val="00FA4EA3"/>
    <w:rsid w:val="00FA7A4C"/>
    <w:rsid w:val="00FA7B7A"/>
    <w:rsid w:val="00FB4E00"/>
    <w:rsid w:val="00FB51C7"/>
    <w:rsid w:val="00FC099C"/>
    <w:rsid w:val="00FD0E08"/>
    <w:rsid w:val="00FE1A15"/>
    <w:rsid w:val="00FF153D"/>
    <w:rsid w:val="10C293A8"/>
    <w:rsid w:val="370483F1"/>
    <w:rsid w:val="5C25EA41"/>
    <w:rsid w:val="610026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D5C6"/>
  <w15:chartTrackingRefBased/>
  <w15:docId w15:val="{102EE0F5-C844-4EFF-B421-4B216A10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F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6041FB"/>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6041FB"/>
    <w:rPr>
      <w:rFonts w:ascii="Times New Roman" w:hAnsi="Times New Roman"/>
      <w:sz w:val="18"/>
      <w:vertAlign w:val="superscript"/>
    </w:rPr>
  </w:style>
  <w:style w:type="paragraph" w:styleId="FootnoteText">
    <w:name w:val="footnote text"/>
    <w:aliases w:val="5_G,PP"/>
    <w:basedOn w:val="Normal"/>
    <w:link w:val="FootnoteTextChar"/>
    <w:rsid w:val="006041FB"/>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6041FB"/>
    <w:rPr>
      <w:rFonts w:ascii="Times New Roman" w:eastAsia="Times New Roman" w:hAnsi="Times New Roman" w:cs="Times New Roman"/>
      <w:sz w:val="18"/>
      <w:szCs w:val="20"/>
      <w:lang w:val="en-GB"/>
    </w:rPr>
  </w:style>
  <w:style w:type="paragraph" w:customStyle="1" w:styleId="para">
    <w:name w:val="para"/>
    <w:basedOn w:val="Normal"/>
    <w:link w:val="paraChar"/>
    <w:rsid w:val="006041FB"/>
    <w:pPr>
      <w:spacing w:after="120"/>
      <w:ind w:left="2268" w:right="1134" w:hanging="1134"/>
      <w:jc w:val="both"/>
    </w:pPr>
  </w:style>
  <w:style w:type="character" w:customStyle="1" w:styleId="paraChar">
    <w:name w:val="para Char"/>
    <w:link w:val="para"/>
    <w:rsid w:val="006041FB"/>
    <w:rPr>
      <w:rFonts w:ascii="Times New Roman" w:eastAsia="Times New Roman" w:hAnsi="Times New Roman" w:cs="Times New Roman"/>
      <w:sz w:val="20"/>
      <w:szCs w:val="20"/>
      <w:lang w:val="en-GB"/>
    </w:rPr>
  </w:style>
  <w:style w:type="character" w:customStyle="1" w:styleId="HChGChar">
    <w:name w:val="_ H _Ch_G Char"/>
    <w:link w:val="HChG"/>
    <w:rsid w:val="006041FB"/>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185FFE"/>
    <w:pPr>
      <w:ind w:left="720"/>
      <w:contextualSpacing/>
    </w:pPr>
  </w:style>
  <w:style w:type="character" w:styleId="CommentReference">
    <w:name w:val="annotation reference"/>
    <w:basedOn w:val="DefaultParagraphFont"/>
    <w:uiPriority w:val="99"/>
    <w:semiHidden/>
    <w:unhideWhenUsed/>
    <w:rsid w:val="00A33F3B"/>
    <w:rPr>
      <w:sz w:val="16"/>
      <w:szCs w:val="16"/>
    </w:rPr>
  </w:style>
  <w:style w:type="paragraph" w:styleId="CommentText">
    <w:name w:val="annotation text"/>
    <w:basedOn w:val="Normal"/>
    <w:link w:val="CommentTextChar"/>
    <w:uiPriority w:val="99"/>
    <w:semiHidden/>
    <w:unhideWhenUsed/>
    <w:rsid w:val="00A33F3B"/>
    <w:pPr>
      <w:spacing w:line="240" w:lineRule="auto"/>
    </w:pPr>
  </w:style>
  <w:style w:type="character" w:customStyle="1" w:styleId="CommentTextChar">
    <w:name w:val="Comment Text Char"/>
    <w:basedOn w:val="DefaultParagraphFont"/>
    <w:link w:val="CommentText"/>
    <w:uiPriority w:val="99"/>
    <w:semiHidden/>
    <w:rsid w:val="00A33F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33F3B"/>
    <w:rPr>
      <w:b/>
      <w:bCs/>
    </w:rPr>
  </w:style>
  <w:style w:type="character" w:customStyle="1" w:styleId="CommentSubjectChar">
    <w:name w:val="Comment Subject Char"/>
    <w:basedOn w:val="CommentTextChar"/>
    <w:link w:val="CommentSubject"/>
    <w:uiPriority w:val="99"/>
    <w:semiHidden/>
    <w:rsid w:val="00A33F3B"/>
    <w:rPr>
      <w:rFonts w:ascii="Times New Roman" w:eastAsia="Times New Roman" w:hAnsi="Times New Roman" w:cs="Times New Roman"/>
      <w:b/>
      <w:bCs/>
      <w:sz w:val="20"/>
      <w:szCs w:val="20"/>
      <w:lang w:val="en-GB"/>
    </w:rPr>
  </w:style>
  <w:style w:type="paragraph" w:customStyle="1" w:styleId="SingleTxtG">
    <w:name w:val="_ Single Txt_G"/>
    <w:basedOn w:val="Normal"/>
    <w:link w:val="SingleTxtGChar"/>
    <w:qFormat/>
    <w:rsid w:val="00D27D2D"/>
    <w:pPr>
      <w:spacing w:after="120"/>
      <w:ind w:left="1134" w:right="1134"/>
      <w:jc w:val="both"/>
    </w:pPr>
    <w:rPr>
      <w:lang w:eastAsia="fr-FR"/>
    </w:rPr>
  </w:style>
  <w:style w:type="character" w:customStyle="1" w:styleId="SingleTxtGChar">
    <w:name w:val="_ Single Txt_G Char"/>
    <w:link w:val="SingleTxtG"/>
    <w:qFormat/>
    <w:rsid w:val="00D27D2D"/>
    <w:rPr>
      <w:rFonts w:ascii="Times New Roman" w:eastAsia="Times New Roman" w:hAnsi="Times New Roman" w:cs="Times New Roman"/>
      <w:sz w:val="20"/>
      <w:szCs w:val="20"/>
      <w:lang w:val="en-GB" w:eastAsia="fr-FR"/>
    </w:rPr>
  </w:style>
  <w:style w:type="paragraph" w:styleId="Header">
    <w:name w:val="header"/>
    <w:basedOn w:val="Normal"/>
    <w:link w:val="HeaderChar"/>
    <w:uiPriority w:val="99"/>
    <w:unhideWhenUsed/>
    <w:rsid w:val="00426114"/>
    <w:pPr>
      <w:tabs>
        <w:tab w:val="center" w:pos="4536"/>
        <w:tab w:val="right" w:pos="9072"/>
      </w:tabs>
      <w:spacing w:line="240" w:lineRule="auto"/>
    </w:pPr>
  </w:style>
  <w:style w:type="character" w:customStyle="1" w:styleId="HeaderChar">
    <w:name w:val="Header Char"/>
    <w:basedOn w:val="DefaultParagraphFont"/>
    <w:link w:val="Header"/>
    <w:uiPriority w:val="99"/>
    <w:rsid w:val="0042611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26114"/>
    <w:pPr>
      <w:tabs>
        <w:tab w:val="center" w:pos="4536"/>
        <w:tab w:val="right" w:pos="9072"/>
      </w:tabs>
      <w:spacing w:line="240" w:lineRule="auto"/>
    </w:pPr>
  </w:style>
  <w:style w:type="character" w:customStyle="1" w:styleId="FooterChar">
    <w:name w:val="Footer Char"/>
    <w:basedOn w:val="DefaultParagraphFont"/>
    <w:link w:val="Footer"/>
    <w:uiPriority w:val="99"/>
    <w:rsid w:val="00426114"/>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564B8-88C7-45C9-9153-00D130547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3EBCD-56FE-4A1A-AAB4-E486ACDE6F5F}">
  <ds:schemaRefs>
    <ds:schemaRef ds:uri="http://schemas.microsoft.com/sharepoint/v3/contenttype/forms"/>
  </ds:schemaRefs>
</ds:datastoreItem>
</file>

<file path=customXml/itemProps3.xml><?xml version="1.0" encoding="utf-8"?>
<ds:datastoreItem xmlns:ds="http://schemas.openxmlformats.org/officeDocument/2006/customXml" ds:itemID="{156B5923-0441-454C-AEEE-8F1110971522}">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 Andreas</dc:creator>
  <cp:keywords/>
  <dc:description/>
  <cp:lastModifiedBy>Benedicte Boudol</cp:lastModifiedBy>
  <cp:revision>2</cp:revision>
  <dcterms:created xsi:type="dcterms:W3CDTF">2021-10-07T14:41:00Z</dcterms:created>
  <dcterms:modified xsi:type="dcterms:W3CDTF">2021-10-07T14:41:00Z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3338300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