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E1FCF" w14:textId="18BEE946" w:rsidR="008C5FC2" w:rsidRDefault="008C5FC2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D2CB9DB" w14:textId="77777777" w:rsidR="008C6C1F" w:rsidRDefault="008C6C1F" w:rsidP="008C6C1F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101FB12" w14:textId="4FE7B61C" w:rsidR="00C27479" w:rsidRDefault="00C27479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74234E1" w14:textId="77777777" w:rsidR="00172F72" w:rsidRDefault="00172F72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409C60D" w14:textId="4A5E9EB5" w:rsidR="00C27479" w:rsidRPr="006E39AE" w:rsidRDefault="00624817" w:rsidP="006E39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8"/>
        <w:jc w:val="center"/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>Correction of</w:t>
      </w:r>
      <w:r w:rsidRPr="00624817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 xml:space="preserve"> errors</w:t>
      </w:r>
      <w:r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 xml:space="preserve"> in the proposal for the 01 series of amendments to </w:t>
      </w:r>
      <w:r w:rsidR="006E39AE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br/>
      </w:r>
      <w:r w:rsidR="009556F5" w:rsidRPr="006E39AE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>UN Regulation No.</w:t>
      </w:r>
      <w:r w:rsidR="007210E9" w:rsidRPr="006E39AE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> </w:t>
      </w:r>
      <w:r w:rsidR="009556F5" w:rsidRPr="006E39AE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>1</w:t>
      </w:r>
      <w:r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>4</w:t>
      </w:r>
      <w:r w:rsidR="00497B69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>9</w:t>
      </w:r>
      <w:r w:rsidR="009556F5" w:rsidRPr="006E39AE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 xml:space="preserve"> (</w:t>
      </w:r>
      <w:r w:rsidR="00497B69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>Road illumination</w:t>
      </w:r>
      <w:r w:rsidRPr="00624817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 xml:space="preserve"> devices</w:t>
      </w:r>
      <w:r w:rsidR="009556F5" w:rsidRPr="006E39AE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>)</w:t>
      </w:r>
    </w:p>
    <w:p w14:paraId="3561AA77" w14:textId="7E1DBB61" w:rsidR="00C27479" w:rsidRDefault="00C27479">
      <w:pPr>
        <w:keepNext/>
        <w:keepLines/>
        <w:suppressAutoHyphens/>
        <w:spacing w:after="120" w:line="240" w:lineRule="auto"/>
        <w:ind w:left="1134" w:righ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5AA7A2A" w14:textId="77777777" w:rsidR="006F13D4" w:rsidRDefault="006F13D4">
      <w:pPr>
        <w:keepNext/>
        <w:keepLines/>
        <w:suppressAutoHyphens/>
        <w:spacing w:after="120" w:line="240" w:lineRule="auto"/>
        <w:ind w:left="1134" w:righ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2FE2754" w14:textId="11980A3C" w:rsidR="006E39AE" w:rsidRDefault="009556F5" w:rsidP="006E39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0" w:lineRule="atLeast"/>
        <w:ind w:right="-8"/>
        <w:jc w:val="both"/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</w:pP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The text reproduced below was prepared by </w:t>
      </w:r>
      <w:r w:rsidR="007210E9"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the GRE </w:t>
      </w: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Informal Working Group on Simplification of Lighting and Light-Signalling Regulations (IWG SLR) with the aim to </w:t>
      </w:r>
      <w:r w:rsidR="00624817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correct some errors identified in the proposal for the 01 series of amendments to </w:t>
      </w: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UN Regulation No. 1</w:t>
      </w:r>
      <w:r w:rsidR="00624817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4</w:t>
      </w:r>
      <w:r w:rsidR="00497B69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9</w:t>
      </w:r>
      <w:r w:rsidR="00624817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 (doc. </w:t>
      </w:r>
      <w:r w:rsidR="00624817" w:rsidRPr="00624817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ECE/TRANS/WP.29/GRE/2021/1</w:t>
      </w:r>
      <w:r w:rsidR="00497B69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4</w:t>
      </w:r>
      <w:r w:rsidR="00624817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)</w:t>
      </w: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.</w:t>
      </w:r>
    </w:p>
    <w:p w14:paraId="21BCA7CC" w14:textId="77777777" w:rsidR="006E39AE" w:rsidRDefault="006E39AE" w:rsidP="006E39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0" w:lineRule="atLeast"/>
        <w:ind w:right="-8"/>
        <w:jc w:val="both"/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</w:pPr>
    </w:p>
    <w:p w14:paraId="7ED56634" w14:textId="64291BBF" w:rsidR="00C27479" w:rsidRDefault="009556F5" w:rsidP="006E39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0" w:lineRule="atLeast"/>
        <w:ind w:right="-8"/>
        <w:jc w:val="both"/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</w:pP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The modifications to </w:t>
      </w:r>
      <w:r w:rsidR="00624817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text in document </w:t>
      </w:r>
      <w:r w:rsidR="00624817" w:rsidRPr="00624817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ECE/TRANS/WP.29/GRE/2021/1</w:t>
      </w:r>
      <w:r w:rsidR="00497B69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4</w:t>
      </w:r>
      <w:r w:rsidR="00624817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 </w:t>
      </w: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are marked in bold for new or strikethrough for deleted </w:t>
      </w: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/>
        </w:rPr>
        <w:t>characters</w:t>
      </w: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.</w:t>
      </w:r>
      <w:r w:rsidR="009E4D55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 </w:t>
      </w:r>
      <w:r w:rsidR="007804DF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For prompt reference, all the modifications are highlighted in yellow</w:t>
      </w:r>
      <w:r w:rsidR="009E4D55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.</w:t>
      </w:r>
    </w:p>
    <w:p w14:paraId="6D40CDD2" w14:textId="6A24E640" w:rsidR="006F13D4" w:rsidRDefault="006F13D4" w:rsidP="006E39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0" w:lineRule="atLeast"/>
        <w:ind w:right="-8"/>
        <w:jc w:val="both"/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</w:pPr>
    </w:p>
    <w:p w14:paraId="24A213EC" w14:textId="65F18A47" w:rsidR="003644A5" w:rsidRDefault="003644A5">
      <w:pPr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</w:pPr>
    </w:p>
    <w:p w14:paraId="7E52BFB3" w14:textId="77777777" w:rsidR="00302F7B" w:rsidRDefault="00302F7B">
      <w:pPr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</w:pPr>
    </w:p>
    <w:p w14:paraId="3C4DF36C" w14:textId="77777777" w:rsidR="00C27479" w:rsidRDefault="009556F5">
      <w:pPr>
        <w:pStyle w:val="HChG"/>
        <w:spacing w:before="240"/>
        <w:rPr>
          <w:b w:val="0"/>
          <w:lang w:val="en-US"/>
        </w:rPr>
      </w:pPr>
      <w:r>
        <w:rPr>
          <w:lang w:val="en-US"/>
        </w:rPr>
        <w:tab/>
        <w:t>I.</w:t>
      </w:r>
      <w:r>
        <w:rPr>
          <w:lang w:val="en-US"/>
        </w:rPr>
        <w:tab/>
        <w:t>Proposal</w:t>
      </w:r>
    </w:p>
    <w:p w14:paraId="69C579C4" w14:textId="1D90E2A9" w:rsidR="00553975" w:rsidRDefault="00553975" w:rsidP="00553975">
      <w:pPr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 xml:space="preserve">Table </w:t>
      </w:r>
      <w:r w:rsidRPr="00EA207C">
        <w:rPr>
          <w:rFonts w:ascii="Times New Roman" w:eastAsia="Times New Roman" w:hAnsi="Times New Roman" w:cs="Times New Roman"/>
          <w:i/>
          <w:lang w:val="en-US"/>
        </w:rPr>
        <w:t>7</w:t>
      </w:r>
      <w:r w:rsidRPr="00EA207C">
        <w:rPr>
          <w:rFonts w:asciiTheme="majorBidi" w:hAnsiTheme="majorBidi" w:cstheme="majorBidi"/>
          <w:i/>
          <w:lang w:val="en-US"/>
        </w:rPr>
        <w:t>,</w:t>
      </w:r>
      <w:r w:rsidR="00EA207C" w:rsidRPr="00EA207C">
        <w:rPr>
          <w:rFonts w:asciiTheme="majorBidi" w:hAnsiTheme="majorBidi" w:cstheme="majorBidi"/>
          <w:i/>
          <w:lang w:val="en-US"/>
        </w:rPr>
        <w:t xml:space="preserve"> Part A,</w:t>
      </w:r>
      <w:r>
        <w:rPr>
          <w:rFonts w:asciiTheme="majorBidi" w:hAnsiTheme="majorBidi" w:cstheme="majorBidi"/>
          <w:lang w:val="en-US"/>
        </w:rPr>
        <w:t xml:space="preserve"> amend to read:</w:t>
      </w:r>
    </w:p>
    <w:p w14:paraId="030DC8AC" w14:textId="5D9EBC4B" w:rsidR="00553975" w:rsidRDefault="00553975" w:rsidP="00553975">
      <w:pPr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“</w:t>
      </w: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314"/>
        <w:gridCol w:w="1699"/>
        <w:gridCol w:w="709"/>
        <w:gridCol w:w="992"/>
        <w:gridCol w:w="706"/>
        <w:gridCol w:w="678"/>
        <w:gridCol w:w="709"/>
        <w:gridCol w:w="709"/>
        <w:gridCol w:w="709"/>
        <w:gridCol w:w="708"/>
        <w:gridCol w:w="709"/>
        <w:gridCol w:w="709"/>
      </w:tblGrid>
      <w:tr w:rsidR="00553975" w:rsidRPr="00F13D8E" w14:paraId="42EFFE6E" w14:textId="77777777" w:rsidTr="007A3CAF">
        <w:trPr>
          <w:jc w:val="center"/>
        </w:trPr>
        <w:tc>
          <w:tcPr>
            <w:tcW w:w="31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2D197664" w14:textId="2E0BD300" w:rsidR="00553975" w:rsidRPr="00420533" w:rsidRDefault="00553975" w:rsidP="007A3CAF">
            <w:pPr>
              <w:keepNext/>
              <w:spacing w:before="20" w:after="20" w:line="240" w:lineRule="auto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44DF98D1" w14:textId="77777777" w:rsidR="00553975" w:rsidRPr="003E3BD4" w:rsidRDefault="00553975" w:rsidP="007A3CAF">
            <w:pPr>
              <w:keepNext/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3E3BD4">
              <w:rPr>
                <w:b/>
                <w:bCs/>
                <w:i/>
                <w:sz w:val="16"/>
                <w:szCs w:val="16"/>
              </w:rPr>
              <w:t>Element</w:t>
            </w: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6767F" w14:textId="77777777" w:rsidR="00553975" w:rsidRPr="003E3BD4" w:rsidRDefault="00553975" w:rsidP="007A3CAF">
            <w:pPr>
              <w:keepNext/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3E3BD4">
              <w:rPr>
                <w:rFonts w:eastAsia="HGSGothicM"/>
                <w:b/>
                <w:bCs/>
                <w:i/>
                <w:sz w:val="16"/>
                <w:szCs w:val="16"/>
              </w:rPr>
              <w:t>Angular coordinates in deg.</w:t>
            </w:r>
          </w:p>
        </w:tc>
        <w:tc>
          <w:tcPr>
            <w:tcW w:w="563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CC78C" w14:textId="77777777" w:rsidR="00553975" w:rsidRPr="003E3BD4" w:rsidRDefault="00553975" w:rsidP="007A3CAF">
            <w:pPr>
              <w:keepNext/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3E3BD4">
              <w:rPr>
                <w:b/>
                <w:bCs/>
                <w:i/>
                <w:sz w:val="16"/>
                <w:szCs w:val="16"/>
              </w:rPr>
              <w:t>Luminous intensity in cd</w:t>
            </w:r>
          </w:p>
        </w:tc>
      </w:tr>
      <w:tr w:rsidR="00553975" w:rsidRPr="00F13D8E" w14:paraId="4388D425" w14:textId="77777777" w:rsidTr="007A3CAF">
        <w:trPr>
          <w:jc w:val="center"/>
        </w:trPr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0A120" w14:textId="77777777" w:rsidR="00553975" w:rsidRPr="00F13D8E" w:rsidRDefault="00553975" w:rsidP="007A3CAF">
            <w:pPr>
              <w:keepNext/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vAlign w:val="center"/>
          </w:tcPr>
          <w:p w14:paraId="0F31EFF7" w14:textId="77777777" w:rsidR="00553975" w:rsidRPr="003E3BD4" w:rsidRDefault="00553975" w:rsidP="007A3CAF">
            <w:pPr>
              <w:keepNext/>
              <w:spacing w:before="20" w:after="2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F9812" w14:textId="77777777" w:rsidR="00553975" w:rsidRPr="003E3BD4" w:rsidRDefault="00553975" w:rsidP="007A3CAF">
            <w:pPr>
              <w:keepNext/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3E3BD4">
              <w:rPr>
                <w:b/>
                <w:bCs/>
                <w:i/>
                <w:sz w:val="16"/>
                <w:szCs w:val="16"/>
              </w:rPr>
              <w:t>vertical</w:t>
            </w:r>
          </w:p>
        </w:tc>
        <w:tc>
          <w:tcPr>
            <w:tcW w:w="9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9ACFF" w14:textId="77777777" w:rsidR="00553975" w:rsidRPr="003E3BD4" w:rsidRDefault="00553975" w:rsidP="007A3CAF">
            <w:pPr>
              <w:keepNext/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3E3BD4">
              <w:rPr>
                <w:b/>
                <w:bCs/>
                <w:i/>
                <w:sz w:val="16"/>
                <w:szCs w:val="16"/>
              </w:rPr>
              <w:t>horizontal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EB743" w14:textId="77777777" w:rsidR="00553975" w:rsidRPr="003E3BD4" w:rsidRDefault="00553975" w:rsidP="007A3CAF">
            <w:pPr>
              <w:keepNext/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3E3BD4">
              <w:rPr>
                <w:b/>
                <w:bCs/>
                <w:i/>
                <w:sz w:val="16"/>
                <w:szCs w:val="16"/>
              </w:rPr>
              <w:t>Class C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94C4B" w14:textId="77777777" w:rsidR="00553975" w:rsidRPr="003E3BD4" w:rsidRDefault="00553975" w:rsidP="007A3CAF">
            <w:pPr>
              <w:keepNext/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3E3BD4">
              <w:rPr>
                <w:b/>
                <w:bCs/>
                <w:i/>
                <w:sz w:val="16"/>
                <w:szCs w:val="16"/>
              </w:rPr>
              <w:t>Class V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0D9F9" w14:textId="77777777" w:rsidR="00553975" w:rsidRPr="003E3BD4" w:rsidRDefault="00553975" w:rsidP="007A3CAF">
            <w:pPr>
              <w:keepNext/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3E3BD4">
              <w:rPr>
                <w:b/>
                <w:bCs/>
                <w:i/>
                <w:sz w:val="16"/>
                <w:szCs w:val="16"/>
              </w:rPr>
              <w:t>Class 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701B1" w14:textId="77777777" w:rsidR="00553975" w:rsidRPr="003E3BD4" w:rsidRDefault="00553975" w:rsidP="007A3CAF">
            <w:pPr>
              <w:keepNext/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3E3BD4">
              <w:rPr>
                <w:b/>
                <w:bCs/>
                <w:i/>
                <w:sz w:val="16"/>
                <w:szCs w:val="16"/>
              </w:rPr>
              <w:t xml:space="preserve">Class W </w:t>
            </w:r>
            <w:r w:rsidRPr="003E3BD4">
              <w:rPr>
                <w:b/>
                <w:bCs/>
                <w:sz w:val="16"/>
                <w:szCs w:val="16"/>
                <w:vertAlign w:val="superscript"/>
              </w:rPr>
              <w:t>b</w:t>
            </w:r>
          </w:p>
        </w:tc>
      </w:tr>
      <w:tr w:rsidR="00553975" w:rsidRPr="00F13D8E" w14:paraId="7304A1C1" w14:textId="77777777" w:rsidTr="007A3CAF">
        <w:trPr>
          <w:jc w:val="center"/>
        </w:trPr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F5832" w14:textId="77777777" w:rsidR="00553975" w:rsidRPr="00F13D8E" w:rsidRDefault="00553975" w:rsidP="007A3CAF">
            <w:pPr>
              <w:keepNext/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75E50" w14:textId="77777777" w:rsidR="00553975" w:rsidRPr="003E3BD4" w:rsidRDefault="00553975" w:rsidP="007A3CAF">
            <w:pPr>
              <w:keepNext/>
              <w:spacing w:before="20" w:after="20" w:line="240" w:lineRule="auto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A0F7B" w14:textId="77777777" w:rsidR="00553975" w:rsidRPr="003E3BD4" w:rsidRDefault="00553975" w:rsidP="007A3CAF">
            <w:pPr>
              <w:keepNext/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0DB84" w14:textId="77777777" w:rsidR="00553975" w:rsidRPr="003E3BD4" w:rsidRDefault="00553975" w:rsidP="007A3CAF">
            <w:pPr>
              <w:keepNext/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23E21" w14:textId="77777777" w:rsidR="00553975" w:rsidRPr="003E3BD4" w:rsidRDefault="00553975" w:rsidP="007A3CAF">
            <w:pPr>
              <w:keepNext/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3E3BD4">
              <w:rPr>
                <w:b/>
                <w:bCs/>
                <w:i/>
                <w:sz w:val="16"/>
                <w:szCs w:val="16"/>
              </w:rPr>
              <w:t>min</w:t>
            </w:r>
          </w:p>
        </w:tc>
        <w:tc>
          <w:tcPr>
            <w:tcW w:w="678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65667" w14:textId="77777777" w:rsidR="00553975" w:rsidRPr="003E3BD4" w:rsidRDefault="00553975" w:rsidP="007A3CAF">
            <w:pPr>
              <w:keepNext/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3E3BD4">
              <w:rPr>
                <w:b/>
                <w:bCs/>
                <w:i/>
                <w:sz w:val="16"/>
                <w:szCs w:val="16"/>
              </w:rPr>
              <w:t>max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D5BCC" w14:textId="77777777" w:rsidR="00553975" w:rsidRPr="003E3BD4" w:rsidRDefault="00553975" w:rsidP="007A3CAF">
            <w:pPr>
              <w:keepNext/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3E3BD4">
              <w:rPr>
                <w:b/>
                <w:bCs/>
                <w:i/>
                <w:sz w:val="16"/>
                <w:szCs w:val="16"/>
              </w:rPr>
              <w:t>min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78BA9" w14:textId="77777777" w:rsidR="00553975" w:rsidRPr="003E3BD4" w:rsidRDefault="00553975" w:rsidP="007A3CAF">
            <w:pPr>
              <w:keepNext/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3E3BD4">
              <w:rPr>
                <w:b/>
                <w:bCs/>
                <w:i/>
                <w:sz w:val="16"/>
                <w:szCs w:val="16"/>
              </w:rPr>
              <w:t>max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5A82F" w14:textId="77777777" w:rsidR="00553975" w:rsidRPr="003E3BD4" w:rsidRDefault="00553975" w:rsidP="007A3CAF">
            <w:pPr>
              <w:keepNext/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3E3BD4">
              <w:rPr>
                <w:b/>
                <w:bCs/>
                <w:i/>
                <w:sz w:val="16"/>
                <w:szCs w:val="16"/>
              </w:rPr>
              <w:t>min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21274" w14:textId="77777777" w:rsidR="00553975" w:rsidRPr="003E3BD4" w:rsidRDefault="00553975" w:rsidP="007A3CAF">
            <w:pPr>
              <w:keepNext/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3E3BD4">
              <w:rPr>
                <w:b/>
                <w:bCs/>
                <w:i/>
                <w:sz w:val="16"/>
                <w:szCs w:val="16"/>
              </w:rPr>
              <w:t>max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ABDE3" w14:textId="77777777" w:rsidR="00553975" w:rsidRPr="003E3BD4" w:rsidRDefault="00553975" w:rsidP="007A3CAF">
            <w:pPr>
              <w:keepNext/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3E3BD4">
              <w:rPr>
                <w:b/>
                <w:bCs/>
                <w:i/>
                <w:sz w:val="16"/>
                <w:szCs w:val="16"/>
              </w:rPr>
              <w:t>min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38DD2" w14:textId="77777777" w:rsidR="00553975" w:rsidRPr="003E3BD4" w:rsidRDefault="00553975" w:rsidP="007A3CAF">
            <w:pPr>
              <w:keepNext/>
              <w:spacing w:before="20" w:after="2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3E3BD4">
              <w:rPr>
                <w:b/>
                <w:bCs/>
                <w:i/>
                <w:sz w:val="16"/>
                <w:szCs w:val="16"/>
              </w:rPr>
              <w:t>max</w:t>
            </w:r>
          </w:p>
        </w:tc>
      </w:tr>
    </w:tbl>
    <w:p w14:paraId="54E6357F" w14:textId="6ACC1BCF" w:rsidR="00553975" w:rsidRPr="00553975" w:rsidRDefault="00553975" w:rsidP="00553975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553975">
        <w:rPr>
          <w:rFonts w:ascii="Times New Roman" w:eastAsia="Times New Roman" w:hAnsi="Times New Roman" w:cs="Times New Roman"/>
          <w:i/>
          <w:lang w:val="en-US"/>
        </w:rPr>
        <w:t>…</w:t>
      </w: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314"/>
        <w:gridCol w:w="1699"/>
        <w:gridCol w:w="709"/>
        <w:gridCol w:w="992"/>
        <w:gridCol w:w="706"/>
        <w:gridCol w:w="678"/>
        <w:gridCol w:w="709"/>
        <w:gridCol w:w="709"/>
        <w:gridCol w:w="709"/>
        <w:gridCol w:w="708"/>
        <w:gridCol w:w="709"/>
        <w:gridCol w:w="709"/>
      </w:tblGrid>
      <w:tr w:rsidR="00703BE6" w:rsidRPr="00F13D8E" w14:paraId="193E2B80" w14:textId="77777777" w:rsidTr="00940DEB">
        <w:trPr>
          <w:jc w:val="center"/>
        </w:trPr>
        <w:tc>
          <w:tcPr>
            <w:tcW w:w="31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5D03F82F" w14:textId="0F095D61" w:rsidR="00703BE6" w:rsidRPr="00F13D8E" w:rsidRDefault="00703BE6" w:rsidP="00940DEB">
            <w:pPr>
              <w:keepNext/>
              <w:spacing w:before="20" w:after="2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 A</w:t>
            </w: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5193C" w14:textId="77777777" w:rsidR="00703BE6" w:rsidRPr="00F13D8E" w:rsidRDefault="00703BE6" w:rsidP="007A3CAF">
            <w:pPr>
              <w:keepNext/>
              <w:spacing w:before="20" w:after="20" w:line="240" w:lineRule="auto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Segment 50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5FDCB" w14:textId="77777777" w:rsidR="00703BE6" w:rsidRPr="00F13D8E" w:rsidRDefault="00703BE6" w:rsidP="007A3CAF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0.86°D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63D45" w14:textId="77777777" w:rsidR="00703BE6" w:rsidRPr="00F13D8E" w:rsidRDefault="00703BE6" w:rsidP="007A3CAF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6.84°L to 6.84°R</w:t>
            </w:r>
          </w:p>
        </w:tc>
        <w:tc>
          <w:tcPr>
            <w:tcW w:w="7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968D0" w14:textId="77777777" w:rsidR="00703BE6" w:rsidRPr="00F13D8E" w:rsidRDefault="00703BE6" w:rsidP="007A3CAF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2.54∙10</w:t>
            </w:r>
            <w:r w:rsidRPr="00F13D8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8" w:type="dxa"/>
            <w:vAlign w:val="center"/>
          </w:tcPr>
          <w:p w14:paraId="1F36F138" w14:textId="77777777" w:rsidR="00703BE6" w:rsidRPr="00F13D8E" w:rsidRDefault="00703BE6" w:rsidP="007A3CAF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0BC5A" w14:textId="77777777" w:rsidR="00703BE6" w:rsidRPr="00F13D8E" w:rsidRDefault="00703BE6" w:rsidP="007A3CAF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1.80∙10</w:t>
            </w:r>
            <w:r w:rsidRPr="00F13D8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67559" w14:textId="77777777" w:rsidR="00703BE6" w:rsidRPr="00F13D8E" w:rsidRDefault="00703BE6" w:rsidP="007A3CAF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0E16C" w14:textId="77777777" w:rsidR="00703BE6" w:rsidRPr="00F13D8E" w:rsidRDefault="00703BE6" w:rsidP="007A3CAF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2.54∙10</w:t>
            </w:r>
            <w:r w:rsidRPr="00F13D8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4E373" w14:textId="77777777" w:rsidR="00703BE6" w:rsidRPr="00F13D8E" w:rsidRDefault="00703BE6" w:rsidP="007A3CAF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665F3" w14:textId="77777777" w:rsidR="00703BE6" w:rsidRPr="00F13D8E" w:rsidRDefault="00703BE6" w:rsidP="007A3CAF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2.54∙10</w:t>
            </w:r>
            <w:r w:rsidRPr="00F13D8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21DCE" w14:textId="77777777" w:rsidR="00703BE6" w:rsidRPr="00F13D8E" w:rsidRDefault="00703BE6" w:rsidP="007A3CAF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-</w:t>
            </w:r>
          </w:p>
        </w:tc>
      </w:tr>
      <w:tr w:rsidR="00703BE6" w:rsidRPr="00F13D8E" w14:paraId="4282450A" w14:textId="77777777" w:rsidTr="007A3CAF">
        <w:trPr>
          <w:jc w:val="center"/>
        </w:trPr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B779E" w14:textId="77777777" w:rsidR="00703BE6" w:rsidRPr="00F13D8E" w:rsidRDefault="00703BE6" w:rsidP="00703BE6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8C90E" w14:textId="22101C12" w:rsidR="00703BE6" w:rsidRPr="00703BE6" w:rsidRDefault="00703BE6" w:rsidP="00703BE6">
            <w:pPr>
              <w:keepNext/>
              <w:spacing w:before="20" w:after="20" w:line="240" w:lineRule="auto"/>
              <w:rPr>
                <w:b/>
                <w:bCs/>
                <w:sz w:val="16"/>
                <w:szCs w:val="16"/>
                <w:highlight w:val="yellow"/>
              </w:rPr>
            </w:pPr>
            <w:r w:rsidRPr="00703BE6">
              <w:rPr>
                <w:b/>
                <w:bCs/>
                <w:sz w:val="16"/>
                <w:szCs w:val="16"/>
                <w:highlight w:val="yellow"/>
              </w:rPr>
              <w:t>Segment 40LL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6040F" w14:textId="5F119682" w:rsidR="00703BE6" w:rsidRPr="00703BE6" w:rsidRDefault="00703BE6" w:rsidP="00703BE6">
            <w:pPr>
              <w:keepNext/>
              <w:spacing w:before="20" w:after="20" w:line="240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703BE6">
              <w:rPr>
                <w:b/>
                <w:bCs/>
                <w:sz w:val="16"/>
                <w:szCs w:val="16"/>
                <w:highlight w:val="yellow"/>
              </w:rPr>
              <w:t>1.07°D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6BBD1" w14:textId="40C7ED5E" w:rsidR="00703BE6" w:rsidRPr="00703BE6" w:rsidRDefault="00703BE6" w:rsidP="00703BE6">
            <w:pPr>
              <w:keepNext/>
              <w:spacing w:before="20" w:after="20" w:line="240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703BE6">
              <w:rPr>
                <w:b/>
                <w:bCs/>
                <w:sz w:val="16"/>
                <w:szCs w:val="16"/>
                <w:highlight w:val="yellow"/>
              </w:rPr>
              <w:t>14°L to 9°L</w:t>
            </w:r>
          </w:p>
        </w:tc>
        <w:tc>
          <w:tcPr>
            <w:tcW w:w="7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0313F" w14:textId="50E9F774" w:rsidR="00703BE6" w:rsidRPr="00703BE6" w:rsidRDefault="00703BE6" w:rsidP="00703BE6">
            <w:pPr>
              <w:keepNext/>
              <w:spacing w:before="20" w:after="20" w:line="240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703BE6">
              <w:rPr>
                <w:b/>
                <w:bCs/>
                <w:sz w:val="16"/>
                <w:szCs w:val="16"/>
                <w:highlight w:val="yellow"/>
              </w:rPr>
              <w:t>8.50∙10</w:t>
            </w:r>
            <w:r w:rsidRPr="00703BE6">
              <w:rPr>
                <w:b/>
                <w:bCs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  <w:tc>
          <w:tcPr>
            <w:tcW w:w="678" w:type="dxa"/>
            <w:vAlign w:val="center"/>
          </w:tcPr>
          <w:p w14:paraId="61FDFC13" w14:textId="3AC701D8" w:rsidR="00703BE6" w:rsidRPr="00703BE6" w:rsidRDefault="00703BE6" w:rsidP="00703BE6">
            <w:pPr>
              <w:keepNext/>
              <w:spacing w:before="20" w:after="20" w:line="240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703BE6">
              <w:rPr>
                <w:b/>
                <w:bCs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C5BF6" w14:textId="7F9E9A1A" w:rsidR="00703BE6" w:rsidRPr="00703BE6" w:rsidRDefault="00703BE6" w:rsidP="00703BE6">
            <w:pPr>
              <w:keepNext/>
              <w:spacing w:before="20" w:after="20" w:line="240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703BE6">
              <w:rPr>
                <w:b/>
                <w:bCs/>
                <w:sz w:val="16"/>
                <w:szCs w:val="16"/>
                <w:highlight w:val="yellow"/>
              </w:rPr>
              <w:t>6.00∙10</w:t>
            </w:r>
            <w:r w:rsidRPr="00703BE6">
              <w:rPr>
                <w:b/>
                <w:bCs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0DE42" w14:textId="028AC119" w:rsidR="00703BE6" w:rsidRPr="00703BE6" w:rsidRDefault="00703BE6" w:rsidP="00703BE6">
            <w:pPr>
              <w:keepNext/>
              <w:spacing w:before="20" w:after="20" w:line="240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703BE6">
              <w:rPr>
                <w:b/>
                <w:bCs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B6769" w14:textId="201E940E" w:rsidR="00703BE6" w:rsidRPr="00703BE6" w:rsidRDefault="00703BE6" w:rsidP="00703BE6">
            <w:pPr>
              <w:keepNext/>
              <w:spacing w:before="20" w:after="20" w:line="240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703BE6">
              <w:rPr>
                <w:b/>
                <w:bCs/>
                <w:sz w:val="16"/>
                <w:szCs w:val="16"/>
                <w:highlight w:val="yellow"/>
              </w:rPr>
              <w:t>8.50∙10</w:t>
            </w:r>
            <w:r w:rsidRPr="00703BE6">
              <w:rPr>
                <w:b/>
                <w:bCs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B1465" w14:textId="5022AADD" w:rsidR="00703BE6" w:rsidRPr="00703BE6" w:rsidRDefault="00703BE6" w:rsidP="00703BE6">
            <w:pPr>
              <w:keepNext/>
              <w:spacing w:before="20" w:after="20" w:line="240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703BE6">
              <w:rPr>
                <w:b/>
                <w:bCs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A13BA" w14:textId="5D01BF98" w:rsidR="00703BE6" w:rsidRPr="00703BE6" w:rsidRDefault="00703BE6" w:rsidP="00703BE6">
            <w:pPr>
              <w:keepNext/>
              <w:spacing w:before="20" w:after="20" w:line="240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703BE6">
              <w:rPr>
                <w:b/>
                <w:bCs/>
                <w:sz w:val="16"/>
                <w:szCs w:val="16"/>
                <w:highlight w:val="yellow"/>
              </w:rPr>
              <w:t>8.50∙10</w:t>
            </w:r>
            <w:r w:rsidRPr="00703BE6">
              <w:rPr>
                <w:b/>
                <w:bCs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3806A" w14:textId="272005DC" w:rsidR="00703BE6" w:rsidRPr="00703BE6" w:rsidRDefault="00703BE6" w:rsidP="00703BE6">
            <w:pPr>
              <w:keepNext/>
              <w:spacing w:before="20" w:after="20" w:line="240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703BE6">
              <w:rPr>
                <w:b/>
                <w:bCs/>
                <w:sz w:val="16"/>
                <w:szCs w:val="16"/>
                <w:highlight w:val="yellow"/>
              </w:rPr>
              <w:t>-</w:t>
            </w:r>
          </w:p>
        </w:tc>
      </w:tr>
      <w:tr w:rsidR="00703BE6" w:rsidRPr="00F13D8E" w14:paraId="33246A3A" w14:textId="77777777" w:rsidTr="007A3CAF">
        <w:trPr>
          <w:jc w:val="center"/>
        </w:trPr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781CE" w14:textId="77777777" w:rsidR="00703BE6" w:rsidRPr="00F13D8E" w:rsidRDefault="00703BE6" w:rsidP="00703BE6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B6711" w14:textId="77777777" w:rsidR="00703BE6" w:rsidRPr="00F13D8E" w:rsidRDefault="00703BE6" w:rsidP="00703BE6">
            <w:pPr>
              <w:keepNext/>
              <w:spacing w:before="20" w:after="20" w:line="240" w:lineRule="auto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40L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DEFF6" w14:textId="77777777" w:rsidR="00703BE6" w:rsidRPr="00F13D8E" w:rsidRDefault="00703BE6" w:rsidP="00703BE6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1.07°D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B8E40" w14:textId="730366ED" w:rsidR="00703BE6" w:rsidRPr="00F13D8E" w:rsidRDefault="00703BE6" w:rsidP="00703BE6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703BE6">
              <w:rPr>
                <w:b/>
                <w:bCs/>
                <w:sz w:val="16"/>
                <w:szCs w:val="16"/>
                <w:highlight w:val="yellow"/>
              </w:rPr>
              <w:t>9°L</w:t>
            </w:r>
            <w:r w:rsidRPr="00703BE6">
              <w:rPr>
                <w:strike/>
                <w:sz w:val="16"/>
                <w:szCs w:val="16"/>
                <w:highlight w:val="yellow"/>
              </w:rPr>
              <w:t>14°L</w:t>
            </w:r>
          </w:p>
        </w:tc>
        <w:tc>
          <w:tcPr>
            <w:tcW w:w="7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D1DF1" w14:textId="77777777" w:rsidR="00703BE6" w:rsidRPr="00F13D8E" w:rsidRDefault="00703BE6" w:rsidP="00703BE6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2.80∙10</w:t>
            </w:r>
            <w:r w:rsidRPr="00F13D8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8" w:type="dxa"/>
            <w:vAlign w:val="center"/>
          </w:tcPr>
          <w:p w14:paraId="39828795" w14:textId="77777777" w:rsidR="00703BE6" w:rsidRPr="00F13D8E" w:rsidRDefault="00703BE6" w:rsidP="00703BE6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84195" w14:textId="77777777" w:rsidR="00703BE6" w:rsidRPr="00F13D8E" w:rsidRDefault="00703BE6" w:rsidP="00703BE6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1.95∙10</w:t>
            </w:r>
            <w:r w:rsidRPr="00F13D8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8E4E4" w14:textId="77777777" w:rsidR="00703BE6" w:rsidRPr="00F13D8E" w:rsidRDefault="00703BE6" w:rsidP="00703BE6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1F105" w14:textId="77777777" w:rsidR="00703BE6" w:rsidRPr="00F13D8E" w:rsidRDefault="00703BE6" w:rsidP="00703BE6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2.80∙10</w:t>
            </w:r>
            <w:r w:rsidRPr="00F13D8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81FC3" w14:textId="77777777" w:rsidR="00703BE6" w:rsidRPr="00F13D8E" w:rsidRDefault="00703BE6" w:rsidP="00703BE6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7589A" w14:textId="77777777" w:rsidR="00703BE6" w:rsidRPr="00F13D8E" w:rsidRDefault="00703BE6" w:rsidP="00703BE6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2.80∙10</w:t>
            </w:r>
            <w:r w:rsidRPr="00F13D8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EE0D6" w14:textId="77777777" w:rsidR="00703BE6" w:rsidRPr="00F13D8E" w:rsidRDefault="00703BE6" w:rsidP="00703BE6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-</w:t>
            </w:r>
          </w:p>
        </w:tc>
      </w:tr>
      <w:tr w:rsidR="00703BE6" w:rsidRPr="00F13D8E" w14:paraId="62404D99" w14:textId="77777777" w:rsidTr="007A3CAF">
        <w:trPr>
          <w:jc w:val="center"/>
        </w:trPr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C0FE9" w14:textId="77777777" w:rsidR="00703BE6" w:rsidRPr="00F13D8E" w:rsidRDefault="00703BE6" w:rsidP="00703BE6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B1325" w14:textId="60F9C075" w:rsidR="00703BE6" w:rsidRPr="00703BE6" w:rsidRDefault="00703BE6" w:rsidP="00703BE6">
            <w:pPr>
              <w:keepNext/>
              <w:spacing w:before="20" w:after="20" w:line="240" w:lineRule="auto"/>
              <w:rPr>
                <w:strike/>
                <w:sz w:val="16"/>
                <w:szCs w:val="16"/>
                <w:highlight w:val="yellow"/>
              </w:rPr>
            </w:pPr>
            <w:r w:rsidRPr="00703BE6">
              <w:rPr>
                <w:strike/>
                <w:sz w:val="16"/>
                <w:szCs w:val="16"/>
                <w:highlight w:val="yellow"/>
              </w:rPr>
              <w:t>Segment 40LL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A4071" w14:textId="68593140" w:rsidR="00703BE6" w:rsidRPr="00703BE6" w:rsidRDefault="00703BE6" w:rsidP="00703BE6">
            <w:pPr>
              <w:keepNext/>
              <w:spacing w:before="20" w:after="20" w:line="240" w:lineRule="auto"/>
              <w:jc w:val="center"/>
              <w:rPr>
                <w:strike/>
                <w:sz w:val="16"/>
                <w:szCs w:val="16"/>
                <w:highlight w:val="yellow"/>
              </w:rPr>
            </w:pPr>
            <w:r w:rsidRPr="00703BE6">
              <w:rPr>
                <w:strike/>
                <w:sz w:val="16"/>
                <w:szCs w:val="16"/>
                <w:highlight w:val="yellow"/>
              </w:rPr>
              <w:t>1.07°D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70C43" w14:textId="40C361E8" w:rsidR="00703BE6" w:rsidRPr="00703BE6" w:rsidRDefault="00703BE6" w:rsidP="00703BE6">
            <w:pPr>
              <w:keepNext/>
              <w:spacing w:before="20" w:after="20" w:line="240" w:lineRule="auto"/>
              <w:jc w:val="center"/>
              <w:rPr>
                <w:strike/>
                <w:sz w:val="16"/>
                <w:szCs w:val="16"/>
                <w:highlight w:val="yellow"/>
              </w:rPr>
            </w:pPr>
            <w:r w:rsidRPr="00703BE6">
              <w:rPr>
                <w:strike/>
                <w:sz w:val="16"/>
                <w:szCs w:val="16"/>
                <w:highlight w:val="yellow"/>
              </w:rPr>
              <w:t>14°L to 9°L</w:t>
            </w:r>
          </w:p>
        </w:tc>
        <w:tc>
          <w:tcPr>
            <w:tcW w:w="7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E3EAE" w14:textId="228FCC36" w:rsidR="00703BE6" w:rsidRPr="00703BE6" w:rsidRDefault="00703BE6" w:rsidP="00703BE6">
            <w:pPr>
              <w:keepNext/>
              <w:spacing w:before="20" w:after="20" w:line="240" w:lineRule="auto"/>
              <w:jc w:val="center"/>
              <w:rPr>
                <w:strike/>
                <w:sz w:val="16"/>
                <w:szCs w:val="16"/>
                <w:highlight w:val="yellow"/>
              </w:rPr>
            </w:pPr>
            <w:r w:rsidRPr="00703BE6">
              <w:rPr>
                <w:strike/>
                <w:sz w:val="16"/>
                <w:szCs w:val="16"/>
                <w:highlight w:val="yellow"/>
              </w:rPr>
              <w:t>8.50∙10</w:t>
            </w:r>
            <w:r w:rsidRPr="00703BE6">
              <w:rPr>
                <w:strike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  <w:tc>
          <w:tcPr>
            <w:tcW w:w="678" w:type="dxa"/>
            <w:vAlign w:val="center"/>
          </w:tcPr>
          <w:p w14:paraId="4C5778F8" w14:textId="0199FFAC" w:rsidR="00703BE6" w:rsidRPr="00703BE6" w:rsidRDefault="00703BE6" w:rsidP="00703BE6">
            <w:pPr>
              <w:keepNext/>
              <w:spacing w:before="20" w:after="20" w:line="240" w:lineRule="auto"/>
              <w:jc w:val="center"/>
              <w:rPr>
                <w:strike/>
                <w:sz w:val="16"/>
                <w:szCs w:val="16"/>
                <w:highlight w:val="yellow"/>
              </w:rPr>
            </w:pPr>
            <w:r w:rsidRPr="00703BE6">
              <w:rPr>
                <w:strike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8A12D" w14:textId="0BF22AFA" w:rsidR="00703BE6" w:rsidRPr="00703BE6" w:rsidRDefault="00703BE6" w:rsidP="00703BE6">
            <w:pPr>
              <w:keepNext/>
              <w:spacing w:before="20" w:after="20" w:line="240" w:lineRule="auto"/>
              <w:jc w:val="center"/>
              <w:rPr>
                <w:strike/>
                <w:sz w:val="16"/>
                <w:szCs w:val="16"/>
                <w:highlight w:val="yellow"/>
              </w:rPr>
            </w:pPr>
            <w:r w:rsidRPr="00703BE6">
              <w:rPr>
                <w:strike/>
                <w:sz w:val="16"/>
                <w:szCs w:val="16"/>
                <w:highlight w:val="yellow"/>
              </w:rPr>
              <w:t>6.00∙10</w:t>
            </w:r>
            <w:r w:rsidRPr="00703BE6">
              <w:rPr>
                <w:strike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C2871" w14:textId="646762DB" w:rsidR="00703BE6" w:rsidRPr="00703BE6" w:rsidRDefault="00703BE6" w:rsidP="00703BE6">
            <w:pPr>
              <w:keepNext/>
              <w:spacing w:before="20" w:after="20" w:line="240" w:lineRule="auto"/>
              <w:jc w:val="center"/>
              <w:rPr>
                <w:strike/>
                <w:sz w:val="16"/>
                <w:szCs w:val="16"/>
                <w:highlight w:val="yellow"/>
              </w:rPr>
            </w:pPr>
            <w:r w:rsidRPr="00703BE6">
              <w:rPr>
                <w:strike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862E0" w14:textId="6D484D13" w:rsidR="00703BE6" w:rsidRPr="00703BE6" w:rsidRDefault="00703BE6" w:rsidP="00703BE6">
            <w:pPr>
              <w:keepNext/>
              <w:spacing w:before="20" w:after="20" w:line="240" w:lineRule="auto"/>
              <w:jc w:val="center"/>
              <w:rPr>
                <w:strike/>
                <w:sz w:val="16"/>
                <w:szCs w:val="16"/>
                <w:highlight w:val="yellow"/>
              </w:rPr>
            </w:pPr>
            <w:r w:rsidRPr="00703BE6">
              <w:rPr>
                <w:strike/>
                <w:sz w:val="16"/>
                <w:szCs w:val="16"/>
                <w:highlight w:val="yellow"/>
              </w:rPr>
              <w:t>8.50∙10</w:t>
            </w:r>
            <w:r w:rsidRPr="00703BE6">
              <w:rPr>
                <w:strike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5ED89" w14:textId="09C1CE70" w:rsidR="00703BE6" w:rsidRPr="00703BE6" w:rsidRDefault="00703BE6" w:rsidP="00703BE6">
            <w:pPr>
              <w:keepNext/>
              <w:spacing w:before="20" w:after="20" w:line="240" w:lineRule="auto"/>
              <w:jc w:val="center"/>
              <w:rPr>
                <w:strike/>
                <w:sz w:val="16"/>
                <w:szCs w:val="16"/>
                <w:highlight w:val="yellow"/>
              </w:rPr>
            </w:pPr>
            <w:r w:rsidRPr="00703BE6">
              <w:rPr>
                <w:strike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68986" w14:textId="6B194DF7" w:rsidR="00703BE6" w:rsidRPr="00703BE6" w:rsidRDefault="00703BE6" w:rsidP="00703BE6">
            <w:pPr>
              <w:keepNext/>
              <w:spacing w:before="20" w:after="20" w:line="240" w:lineRule="auto"/>
              <w:jc w:val="center"/>
              <w:rPr>
                <w:strike/>
                <w:sz w:val="16"/>
                <w:szCs w:val="16"/>
                <w:highlight w:val="yellow"/>
              </w:rPr>
            </w:pPr>
            <w:r w:rsidRPr="00703BE6">
              <w:rPr>
                <w:strike/>
                <w:sz w:val="16"/>
                <w:szCs w:val="16"/>
                <w:highlight w:val="yellow"/>
              </w:rPr>
              <w:t>8.50∙10</w:t>
            </w:r>
            <w:r w:rsidRPr="00703BE6">
              <w:rPr>
                <w:strike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68A9C" w14:textId="44D0EE2C" w:rsidR="00703BE6" w:rsidRPr="00703BE6" w:rsidRDefault="00703BE6" w:rsidP="00703BE6">
            <w:pPr>
              <w:keepNext/>
              <w:spacing w:before="20" w:after="20" w:line="240" w:lineRule="auto"/>
              <w:jc w:val="center"/>
              <w:rPr>
                <w:strike/>
                <w:sz w:val="16"/>
                <w:szCs w:val="16"/>
                <w:highlight w:val="yellow"/>
              </w:rPr>
            </w:pPr>
            <w:r w:rsidRPr="00703BE6">
              <w:rPr>
                <w:strike/>
                <w:sz w:val="16"/>
                <w:szCs w:val="16"/>
                <w:highlight w:val="yellow"/>
              </w:rPr>
              <w:t>-</w:t>
            </w:r>
          </w:p>
        </w:tc>
      </w:tr>
      <w:tr w:rsidR="00703BE6" w:rsidRPr="00F13D8E" w14:paraId="1737AEF8" w14:textId="77777777" w:rsidTr="007A3CAF">
        <w:trPr>
          <w:jc w:val="center"/>
        </w:trPr>
        <w:tc>
          <w:tcPr>
            <w:tcW w:w="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FD3F9" w14:textId="77777777" w:rsidR="00703BE6" w:rsidRPr="00F13D8E" w:rsidRDefault="00703BE6" w:rsidP="00703BE6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3CDED" w14:textId="213116ED" w:rsidR="00703BE6" w:rsidRPr="00F13D8E" w:rsidRDefault="00703BE6" w:rsidP="00703BE6">
            <w:pPr>
              <w:keepNext/>
              <w:spacing w:before="20" w:after="20" w:line="240" w:lineRule="auto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40R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FC819" w14:textId="73494CF3" w:rsidR="00703BE6" w:rsidRPr="00F13D8E" w:rsidRDefault="00703BE6" w:rsidP="00703BE6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1.07°D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C6077" w14:textId="5E19F1B9" w:rsidR="00703BE6" w:rsidRPr="00F13D8E" w:rsidRDefault="00703BE6" w:rsidP="00703BE6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 xml:space="preserve">9°R </w:t>
            </w:r>
          </w:p>
        </w:tc>
        <w:tc>
          <w:tcPr>
            <w:tcW w:w="7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D98F6" w14:textId="245B3255" w:rsidR="00703BE6" w:rsidRPr="00F13D8E" w:rsidRDefault="00703BE6" w:rsidP="00703BE6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2.80∙10</w:t>
            </w:r>
            <w:r w:rsidRPr="00F13D8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8" w:type="dxa"/>
            <w:vAlign w:val="center"/>
          </w:tcPr>
          <w:p w14:paraId="7791E623" w14:textId="59A69E79" w:rsidR="00703BE6" w:rsidRPr="00F13D8E" w:rsidRDefault="00703BE6" w:rsidP="00703BE6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6C593" w14:textId="681A7F9E" w:rsidR="00703BE6" w:rsidRPr="00F13D8E" w:rsidRDefault="00703BE6" w:rsidP="00703BE6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1.95∙10</w:t>
            </w:r>
            <w:r w:rsidRPr="00F13D8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671CA" w14:textId="5B9EAD4F" w:rsidR="00703BE6" w:rsidRPr="00F13D8E" w:rsidRDefault="00703BE6" w:rsidP="00703BE6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846F9" w14:textId="716B9287" w:rsidR="00703BE6" w:rsidRPr="00F13D8E" w:rsidRDefault="00703BE6" w:rsidP="00703BE6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2.80∙10</w:t>
            </w:r>
            <w:r w:rsidRPr="00F13D8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78A36" w14:textId="46E13549" w:rsidR="00703BE6" w:rsidRPr="00F13D8E" w:rsidRDefault="00703BE6" w:rsidP="00703BE6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E0599" w14:textId="48C60F41" w:rsidR="00703BE6" w:rsidRPr="00F13D8E" w:rsidRDefault="00703BE6" w:rsidP="00703BE6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2.80∙10</w:t>
            </w:r>
            <w:r w:rsidRPr="00F13D8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9791A" w14:textId="7144135E" w:rsidR="00703BE6" w:rsidRPr="00F13D8E" w:rsidRDefault="00703BE6" w:rsidP="00703BE6">
            <w:pPr>
              <w:keepNext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F13D8E">
              <w:rPr>
                <w:sz w:val="16"/>
                <w:szCs w:val="16"/>
              </w:rPr>
              <w:t>-</w:t>
            </w:r>
          </w:p>
        </w:tc>
      </w:tr>
    </w:tbl>
    <w:p w14:paraId="4AE0B503" w14:textId="41AD3BA5" w:rsidR="00553975" w:rsidRDefault="00553975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… ”</w:t>
      </w:r>
    </w:p>
    <w:p w14:paraId="22B57CA3" w14:textId="4791242C" w:rsidR="00302F7B" w:rsidRDefault="00302F7B">
      <w:pPr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br w:type="page"/>
      </w:r>
    </w:p>
    <w:p w14:paraId="4EDC5303" w14:textId="298D0996" w:rsidR="00C27479" w:rsidRDefault="003F4C6B">
      <w:pPr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lastRenderedPageBreak/>
        <w:t>Table 20</w:t>
      </w:r>
      <w:r w:rsidR="009556F5">
        <w:rPr>
          <w:rFonts w:asciiTheme="majorBidi" w:hAnsiTheme="majorBidi" w:cstheme="majorBidi"/>
          <w:lang w:val="en-US"/>
        </w:rPr>
        <w:t>, amend to read:</w:t>
      </w:r>
    </w:p>
    <w:p w14:paraId="2272E62A" w14:textId="77777777" w:rsidR="007804DF" w:rsidRPr="005C1BC6" w:rsidRDefault="005C57BA" w:rsidP="007804DF">
      <w:pPr>
        <w:pStyle w:val="a"/>
        <w:keepNext/>
        <w:spacing w:after="0"/>
        <w:rPr>
          <w:b/>
        </w:rPr>
      </w:pPr>
      <w:r w:rsidRPr="00231851">
        <w:rPr>
          <w:bCs/>
        </w:rPr>
        <w:t>“</w:t>
      </w:r>
      <w:r w:rsidR="007804DF" w:rsidRPr="0084503A">
        <w:t>Table</w:t>
      </w:r>
      <w:r w:rsidR="007804DF">
        <w:t xml:space="preserve"> </w:t>
      </w:r>
      <w:r w:rsidR="007804DF">
        <w:rPr>
          <w:bCs/>
        </w:rPr>
        <w:t>20</w:t>
      </w:r>
    </w:p>
    <w:p w14:paraId="2CF4B01A" w14:textId="77777777" w:rsidR="007804DF" w:rsidRPr="005034EB" w:rsidRDefault="007804DF" w:rsidP="007804DF">
      <w:pPr>
        <w:pStyle w:val="a"/>
        <w:keepNext/>
        <w:rPr>
          <w:b/>
          <w:bCs/>
        </w:rPr>
      </w:pPr>
      <w:r>
        <w:rPr>
          <w:b/>
          <w:bCs/>
        </w:rPr>
        <w:t>Decision T</w:t>
      </w:r>
      <w:r w:rsidRPr="005034EB">
        <w:rPr>
          <w:b/>
          <w:bCs/>
        </w:rPr>
        <w:t xml:space="preserve">able </w:t>
      </w:r>
    </w:p>
    <w:tbl>
      <w:tblPr>
        <w:tblW w:w="8085" w:type="dxa"/>
        <w:tblInd w:w="1132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259"/>
        <w:gridCol w:w="1843"/>
        <w:gridCol w:w="1423"/>
      </w:tblGrid>
      <w:tr w:rsidR="007804DF" w:rsidRPr="006606C3" w14:paraId="1DFBCF83" w14:textId="77777777" w:rsidTr="00F561A0">
        <w:trPr>
          <w:trHeight w:val="363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149CED" w14:textId="77777777" w:rsidR="007804DF" w:rsidRPr="006606C3" w:rsidRDefault="007804DF" w:rsidP="007C4AB7">
            <w:pPr>
              <w:keepNext/>
              <w:spacing w:before="20" w:after="2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D514E1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606C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"Multiple Modes"- Condition</w:t>
            </w:r>
          </w:p>
          <w:p w14:paraId="288EBAFB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b/>
                <w:bCs/>
                <w:i/>
                <w:strike/>
                <w:sz w:val="16"/>
                <w:szCs w:val="16"/>
              </w:rPr>
            </w:pPr>
            <w:r w:rsidRPr="006606C3">
              <w:rPr>
                <w:rFonts w:ascii="Times New Roman" w:hAnsi="Times New Roman" w:cs="Times New Roman"/>
                <w:b/>
                <w:bCs/>
                <w:i/>
                <w:strike/>
                <w:sz w:val="16"/>
                <w:szCs w:val="16"/>
                <w:highlight w:val="yellow"/>
              </w:rPr>
              <w:t>* if more than one mode of the applicable Class exists only the mode which represents the worst condition has to be tested in non-bending mode according to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7EE5A" w14:textId="77777777" w:rsidR="007804DF" w:rsidRPr="006606C3" w:rsidRDefault="007804DF" w:rsidP="007C4AB7">
            <w:pPr>
              <w:keepNext/>
              <w:spacing w:before="20" w:after="20" w:line="240" w:lineRule="auto"/>
              <w:ind w:right="113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606C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"Bending Modes" - Condition</w:t>
            </w:r>
          </w:p>
          <w:p w14:paraId="736FAAE4" w14:textId="77777777" w:rsidR="007804DF" w:rsidRPr="006606C3" w:rsidRDefault="007804DF" w:rsidP="007C4AB7">
            <w:pPr>
              <w:keepNext/>
              <w:spacing w:before="20" w:after="20" w:line="240" w:lineRule="auto"/>
              <w:ind w:right="113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606C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if the system uses the same functional units to obtain bending modes for more than one class:</w:t>
            </w:r>
          </w:p>
        </w:tc>
      </w:tr>
      <w:tr w:rsidR="007804DF" w:rsidRPr="006606C3" w14:paraId="5E5623A4" w14:textId="77777777" w:rsidTr="00F561A0">
        <w:trPr>
          <w:trHeight w:val="363"/>
          <w:tblHeader/>
        </w:trPr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54909B" w14:textId="77777777" w:rsidR="007804DF" w:rsidRPr="006606C3" w:rsidRDefault="007804DF" w:rsidP="007C4AB7">
            <w:pPr>
              <w:keepNext/>
              <w:spacing w:before="20" w:after="2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C771B" w14:textId="77777777" w:rsidR="007804DF" w:rsidRPr="006606C3" w:rsidRDefault="007804DF" w:rsidP="007C4AB7">
            <w:pPr>
              <w:keepNext/>
              <w:spacing w:before="20" w:after="20" w:line="240" w:lineRule="auto"/>
              <w:ind w:right="113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B216C2" w14:textId="77777777" w:rsidR="007804DF" w:rsidRPr="006606C3" w:rsidRDefault="007804DF" w:rsidP="007C4AB7">
            <w:pPr>
              <w:keepNext/>
              <w:spacing w:before="20" w:after="20" w:line="240" w:lineRule="auto"/>
              <w:ind w:right="113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606C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Yes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1FE30D" w14:textId="77777777" w:rsidR="007804DF" w:rsidRPr="006606C3" w:rsidRDefault="007804DF" w:rsidP="007C4AB7">
            <w:pPr>
              <w:keepNext/>
              <w:spacing w:before="20" w:after="20" w:line="240" w:lineRule="auto"/>
              <w:ind w:right="113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606C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No</w:t>
            </w:r>
          </w:p>
        </w:tc>
      </w:tr>
      <w:tr w:rsidR="007804DF" w:rsidRPr="006606C3" w14:paraId="0C4A0412" w14:textId="77777777" w:rsidTr="00F561A0">
        <w:trPr>
          <w:trHeight w:val="363"/>
        </w:trPr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A23414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>Class C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B4B383" w14:textId="4DBC8FA6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 xml:space="preserve">Table </w:t>
            </w:r>
            <w:r w:rsidRPr="006606C3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Pr="006606C3"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  <w:t>*</w:t>
            </w:r>
            <w:r w:rsidRPr="006606C3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a</w:t>
            </w:r>
          </w:p>
        </w:tc>
        <w:tc>
          <w:tcPr>
            <w:tcW w:w="326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57970A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04DF" w:rsidRPr="006606C3" w14:paraId="6DC8A677" w14:textId="77777777" w:rsidTr="00F561A0">
        <w:trPr>
          <w:trHeight w:val="854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8AEB2D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>Category 1 bending mode</w:t>
            </w:r>
          </w:p>
        </w:tc>
        <w:tc>
          <w:tcPr>
            <w:tcW w:w="32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6CDF83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E2CC0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  <w:r w:rsidRPr="006606C3"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  <w:t>** the bending modes shall only be tested in the Class which represents the worst condition</w:t>
            </w:r>
          </w:p>
          <w:p w14:paraId="25C766FA" w14:textId="0A37B7E1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see </w:t>
            </w:r>
            <w:r w:rsidRPr="006606C3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b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C65C1D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 xml:space="preserve">Table </w:t>
            </w:r>
            <w:r w:rsidRPr="006606C3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</w:tr>
      <w:tr w:rsidR="007804DF" w:rsidRPr="006606C3" w14:paraId="3243D105" w14:textId="77777777" w:rsidTr="00F561A0">
        <w:trPr>
          <w:trHeight w:val="583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70CA8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>Category 2 bending mode</w:t>
            </w:r>
          </w:p>
        </w:tc>
        <w:tc>
          <w:tcPr>
            <w:tcW w:w="32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9D5263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6E7323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 xml:space="preserve">Test category 2 bending mode according to Table </w:t>
            </w:r>
            <w:r w:rsidRPr="006606C3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</w:tr>
      <w:tr w:rsidR="007804DF" w:rsidRPr="006606C3" w14:paraId="4FA9E982" w14:textId="77777777" w:rsidTr="00F561A0">
        <w:trPr>
          <w:trHeight w:val="363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67558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>Class V</w:t>
            </w:r>
          </w:p>
          <w:p w14:paraId="68C0AA93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>Non-Bending Mode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5CC21D" w14:textId="551398CB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>Table 24</w:t>
            </w:r>
            <w:r w:rsidRPr="006606C3"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  <w:t>*</w:t>
            </w:r>
            <w:r w:rsidRPr="006606C3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a</w:t>
            </w:r>
          </w:p>
        </w:tc>
        <w:tc>
          <w:tcPr>
            <w:tcW w:w="3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8F9DE9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4DF" w:rsidRPr="006606C3" w14:paraId="148595C6" w14:textId="77777777" w:rsidTr="00F561A0">
        <w:trPr>
          <w:trHeight w:val="535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FEF6D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>Class V</w:t>
            </w:r>
          </w:p>
          <w:p w14:paraId="15410237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>Category 1 bending mode</w:t>
            </w:r>
          </w:p>
        </w:tc>
        <w:tc>
          <w:tcPr>
            <w:tcW w:w="32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EB4BE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68E924" w14:textId="34C8C6DC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 xml:space="preserve">see </w:t>
            </w:r>
            <w:r w:rsidRPr="006606C3"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  <w:t>**</w:t>
            </w:r>
            <w:r w:rsidRPr="006606C3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b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4D754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>Table 25</w:t>
            </w:r>
          </w:p>
        </w:tc>
      </w:tr>
      <w:tr w:rsidR="007804DF" w:rsidRPr="006606C3" w14:paraId="6CA8A957" w14:textId="77777777" w:rsidTr="00F561A0">
        <w:trPr>
          <w:trHeight w:val="50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CF81C1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>Class V</w:t>
            </w:r>
          </w:p>
          <w:p w14:paraId="2AB1A520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>Category 2 bending mode</w:t>
            </w:r>
          </w:p>
        </w:tc>
        <w:tc>
          <w:tcPr>
            <w:tcW w:w="32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8988F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A1A148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B52066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>Table 26</w:t>
            </w:r>
          </w:p>
        </w:tc>
      </w:tr>
      <w:tr w:rsidR="007804DF" w:rsidRPr="006606C3" w14:paraId="1473C01E" w14:textId="77777777" w:rsidTr="00F561A0">
        <w:trPr>
          <w:trHeight w:val="175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7568F7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 xml:space="preserve">Class W </w:t>
            </w:r>
          </w:p>
          <w:p w14:paraId="3C489709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>Non-bending mode</w:t>
            </w:r>
            <w:r w:rsidRPr="006606C3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6FCCD" w14:textId="1299AAD2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>Table 27</w:t>
            </w:r>
            <w:r w:rsidRPr="006606C3"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  <w:t>*</w:t>
            </w:r>
            <w:r w:rsidRPr="006606C3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a</w:t>
            </w:r>
          </w:p>
        </w:tc>
        <w:tc>
          <w:tcPr>
            <w:tcW w:w="3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AD17B8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4DF" w:rsidRPr="006606C3" w14:paraId="601AE8BC" w14:textId="77777777" w:rsidTr="00F561A0">
        <w:trPr>
          <w:trHeight w:val="369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E034F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 xml:space="preserve">Class W </w:t>
            </w:r>
          </w:p>
          <w:p w14:paraId="43F1C152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>Category 1 bending mode</w:t>
            </w:r>
          </w:p>
        </w:tc>
        <w:tc>
          <w:tcPr>
            <w:tcW w:w="32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92358A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1CC54E" w14:textId="0F490E5B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 xml:space="preserve">see </w:t>
            </w:r>
            <w:r w:rsidRPr="006606C3"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  <w:t>**</w:t>
            </w:r>
            <w:r w:rsidRPr="006606C3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b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C9F077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>Table 28</w:t>
            </w:r>
          </w:p>
        </w:tc>
      </w:tr>
      <w:tr w:rsidR="007804DF" w:rsidRPr="006606C3" w14:paraId="6078DCDB" w14:textId="77777777" w:rsidTr="00F561A0">
        <w:trPr>
          <w:trHeight w:val="479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5F64EB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 xml:space="preserve">Class W </w:t>
            </w:r>
          </w:p>
          <w:p w14:paraId="7DAF3F11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>Category 2 bending mode</w:t>
            </w:r>
          </w:p>
        </w:tc>
        <w:tc>
          <w:tcPr>
            <w:tcW w:w="32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137C1E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8D5800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75CE51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 xml:space="preserve">Table </w:t>
            </w:r>
            <w:r w:rsidRPr="006606C3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</w:tc>
      </w:tr>
      <w:tr w:rsidR="007804DF" w:rsidRPr="006606C3" w14:paraId="3AE4D472" w14:textId="77777777" w:rsidTr="00F561A0">
        <w:trPr>
          <w:trHeight w:val="1255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BD98D3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 xml:space="preserve">Class E 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C9345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 xml:space="preserve">if more than one mode of Class E exists, only the mode Class E which relates to the highest cut-off position has to be tested in non-bending mode according to the corresponding Table </w:t>
            </w:r>
            <w:r w:rsidRPr="006606C3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 xml:space="preserve"> to Table </w:t>
            </w:r>
            <w:r w:rsidRPr="006606C3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326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CA95E3" w14:textId="77777777" w:rsidR="007804DF" w:rsidRPr="006606C3" w:rsidRDefault="007804DF" w:rsidP="007C4AB7">
            <w:pPr>
              <w:keepNext/>
              <w:spacing w:before="20" w:after="20" w:line="240" w:lineRule="auto"/>
              <w:ind w:left="5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606C3">
              <w:rPr>
                <w:rFonts w:ascii="Times New Roman" w:hAnsi="Times New Roman" w:cs="Times New Roman"/>
                <w:sz w:val="18"/>
                <w:szCs w:val="18"/>
              </w:rPr>
              <w:t>No additional testing of Category 1 and/or Category 2 is necessary</w:t>
            </w:r>
          </w:p>
        </w:tc>
      </w:tr>
    </w:tbl>
    <w:p w14:paraId="77B6EEFB" w14:textId="77777777" w:rsidR="007804DF" w:rsidRPr="006606C3" w:rsidRDefault="007804DF" w:rsidP="007804DF">
      <w:pPr>
        <w:keepNext/>
        <w:spacing w:before="120" w:after="120" w:line="240" w:lineRule="auto"/>
        <w:ind w:left="1134" w:right="57"/>
        <w:rPr>
          <w:rFonts w:ascii="Times New Roman" w:hAnsi="Times New Roman" w:cs="Times New Roman"/>
          <w:sz w:val="18"/>
          <w:szCs w:val="18"/>
          <w:highlight w:val="yellow"/>
          <w:lang w:eastAsia="de-DE"/>
        </w:rPr>
      </w:pPr>
      <w:r w:rsidRPr="006606C3">
        <w:rPr>
          <w:rFonts w:ascii="Times New Roman" w:eastAsiaTheme="minorHAnsi" w:hAnsi="Times New Roman" w:cs="Times New Roman"/>
          <w:i/>
          <w:iCs/>
          <w:sz w:val="18"/>
          <w:szCs w:val="18"/>
          <w:highlight w:val="yellow"/>
          <w:lang w:val="en-US"/>
        </w:rPr>
        <w:t xml:space="preserve">Notes: </w:t>
      </w:r>
      <w:r w:rsidRPr="006606C3">
        <w:rPr>
          <w:rFonts w:ascii="Times New Roman" w:eastAsiaTheme="minorHAnsi" w:hAnsi="Times New Roman" w:cs="Times New Roman"/>
          <w:sz w:val="18"/>
          <w:szCs w:val="18"/>
          <w:highlight w:val="yellow"/>
          <w:lang w:val="en-US"/>
        </w:rPr>
        <w:t xml:space="preserve">In the </w:t>
      </w:r>
      <w:r w:rsidRPr="006606C3">
        <w:rPr>
          <w:rFonts w:ascii="Times New Roman" w:hAnsi="Times New Roman" w:cs="Times New Roman"/>
          <w:sz w:val="18"/>
          <w:szCs w:val="18"/>
          <w:highlight w:val="yellow"/>
          <w:lang w:eastAsia="de-DE"/>
        </w:rPr>
        <w:t>Table 20:</w:t>
      </w:r>
    </w:p>
    <w:p w14:paraId="3FFAFDA8" w14:textId="77777777" w:rsidR="007804DF" w:rsidRPr="006606C3" w:rsidRDefault="007804DF" w:rsidP="006606C3">
      <w:pPr>
        <w:keepNext/>
        <w:tabs>
          <w:tab w:val="left" w:pos="567"/>
        </w:tabs>
        <w:spacing w:before="20" w:after="20" w:line="240" w:lineRule="auto"/>
        <w:ind w:left="1134" w:right="567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6606C3">
        <w:rPr>
          <w:rFonts w:ascii="Times New Roman" w:hAnsi="Times New Roman" w:cs="Times New Roman"/>
          <w:sz w:val="18"/>
          <w:szCs w:val="18"/>
          <w:highlight w:val="yellow"/>
          <w:vertAlign w:val="superscript"/>
        </w:rPr>
        <w:t>a</w:t>
      </w:r>
      <w:r w:rsidRPr="006606C3">
        <w:rPr>
          <w:rFonts w:ascii="Times New Roman" w:hAnsi="Times New Roman" w:cs="Times New Roman"/>
          <w:sz w:val="18"/>
          <w:szCs w:val="18"/>
          <w:highlight w:val="yellow"/>
        </w:rPr>
        <w:t xml:space="preserve"> If more than one mode of the applicable Class exists, only the mode which represents the worst condition has to be tested in non-bending mode according </w:t>
      </w:r>
      <w:r w:rsidRPr="00E61665">
        <w:rPr>
          <w:rFonts w:ascii="Times New Roman" w:hAnsi="Times New Roman" w:cs="Times New Roman"/>
          <w:sz w:val="18"/>
          <w:szCs w:val="18"/>
          <w:highlight w:val="yellow"/>
        </w:rPr>
        <w:t>to</w:t>
      </w:r>
      <w:r w:rsidRPr="00E61665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 xml:space="preserve"> Tables 21, 24 or 27</w:t>
      </w:r>
      <w:r w:rsidRPr="006606C3">
        <w:rPr>
          <w:rFonts w:ascii="Times New Roman" w:hAnsi="Times New Roman" w:cs="Times New Roman"/>
          <w:sz w:val="18"/>
          <w:szCs w:val="18"/>
          <w:highlight w:val="yellow"/>
        </w:rPr>
        <w:t>.</w:t>
      </w:r>
    </w:p>
    <w:p w14:paraId="1AE1F438" w14:textId="77777777" w:rsidR="007804DF" w:rsidRPr="006606C3" w:rsidRDefault="007804DF" w:rsidP="007804DF">
      <w:pPr>
        <w:keepNext/>
        <w:tabs>
          <w:tab w:val="left" w:pos="567"/>
        </w:tabs>
        <w:spacing w:before="20" w:after="20" w:line="240" w:lineRule="auto"/>
        <w:ind w:left="1134" w:right="1134"/>
        <w:jc w:val="both"/>
        <w:rPr>
          <w:rFonts w:ascii="Times New Roman" w:hAnsi="Times New Roman" w:cs="Times New Roman"/>
        </w:rPr>
      </w:pPr>
      <w:r w:rsidRPr="006606C3">
        <w:rPr>
          <w:rFonts w:ascii="Times New Roman" w:hAnsi="Times New Roman" w:cs="Times New Roman"/>
          <w:sz w:val="18"/>
          <w:szCs w:val="18"/>
          <w:highlight w:val="yellow"/>
          <w:vertAlign w:val="superscript"/>
        </w:rPr>
        <w:t>b</w:t>
      </w:r>
      <w:r w:rsidRPr="006606C3">
        <w:rPr>
          <w:rFonts w:ascii="Times New Roman" w:hAnsi="Times New Roman" w:cs="Times New Roman"/>
          <w:sz w:val="18"/>
          <w:szCs w:val="18"/>
          <w:highlight w:val="yellow"/>
        </w:rPr>
        <w:t xml:space="preserve"> the bending modes shall only be tested in the Class which represents the worst condition</w:t>
      </w:r>
    </w:p>
    <w:p w14:paraId="6962C82E" w14:textId="468724CF" w:rsidR="007804DF" w:rsidRPr="006606C3" w:rsidRDefault="002076AC" w:rsidP="007804DF">
      <w:pPr>
        <w:pStyle w:val="a"/>
        <w:spacing w:after="0"/>
        <w:ind w:left="2268" w:firstLine="0"/>
      </w:pPr>
      <w:r w:rsidRPr="006606C3">
        <w:rPr>
          <w:bCs/>
        </w:rPr>
        <w:t>...”</w:t>
      </w:r>
    </w:p>
    <w:p w14:paraId="0AC026CE" w14:textId="77777777" w:rsidR="00F561A0" w:rsidRPr="006606C3" w:rsidRDefault="00F561A0" w:rsidP="00F561A0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1A4A6AF2" w14:textId="066C7B3A" w:rsidR="00F561A0" w:rsidRDefault="00F561A0" w:rsidP="00F561A0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Annex 1</w:t>
      </w:r>
    </w:p>
    <w:p w14:paraId="33F5926B" w14:textId="77777777" w:rsidR="00F561A0" w:rsidRDefault="00F561A0" w:rsidP="00F561A0">
      <w:pPr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Item 10</w:t>
      </w:r>
      <w:r>
        <w:rPr>
          <w:rFonts w:asciiTheme="majorBidi" w:hAnsiTheme="majorBidi" w:cstheme="majorBidi"/>
          <w:lang w:val="en-US"/>
        </w:rPr>
        <w:t>, amend to read:</w:t>
      </w:r>
    </w:p>
    <w:p w14:paraId="6EFED7CD" w14:textId="77777777" w:rsidR="00F561A0" w:rsidRPr="00870396" w:rsidRDefault="00F561A0" w:rsidP="00F561A0">
      <w:pPr>
        <w:pStyle w:val="para"/>
        <w:ind w:right="567"/>
        <w:rPr>
          <w:bCs/>
          <w:lang w:val="en-US"/>
        </w:rPr>
      </w:pPr>
      <w:r w:rsidRPr="00231851">
        <w:rPr>
          <w:bCs/>
          <w:lang w:val="en-GB"/>
        </w:rPr>
        <w:t>“10.</w:t>
      </w:r>
      <w:r w:rsidRPr="00231851">
        <w:rPr>
          <w:bCs/>
          <w:lang w:val="en-GB"/>
        </w:rPr>
        <w:tab/>
        <w:t>Position of the approval mark or Unique Identifier (UI)</w:t>
      </w:r>
      <w:r w:rsidRPr="00F561A0">
        <w:rPr>
          <w:bCs/>
          <w:strike/>
          <w:highlight w:val="yellow"/>
          <w:vertAlign w:val="superscript"/>
          <w:lang w:val="en-GB"/>
        </w:rPr>
        <w:t>2</w:t>
      </w:r>
      <w:r w:rsidRPr="00231851">
        <w:rPr>
          <w:bCs/>
          <w:lang w:val="en-GB"/>
        </w:rPr>
        <w:t>..................</w:t>
      </w:r>
      <w:r w:rsidRPr="00870396">
        <w:rPr>
          <w:bCs/>
          <w:lang w:val="en-US"/>
        </w:rPr>
        <w:t>”</w:t>
      </w:r>
    </w:p>
    <w:p w14:paraId="7B400FA8" w14:textId="327BAEB6" w:rsidR="006863BE" w:rsidRDefault="006863BE" w:rsidP="006863BE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Annex 8</w:t>
      </w:r>
    </w:p>
    <w:p w14:paraId="63A59F8F" w14:textId="13CDB35C" w:rsidR="006863BE" w:rsidRDefault="006863BE" w:rsidP="006863BE">
      <w:pPr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 xml:space="preserve">Paragraph </w:t>
      </w:r>
      <w:bookmarkStart w:id="0" w:name="_Hlk83733509"/>
      <w:r>
        <w:rPr>
          <w:rFonts w:ascii="Times New Roman" w:eastAsia="Times New Roman" w:hAnsi="Times New Roman" w:cs="Times New Roman"/>
          <w:i/>
          <w:lang w:val="en-US"/>
        </w:rPr>
        <w:t>1.2.1.1.</w:t>
      </w:r>
      <w:bookmarkEnd w:id="0"/>
      <w:r>
        <w:rPr>
          <w:rFonts w:asciiTheme="majorBidi" w:hAnsiTheme="majorBidi" w:cstheme="majorBidi"/>
          <w:lang w:val="en-US"/>
        </w:rPr>
        <w:t>, amend to read:</w:t>
      </w:r>
    </w:p>
    <w:p w14:paraId="1C77C633" w14:textId="117008B0" w:rsidR="008544A6" w:rsidRPr="00870396" w:rsidRDefault="006863BE" w:rsidP="000A3FA8">
      <w:pPr>
        <w:pStyle w:val="para"/>
        <w:ind w:right="567"/>
        <w:rPr>
          <w:bCs/>
          <w:lang w:val="en-US"/>
        </w:rPr>
      </w:pPr>
      <w:r w:rsidRPr="00231851">
        <w:rPr>
          <w:bCs/>
          <w:lang w:val="en-GB"/>
        </w:rPr>
        <w:t>“1</w:t>
      </w:r>
      <w:r>
        <w:rPr>
          <w:bCs/>
          <w:lang w:val="en-GB"/>
        </w:rPr>
        <w:t>.2.1.1.</w:t>
      </w:r>
      <w:r w:rsidRPr="00231851">
        <w:rPr>
          <w:bCs/>
          <w:lang w:val="en-GB"/>
        </w:rPr>
        <w:tab/>
      </w:r>
      <w:r w:rsidRPr="00870396">
        <w:rPr>
          <w:lang w:val="en-US"/>
        </w:rPr>
        <w:t>Ten of these lenses may be replaced by ten samples of material at least 60</w:t>
      </w:r>
      <w:r w:rsidR="006606C3" w:rsidRPr="00870396">
        <w:rPr>
          <w:lang w:val="en-US"/>
        </w:rPr>
        <w:t> </w:t>
      </w:r>
      <w:r w:rsidRPr="00870396">
        <w:rPr>
          <w:b/>
          <w:bCs/>
          <w:highlight w:val="yellow"/>
          <w:lang w:val="en-US"/>
        </w:rPr>
        <w:t>mm</w:t>
      </w:r>
      <w:r w:rsidRPr="00870396">
        <w:rPr>
          <w:lang w:val="en-US"/>
        </w:rPr>
        <w:t xml:space="preserve"> x 80 mm in size, having a flat or convex outer surface and a substantially flat area (radius of curvature not less than 300 mm) in the middle measuring at least 15 </w:t>
      </w:r>
      <w:r w:rsidRPr="00870396">
        <w:rPr>
          <w:b/>
          <w:bCs/>
          <w:highlight w:val="yellow"/>
          <w:lang w:val="en-US"/>
        </w:rPr>
        <w:t>mm</w:t>
      </w:r>
      <w:r w:rsidRPr="00870396">
        <w:rPr>
          <w:lang w:val="en-US"/>
        </w:rPr>
        <w:t xml:space="preserve"> x 15 mm ; </w:t>
      </w:r>
      <w:r w:rsidRPr="00870396">
        <w:rPr>
          <w:bCs/>
          <w:lang w:val="en-US"/>
        </w:rPr>
        <w:t>”</w:t>
      </w:r>
    </w:p>
    <w:p w14:paraId="5152686C" w14:textId="4F88D8BE" w:rsidR="006C0416" w:rsidRDefault="006C0416" w:rsidP="006C0416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3E8B2358" w14:textId="77777777" w:rsidR="00C57C48" w:rsidRDefault="00C57C48" w:rsidP="00C57C48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Annex 8</w:t>
      </w:r>
    </w:p>
    <w:p w14:paraId="4FEFD354" w14:textId="3AD65215" w:rsidR="00C57C48" w:rsidRDefault="00C57C48" w:rsidP="00C57C48">
      <w:pPr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Paragraph 3.1.2.2.</w:t>
      </w:r>
      <w:r>
        <w:rPr>
          <w:rFonts w:asciiTheme="majorBidi" w:hAnsiTheme="majorBidi" w:cstheme="majorBidi"/>
          <w:lang w:val="en-US"/>
        </w:rPr>
        <w:t>, amend to read:</w:t>
      </w:r>
    </w:p>
    <w:p w14:paraId="711E0C9C" w14:textId="2053E9A6" w:rsidR="00C57C48" w:rsidRPr="00F35D5B" w:rsidRDefault="00C57C48" w:rsidP="00C57C48">
      <w:pPr>
        <w:pStyle w:val="4Para4thlevel"/>
        <w:rPr>
          <w:lang w:val="en-US"/>
        </w:rPr>
      </w:pPr>
      <w:r>
        <w:rPr>
          <w:rFonts w:eastAsia="Times New Roman"/>
          <w:i/>
          <w:lang w:val="en-US"/>
        </w:rPr>
        <w:t>“</w:t>
      </w:r>
      <w:r w:rsidRPr="00F35D5B">
        <w:rPr>
          <w:lang w:val="en-US"/>
        </w:rPr>
        <w:t>3.1.2.2.</w:t>
      </w:r>
      <w:r w:rsidRPr="00F35D5B">
        <w:rPr>
          <w:lang w:val="en-US"/>
        </w:rPr>
        <w:tab/>
        <w:t xml:space="preserve">These measurements shall be made </w:t>
      </w:r>
      <w:r w:rsidR="006A5F4C" w:rsidRPr="006A5F4C">
        <w:rPr>
          <w:b/>
          <w:bCs/>
          <w:highlight w:val="yellow"/>
          <w:lang w:val="en-US"/>
        </w:rPr>
        <w:t>after photometric stability (as defined in UN Regulation No. 48)</w:t>
      </w:r>
      <w:r>
        <w:rPr>
          <w:lang w:val="en-US"/>
        </w:rPr>
        <w:t xml:space="preserve"> </w:t>
      </w:r>
      <w:r w:rsidRPr="00F35D5B">
        <w:rPr>
          <w:lang w:val="en-US"/>
        </w:rPr>
        <w:t xml:space="preserve">using a standard (étalon) </w:t>
      </w:r>
      <w:r w:rsidRPr="00D95AED">
        <w:rPr>
          <w:lang w:val="en-US"/>
        </w:rPr>
        <w:t>light source</w:t>
      </w:r>
      <w:r w:rsidRPr="00F35D5B">
        <w:rPr>
          <w:lang w:val="en-US"/>
        </w:rPr>
        <w:t xml:space="preserve"> </w:t>
      </w:r>
      <w:r w:rsidRPr="004A452D">
        <w:rPr>
          <w:strike/>
          <w:highlight w:val="yellow"/>
          <w:lang w:val="en-US"/>
        </w:rPr>
        <w:t>and/or LED module(s)</w:t>
      </w:r>
      <w:r w:rsidRPr="00F35D5B">
        <w:rPr>
          <w:lang w:val="en-US"/>
        </w:rPr>
        <w:t xml:space="preserve">, or </w:t>
      </w:r>
      <w:r w:rsidRPr="004A452D">
        <w:rPr>
          <w:strike/>
          <w:highlight w:val="yellow"/>
          <w:lang w:val="en-US"/>
        </w:rPr>
        <w:t xml:space="preserve">if applicable with </w:t>
      </w:r>
      <w:r w:rsidRPr="004A452D">
        <w:rPr>
          <w:strike/>
          <w:highlight w:val="yellow"/>
          <w:lang w:val="en-US" w:eastAsia="en-GB"/>
        </w:rPr>
        <w:t>a standard gas-discharge</w:t>
      </w:r>
      <w:r w:rsidRPr="00F35D5B">
        <w:rPr>
          <w:lang w:val="en-US" w:eastAsia="en-GB"/>
        </w:rPr>
        <w:t xml:space="preserve"> </w:t>
      </w:r>
      <w:r w:rsidR="004A452D" w:rsidRPr="004A452D">
        <w:rPr>
          <w:b/>
          <w:bCs/>
          <w:highlight w:val="yellow"/>
          <w:lang w:val="en-US" w:eastAsia="en-GB"/>
        </w:rPr>
        <w:t>with the</w:t>
      </w:r>
      <w:r w:rsidR="004A452D" w:rsidRPr="004A452D">
        <w:rPr>
          <w:lang w:val="en-US" w:eastAsia="en-GB"/>
        </w:rPr>
        <w:t xml:space="preserve"> </w:t>
      </w:r>
      <w:r w:rsidRPr="00F35D5B">
        <w:rPr>
          <w:lang w:val="en-US" w:eastAsia="en-GB"/>
        </w:rPr>
        <w:t>light source</w:t>
      </w:r>
      <w:r w:rsidR="004A452D" w:rsidRPr="004A452D">
        <w:rPr>
          <w:b/>
          <w:bCs/>
          <w:highlight w:val="yellow"/>
          <w:lang w:val="en-US" w:eastAsia="en-GB"/>
        </w:rPr>
        <w:t>(s) and/or light source module(s)</w:t>
      </w:r>
      <w:r w:rsidRPr="004A452D">
        <w:rPr>
          <w:strike/>
          <w:highlight w:val="yellow"/>
          <w:lang w:val="en-US"/>
        </w:rPr>
        <w:t>,</w:t>
      </w:r>
      <w:r w:rsidRPr="00F35D5B">
        <w:rPr>
          <w:lang w:val="en-US"/>
        </w:rPr>
        <w:t xml:space="preserve"> as present in the road illumination device, at the following points:</w:t>
      </w:r>
    </w:p>
    <w:p w14:paraId="77956B49" w14:textId="77777777" w:rsidR="00C57C48" w:rsidRPr="006606C3" w:rsidRDefault="00C57C48" w:rsidP="00C57C48">
      <w:pPr>
        <w:pStyle w:val="a"/>
        <w:spacing w:after="0"/>
        <w:ind w:left="2268" w:firstLine="0"/>
      </w:pPr>
      <w:r w:rsidRPr="006606C3">
        <w:rPr>
          <w:bCs/>
        </w:rPr>
        <w:t>...”</w:t>
      </w:r>
    </w:p>
    <w:p w14:paraId="4CD6E8E5" w14:textId="77777777" w:rsidR="00C57C48" w:rsidRDefault="00C57C48" w:rsidP="00C57C48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207FC369" w14:textId="77777777" w:rsidR="003A4613" w:rsidRDefault="003A4613" w:rsidP="003A4613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Annex 8</w:t>
      </w:r>
    </w:p>
    <w:p w14:paraId="39D3A24F" w14:textId="0A87518A" w:rsidR="006863BE" w:rsidRDefault="006863BE" w:rsidP="006863BE">
      <w:pPr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Paragraph 3.2.1.</w:t>
      </w:r>
      <w:r>
        <w:rPr>
          <w:rFonts w:asciiTheme="majorBidi" w:hAnsiTheme="majorBidi" w:cstheme="majorBidi"/>
          <w:lang w:val="en-US"/>
        </w:rPr>
        <w:t xml:space="preserve">, delete </w:t>
      </w:r>
      <w:r w:rsidR="008A677B">
        <w:rPr>
          <w:rFonts w:asciiTheme="majorBidi" w:hAnsiTheme="majorBidi" w:cstheme="majorBidi"/>
          <w:lang w:val="en-US"/>
        </w:rPr>
        <w:t xml:space="preserve">the </w:t>
      </w:r>
      <w:r>
        <w:rPr>
          <w:rFonts w:asciiTheme="majorBidi" w:hAnsiTheme="majorBidi" w:cstheme="majorBidi"/>
          <w:lang w:val="en-US"/>
        </w:rPr>
        <w:t xml:space="preserve">formula </w:t>
      </w:r>
      <w:r w:rsidR="008A677B">
        <w:rPr>
          <w:rFonts w:asciiTheme="majorBidi" w:hAnsiTheme="majorBidi" w:cstheme="majorBidi"/>
          <w:lang w:val="en-US"/>
        </w:rPr>
        <w:t xml:space="preserve">superimposed on </w:t>
      </w:r>
      <w:r>
        <w:rPr>
          <w:rFonts w:asciiTheme="majorBidi" w:hAnsiTheme="majorBidi" w:cstheme="majorBidi"/>
          <w:lang w:val="en-US"/>
        </w:rPr>
        <w:t>the text</w:t>
      </w:r>
      <w:r w:rsidR="008A677B">
        <w:rPr>
          <w:rFonts w:asciiTheme="majorBidi" w:hAnsiTheme="majorBidi" w:cstheme="majorBidi"/>
          <w:lang w:val="en-US"/>
        </w:rPr>
        <w:t>:</w:t>
      </w:r>
    </w:p>
    <w:p w14:paraId="56B6A2B4" w14:textId="4D70C083" w:rsidR="0086494E" w:rsidRDefault="008A677B" w:rsidP="006C0416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8A677B">
        <w:rPr>
          <w:rFonts w:ascii="Times New Roman" w:eastAsia="Times New Roman" w:hAnsi="Times New Roman" w:cs="Times New Roman"/>
          <w:i/>
          <w:noProof/>
          <w:lang w:val="en-US"/>
        </w:rPr>
        <w:drawing>
          <wp:inline distT="0" distB="0" distL="0" distR="0" wp14:anchorId="799642A8" wp14:editId="28ACDC2C">
            <wp:extent cx="4743450" cy="1575398"/>
            <wp:effectExtent l="19050" t="19050" r="19050" b="254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3785" cy="15987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F19D014" w14:textId="6078548E" w:rsidR="00C27479" w:rsidRDefault="00C27479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4B315260" w14:textId="77777777" w:rsidR="003A4613" w:rsidRDefault="003A4613" w:rsidP="003A4613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Annex 8</w:t>
      </w:r>
    </w:p>
    <w:p w14:paraId="54317726" w14:textId="1E086EF4" w:rsidR="008A677B" w:rsidRDefault="008A677B" w:rsidP="008A677B">
      <w:pPr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Paragraph 3.2.2.2.</w:t>
      </w:r>
      <w:r>
        <w:rPr>
          <w:rFonts w:asciiTheme="majorBidi" w:hAnsiTheme="majorBidi" w:cstheme="majorBidi"/>
          <w:lang w:val="en-US"/>
        </w:rPr>
        <w:t>, amend to read:</w:t>
      </w:r>
    </w:p>
    <w:p w14:paraId="0031DB60" w14:textId="77777777" w:rsidR="008A677B" w:rsidRPr="0005137F" w:rsidRDefault="008A677B" w:rsidP="008A677B">
      <w:pPr>
        <w:pStyle w:val="4Para4thlevel"/>
      </w:pPr>
      <w:r w:rsidRPr="00231851">
        <w:rPr>
          <w:bCs/>
        </w:rPr>
        <w:t>“</w:t>
      </w:r>
      <w:r w:rsidRPr="00D95AED">
        <w:t>3.2.2.2.</w:t>
      </w:r>
      <w:r w:rsidRPr="00D95AED">
        <w:tab/>
      </w:r>
      <w:r w:rsidRPr="0005137F">
        <w:t>Application of the test mixture</w:t>
      </w:r>
    </w:p>
    <w:p w14:paraId="13B9ADD2" w14:textId="27FB2DDE" w:rsidR="008A677B" w:rsidRPr="0005137F" w:rsidRDefault="008A677B" w:rsidP="008A677B">
      <w:pPr>
        <w:pStyle w:val="StyleSingleTxtGLeft2cmHanging206cm"/>
        <w:ind w:right="567"/>
      </w:pPr>
      <w:r w:rsidRPr="0005137F">
        <w:tab/>
      </w:r>
      <w:r w:rsidRPr="0005137F">
        <w:rPr>
          <w:spacing w:val="-4"/>
        </w:rPr>
        <w:t xml:space="preserve">Soak a piece of cotton cloth (as per ISO 105) until saturation with the mixture defined in paragraph </w:t>
      </w:r>
      <w:r>
        <w:rPr>
          <w:spacing w:val="-4"/>
        </w:rPr>
        <w:t>3</w:t>
      </w:r>
      <w:r w:rsidRPr="0005137F">
        <w:rPr>
          <w:spacing w:val="-4"/>
        </w:rPr>
        <w:t>.2.2.1. and, within 10 seconds, apply it for 10 minutes to the outer face of the sample at a pressure of 50 N/cm</w:t>
      </w:r>
      <w:r w:rsidRPr="0005137F">
        <w:rPr>
          <w:spacing w:val="-4"/>
          <w:vertAlign w:val="superscript"/>
        </w:rPr>
        <w:t>2</w:t>
      </w:r>
      <w:r w:rsidRPr="0005137F">
        <w:rPr>
          <w:spacing w:val="-4"/>
        </w:rPr>
        <w:t xml:space="preserve">, corresponding to an effort of 100 N applied on a test </w:t>
      </w:r>
      <w:r w:rsidRPr="008A677B">
        <w:rPr>
          <w:spacing w:val="-4"/>
        </w:rPr>
        <w:t xml:space="preserve">surface of 14 </w:t>
      </w:r>
      <w:r w:rsidRPr="006863BE">
        <w:rPr>
          <w:b/>
          <w:bCs/>
          <w:highlight w:val="yellow"/>
        </w:rPr>
        <w:t>mm</w:t>
      </w:r>
      <w:r w:rsidRPr="006863BE">
        <w:t xml:space="preserve"> </w:t>
      </w:r>
      <w:r w:rsidRPr="008A677B">
        <w:rPr>
          <w:spacing w:val="-4"/>
        </w:rPr>
        <w:t>x 14 mm</w:t>
      </w:r>
      <w:r w:rsidRPr="008A677B">
        <w:t>.</w:t>
      </w:r>
    </w:p>
    <w:p w14:paraId="08B4D8A1" w14:textId="7318E617" w:rsidR="008A677B" w:rsidRPr="00870396" w:rsidRDefault="008A677B" w:rsidP="008A677B">
      <w:pPr>
        <w:pStyle w:val="para"/>
        <w:ind w:right="567"/>
        <w:rPr>
          <w:bCs/>
          <w:lang w:val="en-US"/>
        </w:rPr>
      </w:pPr>
      <w:r w:rsidRPr="00870396">
        <w:rPr>
          <w:lang w:val="en-US"/>
        </w:rPr>
        <w:tab/>
        <w:t xml:space="preserve">… </w:t>
      </w:r>
      <w:r w:rsidRPr="00870396">
        <w:rPr>
          <w:bCs/>
          <w:lang w:val="en-US"/>
        </w:rPr>
        <w:t>”</w:t>
      </w:r>
    </w:p>
    <w:p w14:paraId="7C7BE8AF" w14:textId="389A8885" w:rsidR="008A677B" w:rsidRDefault="008A677B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1B743567" w14:textId="7905A686" w:rsidR="008A677B" w:rsidRDefault="003A4613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  <w:bookmarkStart w:id="1" w:name="_Hlk83734047"/>
      <w:r w:rsidRPr="003A4613">
        <w:rPr>
          <w:rFonts w:ascii="Times New Roman" w:eastAsia="Times New Roman" w:hAnsi="Times New Roman" w:cs="Times New Roman"/>
          <w:i/>
          <w:lang w:val="en-US"/>
        </w:rPr>
        <w:t>Annex 8 - Appendix 3</w:t>
      </w:r>
      <w:bookmarkEnd w:id="1"/>
    </w:p>
    <w:p w14:paraId="2600DB8C" w14:textId="04B42F6A" w:rsidR="003A4613" w:rsidRDefault="003A4613" w:rsidP="003A4613">
      <w:pPr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Paragraph 1.1.</w:t>
      </w:r>
      <w:r>
        <w:rPr>
          <w:rFonts w:asciiTheme="majorBidi" w:hAnsiTheme="majorBidi" w:cstheme="majorBidi"/>
          <w:lang w:val="en-US"/>
        </w:rPr>
        <w:t>, amend to read:</w:t>
      </w:r>
    </w:p>
    <w:p w14:paraId="6AFFD93F" w14:textId="77777777" w:rsidR="002076AC" w:rsidRPr="00305955" w:rsidRDefault="003A4613" w:rsidP="00E168E0">
      <w:pPr>
        <w:pStyle w:val="2para2ndlevel"/>
        <w:ind w:right="567"/>
      </w:pPr>
      <w:r w:rsidRPr="00231851">
        <w:rPr>
          <w:bCs/>
        </w:rPr>
        <w:t>“</w:t>
      </w:r>
      <w:r w:rsidR="002076AC">
        <w:t>1.1</w:t>
      </w:r>
      <w:r w:rsidRPr="00D95AED">
        <w:t>.</w:t>
      </w:r>
      <w:r w:rsidRPr="00D95AED">
        <w:tab/>
      </w:r>
      <w:r w:rsidR="002076AC" w:rsidRPr="00305955">
        <w:t>Spray gun</w:t>
      </w:r>
    </w:p>
    <w:p w14:paraId="743E2E8F" w14:textId="5EF66447" w:rsidR="002076AC" w:rsidRPr="00305955" w:rsidRDefault="002076AC" w:rsidP="00E168E0">
      <w:pPr>
        <w:pStyle w:val="StyleSingleTxtGLeft2cmHanging206cm"/>
        <w:ind w:right="567" w:firstLine="0"/>
      </w:pPr>
      <w:r w:rsidRPr="00305955">
        <w:t>The spray gun used shall be equipped with a nozzle 1.3 mm in diameter allowing a liquid flow rate of 0.24 ± 0.02 l/minute at an operating pressure of 6.0 bars -0/+0.5 bar.</w:t>
      </w:r>
    </w:p>
    <w:p w14:paraId="4C32EA04" w14:textId="42821C59" w:rsidR="003A4613" w:rsidRPr="00231851" w:rsidRDefault="002076AC" w:rsidP="00E168E0">
      <w:pPr>
        <w:pStyle w:val="StyleSingleTxtGLeft2cmHanging206cm"/>
        <w:ind w:right="567" w:firstLine="0"/>
        <w:rPr>
          <w:bCs/>
        </w:rPr>
      </w:pPr>
      <w:r w:rsidRPr="00305955">
        <w:t xml:space="preserve">Under </w:t>
      </w:r>
      <w:r w:rsidRPr="002076AC">
        <w:t xml:space="preserve">these operation conditions the fan pattern obtained shall be 170 mm </w:t>
      </w:r>
      <w:r w:rsidRPr="002076AC">
        <w:rPr>
          <w:highlight w:val="yellow"/>
        </w:rPr>
        <w:t>±</w:t>
      </w:r>
      <w:r w:rsidRPr="002076AC">
        <w:t xml:space="preserve"> 50 mm in diameter on the surface exposed to deterioration, at a distance of 380 mm </w:t>
      </w:r>
      <w:r w:rsidRPr="002076AC">
        <w:rPr>
          <w:highlight w:val="yellow"/>
        </w:rPr>
        <w:t>±</w:t>
      </w:r>
      <w:r w:rsidRPr="002076AC">
        <w:t xml:space="preserve"> 10 mm from</w:t>
      </w:r>
      <w:r w:rsidRPr="00305955">
        <w:t xml:space="preserve"> the nozzle.</w:t>
      </w:r>
      <w:r>
        <w:t xml:space="preserve">   </w:t>
      </w:r>
      <w:r w:rsidR="003A4613" w:rsidRPr="006863BE">
        <w:rPr>
          <w:bCs/>
        </w:rPr>
        <w:t>”</w:t>
      </w:r>
    </w:p>
    <w:p w14:paraId="1784D0AF" w14:textId="26286FBD" w:rsidR="003A4613" w:rsidRDefault="003A4613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315B7C35" w14:textId="3626B09A" w:rsidR="000E4696" w:rsidRDefault="000E4696">
      <w:pPr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br w:type="page"/>
      </w:r>
    </w:p>
    <w:p w14:paraId="0551DB8A" w14:textId="77777777" w:rsidR="000E4696" w:rsidRDefault="000E4696" w:rsidP="000E4696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53776F8D" w14:textId="01D5A0CC" w:rsidR="000E4696" w:rsidRDefault="000E4696" w:rsidP="000E4696">
      <w:pPr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 w:rsidRPr="003A4613">
        <w:rPr>
          <w:rFonts w:ascii="Times New Roman" w:eastAsia="Times New Roman" w:hAnsi="Times New Roman" w:cs="Times New Roman"/>
          <w:i/>
          <w:lang w:val="en-US"/>
        </w:rPr>
        <w:t xml:space="preserve">Annex </w:t>
      </w:r>
      <w:r>
        <w:rPr>
          <w:rFonts w:ascii="Times New Roman" w:eastAsia="Times New Roman" w:hAnsi="Times New Roman" w:cs="Times New Roman"/>
          <w:i/>
          <w:lang w:val="en-US"/>
        </w:rPr>
        <w:t xml:space="preserve">12, </w:t>
      </w:r>
      <w:r w:rsidRPr="000E4696">
        <w:rPr>
          <w:rFonts w:ascii="Times New Roman" w:eastAsia="Times New Roman" w:hAnsi="Times New Roman" w:cs="Times New Roman"/>
          <w:iCs/>
          <w:lang w:val="en-US"/>
        </w:rPr>
        <w:t>replace</w:t>
      </w:r>
      <w:r>
        <w:rPr>
          <w:rFonts w:asciiTheme="majorBidi" w:hAnsiTheme="majorBidi" w:cstheme="majorBidi"/>
          <w:lang w:val="en-US"/>
        </w:rPr>
        <w:t xml:space="preserve"> to read:</w:t>
      </w:r>
    </w:p>
    <w:p w14:paraId="78535E74" w14:textId="49C49A7B" w:rsidR="000E4696" w:rsidRPr="000E4696" w:rsidRDefault="000E4696" w:rsidP="000E4696">
      <w:pPr>
        <w:suppressAutoHyphens/>
        <w:spacing w:after="120" w:line="240" w:lineRule="atLeast"/>
        <w:ind w:left="2268" w:right="567" w:hanging="1134"/>
        <w:jc w:val="both"/>
        <w:rPr>
          <w:rFonts w:ascii="Times New Roman" w:eastAsia="Times New Roman" w:hAnsi="Times New Roman" w:cs="Times New Roman"/>
          <w:iCs/>
          <w:lang w:val="en-US"/>
        </w:rPr>
      </w:pPr>
      <w:r>
        <w:rPr>
          <w:rFonts w:ascii="Times New Roman" w:eastAsia="Times New Roman" w:hAnsi="Times New Roman" w:cs="Times New Roman"/>
          <w:iCs/>
          <w:lang w:val="en-US"/>
        </w:rPr>
        <w:t>“</w:t>
      </w:r>
      <w:r w:rsidRPr="000E4696">
        <w:rPr>
          <w:rFonts w:ascii="Times New Roman" w:hAnsi="Times New Roman" w:cs="Times New Roman"/>
          <w:b/>
          <w:bCs/>
          <w:sz w:val="28"/>
          <w:szCs w:val="28"/>
          <w:lang w:val="en-US"/>
        </w:rPr>
        <w:t>Voltage marking</w:t>
      </w:r>
    </w:p>
    <w:p w14:paraId="245A7CBC" w14:textId="77777777" w:rsidR="000E4696" w:rsidRPr="000E4696" w:rsidRDefault="000E4696" w:rsidP="000E4696">
      <w:pPr>
        <w:tabs>
          <w:tab w:val="left" w:pos="660"/>
          <w:tab w:val="left" w:pos="1188"/>
          <w:tab w:val="left" w:pos="1716"/>
          <w:tab w:val="left" w:pos="2244"/>
          <w:tab w:val="left" w:pos="2904"/>
          <w:tab w:val="left" w:pos="3432"/>
          <w:tab w:val="left" w:pos="4620"/>
          <w:tab w:val="left" w:pos="5148"/>
          <w:tab w:val="left" w:pos="5676"/>
          <w:tab w:val="left" w:pos="6204"/>
          <w:tab w:val="left" w:pos="6864"/>
          <w:tab w:val="left" w:pos="7392"/>
          <w:tab w:val="left" w:pos="7920"/>
          <w:tab w:val="left" w:pos="8580"/>
          <w:tab w:val="left" w:pos="9108"/>
          <w:tab w:val="left" w:pos="9636"/>
          <w:tab w:val="left" w:pos="10164"/>
          <w:tab w:val="left" w:pos="10824"/>
          <w:tab w:val="left" w:pos="11352"/>
        </w:tabs>
        <w:suppressAutoHyphens/>
        <w:spacing w:after="120" w:line="240" w:lineRule="atLeast"/>
        <w:ind w:left="1134" w:right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0E4696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The following marking relates to the requirements of paragraph 3.3.4.6. of this Regulation. </w:t>
      </w:r>
    </w:p>
    <w:p w14:paraId="3E6FEB66" w14:textId="77777777" w:rsidR="000E4696" w:rsidRPr="000E4696" w:rsidRDefault="000E4696" w:rsidP="000E4696">
      <w:pPr>
        <w:spacing w:after="0" w:line="240" w:lineRule="auto"/>
        <w:ind w:left="2268" w:right="567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6A67D3F" w14:textId="77777777" w:rsidR="000E4696" w:rsidRPr="000E4696" w:rsidRDefault="000E4696" w:rsidP="000E4696">
      <w:pPr>
        <w:suppressAutoHyphens/>
        <w:spacing w:after="0" w:line="240" w:lineRule="auto"/>
        <w:ind w:left="2268" w:right="567"/>
        <w:outlineLvl w:val="4"/>
        <w:rPr>
          <w:rFonts w:ascii="Times New Roman" w:eastAsia="SimSun" w:hAnsi="Times New Roman" w:cs="Times New Roman"/>
          <w:sz w:val="20"/>
          <w:szCs w:val="20"/>
          <w:lang w:val="en-GB"/>
        </w:rPr>
      </w:pPr>
      <w:r w:rsidRPr="000E4696">
        <w:rPr>
          <w:rFonts w:ascii="Times New Roman" w:eastAsia="SimSun" w:hAnsi="Times New Roman" w:cs="Times New Roman"/>
          <w:sz w:val="20"/>
          <w:szCs w:val="20"/>
          <w:lang w:val="en-GB"/>
        </w:rPr>
        <w:t>Figure A12</w:t>
      </w:r>
    </w:p>
    <w:p w14:paraId="1C1FC7E2" w14:textId="77777777" w:rsidR="000E4696" w:rsidRPr="000E4696" w:rsidRDefault="000E4696" w:rsidP="000E4696">
      <w:pPr>
        <w:suppressAutoHyphens/>
        <w:spacing w:after="0" w:line="240" w:lineRule="auto"/>
        <w:ind w:left="2268" w:right="567"/>
        <w:outlineLvl w:val="4"/>
        <w:rPr>
          <w:rFonts w:ascii="Times New Roman" w:eastAsia="SimSun" w:hAnsi="Times New Roman" w:cs="Times New Roman"/>
          <w:b/>
          <w:bCs/>
          <w:sz w:val="20"/>
          <w:szCs w:val="20"/>
          <w:lang w:val="en-GB"/>
        </w:rPr>
      </w:pPr>
      <w:r w:rsidRPr="000E4696">
        <w:rPr>
          <w:rFonts w:ascii="Times New Roman" w:eastAsia="SimSun" w:hAnsi="Times New Roman" w:cs="Times New Roman"/>
          <w:b/>
          <w:bCs/>
          <w:sz w:val="20"/>
          <w:szCs w:val="20"/>
          <w:lang w:val="en-GB"/>
        </w:rPr>
        <w:t>Voltage marking</w:t>
      </w:r>
    </w:p>
    <w:p w14:paraId="0A43F575" w14:textId="77777777" w:rsidR="000E4696" w:rsidRPr="000E4696" w:rsidRDefault="000E4696" w:rsidP="000E4696">
      <w:pPr>
        <w:suppressAutoHyphens/>
        <w:spacing w:before="40" w:after="120" w:line="240" w:lineRule="atLeast"/>
        <w:ind w:left="1134" w:right="567"/>
        <w:jc w:val="both"/>
        <w:rPr>
          <w:rFonts w:ascii="Calibri" w:eastAsia="SimSun" w:hAnsi="Calibri" w:cs="Times New Roman"/>
          <w:sz w:val="20"/>
          <w:szCs w:val="20"/>
          <w:lang w:val="en-GB"/>
        </w:rPr>
      </w:pPr>
    </w:p>
    <w:p w14:paraId="6C2C4080" w14:textId="77777777" w:rsidR="000E4696" w:rsidRPr="000E4696" w:rsidRDefault="000E4696" w:rsidP="000E4696">
      <w:pPr>
        <w:suppressAutoHyphens/>
        <w:spacing w:after="120" w:line="240" w:lineRule="atLeast"/>
        <w:ind w:left="2268" w:right="567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0E4696">
        <w:rPr>
          <w:rFonts w:ascii="Times New Roman" w:eastAsia="Times New Roman" w:hAnsi="Times New Roman" w:cs="Times New Roman"/>
          <w:bCs/>
          <w:noProof/>
          <w:sz w:val="20"/>
          <w:szCs w:val="20"/>
          <w:lang w:val="fr-FR"/>
        </w:rPr>
        <w:drawing>
          <wp:inline distT="0" distB="0" distL="0" distR="0" wp14:anchorId="12C82DE3" wp14:editId="24951DFB">
            <wp:extent cx="1367942" cy="518531"/>
            <wp:effectExtent l="0" t="0" r="0" b="0"/>
            <wp:docPr id="3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03" cy="531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3510BD" w14:textId="77777777" w:rsidR="000E4696" w:rsidRDefault="000E4696" w:rsidP="000E4696">
      <w:pPr>
        <w:tabs>
          <w:tab w:val="left" w:pos="660"/>
          <w:tab w:val="left" w:pos="1188"/>
          <w:tab w:val="left" w:pos="1716"/>
          <w:tab w:val="left" w:pos="2244"/>
          <w:tab w:val="left" w:pos="2904"/>
          <w:tab w:val="left" w:pos="3432"/>
          <w:tab w:val="left" w:pos="4620"/>
          <w:tab w:val="left" w:pos="5148"/>
          <w:tab w:val="left" w:pos="5676"/>
          <w:tab w:val="left" w:pos="6204"/>
          <w:tab w:val="left" w:pos="6864"/>
          <w:tab w:val="left" w:pos="7392"/>
          <w:tab w:val="left" w:pos="7920"/>
          <w:tab w:val="left" w:pos="8580"/>
          <w:tab w:val="left" w:pos="9108"/>
          <w:tab w:val="left" w:pos="9636"/>
          <w:tab w:val="left" w:pos="10164"/>
          <w:tab w:val="left" w:pos="10824"/>
          <w:tab w:val="left" w:pos="11352"/>
        </w:tabs>
        <w:suppressAutoHyphens/>
        <w:spacing w:after="120" w:line="240" w:lineRule="atLeast"/>
        <w:ind w:left="1134" w:right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14:paraId="78B354C6" w14:textId="6DD07182" w:rsidR="000E4696" w:rsidRPr="000E4696" w:rsidRDefault="000E4696" w:rsidP="000E4696">
      <w:pPr>
        <w:tabs>
          <w:tab w:val="left" w:pos="660"/>
          <w:tab w:val="left" w:pos="1188"/>
          <w:tab w:val="left" w:pos="1716"/>
          <w:tab w:val="left" w:pos="2244"/>
          <w:tab w:val="left" w:pos="2904"/>
          <w:tab w:val="left" w:pos="3432"/>
          <w:tab w:val="left" w:pos="4620"/>
          <w:tab w:val="left" w:pos="5148"/>
          <w:tab w:val="left" w:pos="5676"/>
          <w:tab w:val="left" w:pos="6204"/>
          <w:tab w:val="left" w:pos="6864"/>
          <w:tab w:val="left" w:pos="7392"/>
          <w:tab w:val="left" w:pos="7920"/>
          <w:tab w:val="left" w:pos="8580"/>
          <w:tab w:val="left" w:pos="9108"/>
          <w:tab w:val="left" w:pos="9636"/>
          <w:tab w:val="left" w:pos="10164"/>
          <w:tab w:val="left" w:pos="10824"/>
          <w:tab w:val="left" w:pos="11352"/>
        </w:tabs>
        <w:suppressAutoHyphens/>
        <w:spacing w:after="120" w:line="240" w:lineRule="atLeast"/>
        <w:ind w:left="1134" w:right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0E4696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The road illumination device(s) is(are) designed for a rated voltage of nn Volts.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”</w:t>
      </w:r>
    </w:p>
    <w:p w14:paraId="6D8FABF8" w14:textId="77777777" w:rsidR="000E4696" w:rsidRPr="000E4696" w:rsidRDefault="000E4696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Cs/>
          <w:lang w:val="en-US"/>
        </w:rPr>
      </w:pPr>
    </w:p>
    <w:p w14:paraId="74634B74" w14:textId="77777777" w:rsidR="003A4613" w:rsidRDefault="003A4613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3C505DF1" w14:textId="77777777" w:rsidR="00C27479" w:rsidRDefault="009556F5">
      <w:pPr>
        <w:pStyle w:val="HChG"/>
        <w:spacing w:before="240"/>
        <w:rPr>
          <w:rFonts w:ascii="Arial" w:hAnsi="Arial"/>
          <w:b w:val="0"/>
          <w:bCs/>
          <w:lang w:val="en-US"/>
        </w:rPr>
      </w:pPr>
      <w:r>
        <w:rPr>
          <w:lang w:val="en-US"/>
        </w:rPr>
        <w:tab/>
        <w:t>II.</w:t>
      </w:r>
      <w:r>
        <w:rPr>
          <w:lang w:val="en-US"/>
        </w:rPr>
        <w:tab/>
        <w:t>Justification</w:t>
      </w:r>
    </w:p>
    <w:p w14:paraId="2DCEDACF" w14:textId="304D9F46" w:rsidR="00703BE6" w:rsidRPr="00017D97" w:rsidRDefault="00017D97" w:rsidP="006E39AE">
      <w:pPr>
        <w:pStyle w:val="SingleTxtG"/>
        <w:numPr>
          <w:ilvl w:val="0"/>
          <w:numId w:val="7"/>
        </w:numPr>
        <w:ind w:left="1134" w:right="567" w:firstLine="0"/>
        <w:rPr>
          <w:rFonts w:eastAsiaTheme="minorEastAsia"/>
          <w:bdr w:val="nil"/>
          <w:lang w:val="en-US"/>
        </w:rPr>
      </w:pPr>
      <w:r w:rsidRPr="00017D97">
        <w:rPr>
          <w:rFonts w:eastAsiaTheme="minorEastAsia"/>
          <w:bdr w:val="nil"/>
          <w:lang w:val="en-US"/>
        </w:rPr>
        <w:t xml:space="preserve">In Table 7, Part A, for the AFS passing-beams it is proposed </w:t>
      </w:r>
      <w:r>
        <w:rPr>
          <w:rFonts w:eastAsiaTheme="minorEastAsia"/>
          <w:bdr w:val="nil"/>
          <w:lang w:val="en-US"/>
        </w:rPr>
        <w:t xml:space="preserve">to </w:t>
      </w:r>
      <w:r w:rsidRPr="00017D97">
        <w:rPr>
          <w:rFonts w:eastAsiaTheme="minorEastAsia"/>
          <w:bdr w:val="nil"/>
          <w:lang w:val="en-US"/>
        </w:rPr>
        <w:t>use the same format like in Table 6 for the static passing-beams</w:t>
      </w:r>
      <w:r>
        <w:rPr>
          <w:rFonts w:eastAsiaTheme="minorEastAsia"/>
          <w:bdr w:val="nil"/>
          <w:lang w:val="en-US"/>
        </w:rPr>
        <w:t>,</w:t>
      </w:r>
      <w:r w:rsidRPr="00017D97">
        <w:rPr>
          <w:rFonts w:eastAsiaTheme="minorEastAsia"/>
          <w:bdr w:val="nil"/>
          <w:lang w:val="en-US"/>
        </w:rPr>
        <w:t xml:space="preserve"> with identical measurement elements as well as identical luminous intensity requirements for classes C and V passing-beams. The proposal corrects an editorial mistake that was introduced in the development phase of the text for the 01 series of amendments</w:t>
      </w:r>
      <w:r>
        <w:rPr>
          <w:rFonts w:eastAsiaTheme="minorEastAsia"/>
          <w:bdr w:val="nil"/>
          <w:lang w:val="en-US"/>
        </w:rPr>
        <w:t>.</w:t>
      </w:r>
    </w:p>
    <w:p w14:paraId="0EB2B126" w14:textId="1E4DE820" w:rsidR="003644A5" w:rsidRDefault="003644A5" w:rsidP="006E39AE">
      <w:pPr>
        <w:pStyle w:val="SingleTxtG"/>
        <w:numPr>
          <w:ilvl w:val="0"/>
          <w:numId w:val="7"/>
        </w:numPr>
        <w:ind w:left="1134" w:right="567" w:firstLine="0"/>
        <w:rPr>
          <w:rFonts w:eastAsiaTheme="minorEastAsia"/>
          <w:bdr w:val="nil"/>
          <w:lang w:val="en-US"/>
        </w:rPr>
      </w:pPr>
      <w:r>
        <w:rPr>
          <w:rFonts w:eastAsiaTheme="minorEastAsia"/>
          <w:bdr w:val="nil"/>
          <w:lang w:val="en-US"/>
        </w:rPr>
        <w:t>In Table 20, the notes to the table were not indicated properly and had to be moved below the table</w:t>
      </w:r>
    </w:p>
    <w:p w14:paraId="7230B5BF" w14:textId="1289AAE1" w:rsidR="00C27479" w:rsidRPr="006E39AE" w:rsidRDefault="009556F5" w:rsidP="006E39AE">
      <w:pPr>
        <w:pStyle w:val="SingleTxtG"/>
        <w:numPr>
          <w:ilvl w:val="0"/>
          <w:numId w:val="7"/>
        </w:numPr>
        <w:ind w:left="1134" w:right="567" w:firstLine="0"/>
        <w:rPr>
          <w:rFonts w:eastAsiaTheme="minorEastAsia"/>
          <w:bdr w:val="nil"/>
          <w:lang w:val="en-US"/>
        </w:rPr>
      </w:pPr>
      <w:r w:rsidRPr="006E39AE">
        <w:rPr>
          <w:rFonts w:eastAsiaTheme="minorEastAsia"/>
          <w:bdr w:val="nil"/>
          <w:lang w:val="en-US"/>
        </w:rPr>
        <w:t xml:space="preserve">The </w:t>
      </w:r>
      <w:r w:rsidR="00930DCA">
        <w:rPr>
          <w:rFonts w:eastAsiaTheme="minorEastAsia"/>
          <w:bdr w:val="nil"/>
          <w:lang w:val="en-US"/>
        </w:rPr>
        <w:t>footnote 2 “</w:t>
      </w:r>
      <w:r w:rsidR="00930DCA" w:rsidRPr="00930DCA">
        <w:rPr>
          <w:rFonts w:eastAsiaTheme="minorEastAsia"/>
          <w:bdr w:val="nil"/>
          <w:lang w:val="en-US"/>
        </w:rPr>
        <w:t>Strike out what does not apply</w:t>
      </w:r>
      <w:r w:rsidR="00930DCA">
        <w:rPr>
          <w:rFonts w:eastAsiaTheme="minorEastAsia"/>
          <w:bdr w:val="nil"/>
          <w:lang w:val="en-US"/>
        </w:rPr>
        <w:t>” in conjunction with item 10 of Annex 1 was wrong</w:t>
      </w:r>
      <w:r w:rsidR="00E61665">
        <w:rPr>
          <w:rFonts w:eastAsiaTheme="minorEastAsia"/>
          <w:bdr w:val="nil"/>
          <w:lang w:val="en-US"/>
        </w:rPr>
        <w:t>,</w:t>
      </w:r>
      <w:r w:rsidR="00930DCA">
        <w:rPr>
          <w:rFonts w:eastAsiaTheme="minorEastAsia"/>
          <w:bdr w:val="nil"/>
          <w:lang w:val="en-US"/>
        </w:rPr>
        <w:t xml:space="preserve"> since the item refers to the position </w:t>
      </w:r>
      <w:r w:rsidR="008B4518" w:rsidRPr="008B4518">
        <w:rPr>
          <w:rFonts w:eastAsiaTheme="minorEastAsia"/>
          <w:bdr w:val="nil"/>
          <w:lang w:val="en-US"/>
        </w:rPr>
        <w:t xml:space="preserve">of the approval mark or Unique Identifier </w:t>
      </w:r>
      <w:r w:rsidR="008B4518">
        <w:rPr>
          <w:rFonts w:eastAsiaTheme="minorEastAsia"/>
          <w:bdr w:val="nil"/>
          <w:lang w:val="en-US"/>
        </w:rPr>
        <w:t>and not to their presence</w:t>
      </w:r>
      <w:r w:rsidRPr="006E39AE">
        <w:rPr>
          <w:rFonts w:eastAsiaTheme="minorEastAsia"/>
          <w:bdr w:val="nil"/>
          <w:lang w:val="en-US"/>
        </w:rPr>
        <w:t>.</w:t>
      </w:r>
    </w:p>
    <w:p w14:paraId="1F0D9D58" w14:textId="2C4A56B4" w:rsidR="003644A5" w:rsidRPr="00017D97" w:rsidRDefault="003644A5" w:rsidP="006E39AE">
      <w:pPr>
        <w:pStyle w:val="SingleTxtG"/>
        <w:numPr>
          <w:ilvl w:val="0"/>
          <w:numId w:val="7"/>
        </w:numPr>
        <w:ind w:left="1134" w:right="567" w:firstLine="0"/>
        <w:rPr>
          <w:rFonts w:eastAsiaTheme="minorEastAsia"/>
          <w:bdr w:val="nil"/>
          <w:lang w:val="en-US"/>
        </w:rPr>
      </w:pPr>
      <w:r>
        <w:rPr>
          <w:rFonts w:eastAsiaTheme="minorEastAsia"/>
          <w:bdr w:val="nil"/>
          <w:lang w:val="en-US"/>
        </w:rPr>
        <w:t xml:space="preserve">For clarity the unit of measure “mm” has been added to paragraphs </w:t>
      </w:r>
      <w:r w:rsidRPr="003644A5">
        <w:rPr>
          <w:rFonts w:eastAsiaTheme="minorEastAsia"/>
          <w:bdr w:val="nil"/>
          <w:lang w:val="en-US"/>
        </w:rPr>
        <w:t>1.2.1.1.</w:t>
      </w:r>
      <w:r>
        <w:rPr>
          <w:rFonts w:eastAsiaTheme="minorEastAsia"/>
          <w:bdr w:val="nil"/>
          <w:lang w:val="en-US"/>
        </w:rPr>
        <w:t xml:space="preserve"> and 3.2.2.2. of </w:t>
      </w:r>
      <w:r w:rsidRPr="00017D97">
        <w:rPr>
          <w:rFonts w:eastAsiaTheme="minorEastAsia"/>
          <w:bdr w:val="nil"/>
          <w:lang w:val="en-US"/>
        </w:rPr>
        <w:t>Annex 8.</w:t>
      </w:r>
    </w:p>
    <w:p w14:paraId="3AED137A" w14:textId="21C54A2A" w:rsidR="003411A5" w:rsidRPr="00017D97" w:rsidRDefault="003411A5" w:rsidP="006E39AE">
      <w:pPr>
        <w:pStyle w:val="SingleTxtG"/>
        <w:numPr>
          <w:ilvl w:val="0"/>
          <w:numId w:val="7"/>
        </w:numPr>
        <w:ind w:left="1134" w:right="567" w:firstLine="0"/>
        <w:rPr>
          <w:rFonts w:eastAsiaTheme="minorEastAsia"/>
          <w:bdr w:val="nil"/>
          <w:lang w:val="en-US"/>
        </w:rPr>
      </w:pPr>
      <w:r w:rsidRPr="00017D97">
        <w:rPr>
          <w:rFonts w:eastAsiaTheme="minorEastAsia"/>
          <w:bdr w:val="nil"/>
          <w:lang w:val="en-US"/>
        </w:rPr>
        <w:t xml:space="preserve">Annex 8, Paragraph 3.1.2.2., </w:t>
      </w:r>
      <w:r w:rsidR="00017D97" w:rsidRPr="00017D97">
        <w:rPr>
          <w:rFonts w:eastAsiaTheme="minorEastAsia"/>
          <w:bdr w:val="nil"/>
          <w:lang w:val="en-US"/>
        </w:rPr>
        <w:t>it is proposed to introduce a technologically neutral text in order to cover all kinds of light sources and light source modules.</w:t>
      </w:r>
    </w:p>
    <w:p w14:paraId="344ECA9B" w14:textId="70990F16" w:rsidR="00E168E0" w:rsidRDefault="00E168E0" w:rsidP="006E39AE">
      <w:pPr>
        <w:pStyle w:val="SingleTxtG"/>
        <w:numPr>
          <w:ilvl w:val="0"/>
          <w:numId w:val="7"/>
        </w:numPr>
        <w:ind w:left="1134" w:right="567" w:firstLine="0"/>
        <w:rPr>
          <w:rFonts w:eastAsiaTheme="minorEastAsia"/>
          <w:bdr w:val="nil"/>
          <w:lang w:val="en-US"/>
        </w:rPr>
      </w:pPr>
      <w:r w:rsidRPr="00017D97">
        <w:rPr>
          <w:rFonts w:eastAsiaTheme="minorEastAsia"/>
          <w:bdr w:val="nil"/>
          <w:lang w:val="en-US"/>
        </w:rPr>
        <w:t>By mistake a formula is displayed superimposed on the text</w:t>
      </w:r>
      <w:r w:rsidR="003644A5" w:rsidRPr="00017D97">
        <w:rPr>
          <w:rFonts w:eastAsiaTheme="minorEastAsia"/>
          <w:bdr w:val="nil"/>
          <w:lang w:val="en-US"/>
        </w:rPr>
        <w:t xml:space="preserve"> </w:t>
      </w:r>
      <w:r w:rsidRPr="00017D97">
        <w:rPr>
          <w:rFonts w:eastAsiaTheme="minorEastAsia"/>
          <w:bdr w:val="nil"/>
          <w:lang w:val="en-US"/>
        </w:rPr>
        <w:t>of paragraph 3.2.1. of Annex</w:t>
      </w:r>
      <w:r w:rsidR="00D8477F">
        <w:rPr>
          <w:rFonts w:eastAsiaTheme="minorEastAsia"/>
          <w:bdr w:val="nil"/>
          <w:lang w:val="en-US"/>
        </w:rPr>
        <w:t> </w:t>
      </w:r>
      <w:r w:rsidRPr="00017D97">
        <w:rPr>
          <w:rFonts w:eastAsiaTheme="minorEastAsia"/>
          <w:bdr w:val="nil"/>
          <w:lang w:val="en-US"/>
        </w:rPr>
        <w:t>8. This formula</w:t>
      </w:r>
      <w:r>
        <w:rPr>
          <w:rFonts w:eastAsiaTheme="minorEastAsia"/>
          <w:bdr w:val="nil"/>
          <w:lang w:val="en-US"/>
        </w:rPr>
        <w:t xml:space="preserve"> shall be deleted in order to read properly the text underneath it.</w:t>
      </w:r>
    </w:p>
    <w:p w14:paraId="68D225F0" w14:textId="471B48E0" w:rsidR="00C27479" w:rsidRPr="00017D97" w:rsidRDefault="008B4518" w:rsidP="006E39AE">
      <w:pPr>
        <w:pStyle w:val="SingleTxtG"/>
        <w:numPr>
          <w:ilvl w:val="0"/>
          <w:numId w:val="7"/>
        </w:numPr>
        <w:ind w:left="1134" w:right="567" w:firstLine="0"/>
        <w:rPr>
          <w:rFonts w:eastAsiaTheme="minorEastAsia"/>
          <w:bdr w:val="nil"/>
          <w:lang w:val="en-US"/>
        </w:rPr>
      </w:pPr>
      <w:r>
        <w:rPr>
          <w:rFonts w:eastAsiaTheme="minorEastAsia"/>
          <w:bdr w:val="nil"/>
          <w:lang w:val="en-US"/>
        </w:rPr>
        <w:t xml:space="preserve">During the preparation of the official proposal, the </w:t>
      </w:r>
      <w:r w:rsidR="00E168E0">
        <w:rPr>
          <w:rFonts w:eastAsiaTheme="minorEastAsia"/>
          <w:bdr w:val="nil"/>
          <w:lang w:val="en-US"/>
        </w:rPr>
        <w:t xml:space="preserve">sign ± has been </w:t>
      </w:r>
      <w:r w:rsidRPr="008B4518">
        <w:rPr>
          <w:rFonts w:eastAsiaTheme="minorEastAsia"/>
          <w:bdr w:val="nil"/>
          <w:lang w:val="en-US"/>
        </w:rPr>
        <w:t>inadvertently</w:t>
      </w:r>
      <w:r>
        <w:rPr>
          <w:rFonts w:eastAsiaTheme="minorEastAsia"/>
          <w:bdr w:val="nil"/>
          <w:lang w:val="en-US"/>
        </w:rPr>
        <w:t xml:space="preserve"> </w:t>
      </w:r>
      <w:r w:rsidR="00E168E0">
        <w:rPr>
          <w:rFonts w:eastAsiaTheme="minorEastAsia"/>
          <w:bdr w:val="nil"/>
          <w:lang w:val="en-US"/>
        </w:rPr>
        <w:t xml:space="preserve">omitted in two cases in </w:t>
      </w:r>
      <w:r w:rsidR="00E168E0" w:rsidRPr="00017D97">
        <w:rPr>
          <w:rFonts w:eastAsiaTheme="minorEastAsia"/>
          <w:bdr w:val="nil"/>
          <w:lang w:val="en-US"/>
        </w:rPr>
        <w:t>paragraph 1.1. of Annex 8, Appendix 3.</w:t>
      </w:r>
    </w:p>
    <w:p w14:paraId="7CC7941C" w14:textId="17111A15" w:rsidR="003411A5" w:rsidRPr="00017D97" w:rsidRDefault="003411A5" w:rsidP="006E39AE">
      <w:pPr>
        <w:pStyle w:val="SingleTxtG"/>
        <w:numPr>
          <w:ilvl w:val="0"/>
          <w:numId w:val="7"/>
        </w:numPr>
        <w:ind w:left="1134" w:right="567" w:firstLine="0"/>
        <w:rPr>
          <w:rFonts w:eastAsiaTheme="minorEastAsia"/>
          <w:bdr w:val="nil"/>
          <w:lang w:val="en-US"/>
        </w:rPr>
      </w:pPr>
      <w:r w:rsidRPr="00017D97">
        <w:rPr>
          <w:rFonts w:eastAsiaTheme="minorEastAsia"/>
          <w:bdr w:val="nil"/>
          <w:lang w:val="en-US"/>
        </w:rPr>
        <w:t xml:space="preserve">Annex 12, </w:t>
      </w:r>
      <w:r w:rsidR="00017D97" w:rsidRPr="00017D97">
        <w:rPr>
          <w:rFonts w:eastAsiaTheme="minorEastAsia"/>
          <w:bdr w:val="nil"/>
          <w:lang w:val="en-US"/>
        </w:rPr>
        <w:t>is proposed to be revised in order to introduce an identical voltage marking for all kinds of AFS, headlamps and front fog lamps, independently on the kind of light sources</w:t>
      </w:r>
      <w:r w:rsidR="00D8477F">
        <w:rPr>
          <w:rFonts w:eastAsiaTheme="minorEastAsia"/>
          <w:bdr w:val="nil"/>
          <w:lang w:val="en-US"/>
        </w:rPr>
        <w:t>.</w:t>
      </w:r>
    </w:p>
    <w:sectPr w:rsidR="003411A5" w:rsidRPr="00017D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042BD" w14:textId="77777777" w:rsidR="00BB5DB7" w:rsidRDefault="00BB5DB7">
      <w:pPr>
        <w:spacing w:after="0" w:line="240" w:lineRule="auto"/>
      </w:pPr>
      <w:r>
        <w:separator/>
      </w:r>
    </w:p>
  </w:endnote>
  <w:endnote w:type="continuationSeparator" w:id="0">
    <w:p w14:paraId="3C94C1D0" w14:textId="77777777" w:rsidR="00BB5DB7" w:rsidRDefault="00BB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SGothicM">
    <w:altName w:val="Yu Gothic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D1C3" w14:textId="77777777" w:rsidR="00870396" w:rsidRDefault="00870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0DBAF" w14:textId="77777777" w:rsidR="00870396" w:rsidRDefault="008703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B3D9C" w14:textId="77777777" w:rsidR="00870396" w:rsidRDefault="00870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C2AC3" w14:textId="77777777" w:rsidR="00BB5DB7" w:rsidRDefault="00BB5DB7">
      <w:pPr>
        <w:spacing w:after="0" w:line="240" w:lineRule="auto"/>
      </w:pPr>
      <w:r>
        <w:separator/>
      </w:r>
    </w:p>
  </w:footnote>
  <w:footnote w:type="continuationSeparator" w:id="0">
    <w:p w14:paraId="7971F087" w14:textId="77777777" w:rsidR="00BB5DB7" w:rsidRDefault="00BB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5A624" w14:textId="77777777" w:rsidR="00870396" w:rsidRDefault="00870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F6699" w14:textId="77777777" w:rsidR="00870396" w:rsidRDefault="008703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108" w:type="dxa"/>
      <w:tblLook w:val="04A0" w:firstRow="1" w:lastRow="0" w:firstColumn="1" w:lastColumn="0" w:noHBand="0" w:noVBand="1"/>
    </w:tblPr>
    <w:tblGrid>
      <w:gridCol w:w="4395"/>
      <w:gridCol w:w="5103"/>
    </w:tblGrid>
    <w:tr w:rsidR="00C27479" w14:paraId="7FB50719" w14:textId="77777777">
      <w:tc>
        <w:tcPr>
          <w:tcW w:w="4395" w:type="dxa"/>
          <w:vAlign w:val="center"/>
          <w:hideMark/>
        </w:tcPr>
        <w:p w14:paraId="06BD16A2" w14:textId="77777777" w:rsidR="00C27479" w:rsidRDefault="009556F5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Transmitted by the GRE-IWG SLR</w:t>
          </w:r>
        </w:p>
      </w:tc>
      <w:tc>
        <w:tcPr>
          <w:tcW w:w="5103" w:type="dxa"/>
          <w:hideMark/>
        </w:tcPr>
        <w:p w14:paraId="1F1A04D8" w14:textId="585357FE" w:rsidR="00C27479" w:rsidRPr="00775D92" w:rsidRDefault="009556F5">
          <w:pPr>
            <w:suppressAutoHyphens/>
            <w:spacing w:after="0" w:line="240" w:lineRule="auto"/>
            <w:ind w:left="884"/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val="en-US" w:eastAsia="ar-SA"/>
            </w:rPr>
          </w:pPr>
          <w:r w:rsidRPr="00775D92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val="en-US" w:eastAsia="ar-SA"/>
            </w:rPr>
            <w:t>Informal document</w:t>
          </w:r>
          <w:r w:rsidRPr="00775D92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 xml:space="preserve"> </w:t>
          </w:r>
          <w:r w:rsidRPr="00775D9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ar-SA"/>
            </w:rPr>
            <w:t>GRE-8</w:t>
          </w:r>
          <w:r w:rsidR="0062481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ar-SA"/>
            </w:rPr>
            <w:t>5</w:t>
          </w:r>
          <w:r w:rsidRPr="00775D9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ar-SA"/>
            </w:rPr>
            <w:t>-</w:t>
          </w:r>
          <w:r w:rsidR="0087039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ar-SA"/>
            </w:rPr>
            <w:t>14</w:t>
          </w:r>
        </w:p>
        <w:p w14:paraId="44388A97" w14:textId="31A405B1" w:rsidR="00C27479" w:rsidRPr="00775D92" w:rsidRDefault="009556F5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884"/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</w:pPr>
          <w:r w:rsidRPr="00775D92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>8</w:t>
          </w:r>
          <w:r w:rsidR="00624817">
            <w:rPr>
              <w:rFonts w:ascii="Times New Roman" w:eastAsia="Yu Mincho" w:hAnsi="Times New Roman" w:cs="Times New Roman"/>
              <w:sz w:val="24"/>
              <w:szCs w:val="24"/>
              <w:lang w:val="en-US" w:eastAsia="ja-JP"/>
            </w:rPr>
            <w:t>5</w:t>
          </w:r>
          <w:r w:rsidRPr="00775D92">
            <w:rPr>
              <w:rFonts w:ascii="Times New Roman" w:eastAsia="Yu Mincho" w:hAnsi="Times New Roman" w:cs="Times New Roman" w:hint="eastAsia"/>
              <w:sz w:val="24"/>
              <w:szCs w:val="24"/>
              <w:vertAlign w:val="superscript"/>
              <w:lang w:val="en-US" w:eastAsia="ja-JP"/>
            </w:rPr>
            <w:t>th</w:t>
          </w:r>
          <w:r w:rsidRPr="00775D92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 xml:space="preserve"> GRE, </w:t>
          </w:r>
          <w:r w:rsidRPr="00775D92">
            <w:rPr>
              <w:rFonts w:ascii="Times New Roman" w:eastAsia="Yu Mincho" w:hAnsi="Times New Roman" w:cs="Times New Roman" w:hint="eastAsia"/>
              <w:sz w:val="24"/>
              <w:szCs w:val="24"/>
              <w:lang w:val="en-US" w:eastAsia="ja-JP"/>
            </w:rPr>
            <w:t>26</w:t>
          </w:r>
          <w:r w:rsidRPr="00775D92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>-</w:t>
          </w:r>
          <w:r w:rsidR="00624817">
            <w:rPr>
              <w:rFonts w:ascii="Times New Roman" w:eastAsia="Yu Mincho" w:hAnsi="Times New Roman" w:cs="Times New Roman"/>
              <w:sz w:val="24"/>
              <w:szCs w:val="24"/>
              <w:lang w:val="en-US" w:eastAsia="ja-JP"/>
            </w:rPr>
            <w:t>29</w:t>
          </w:r>
          <w:r w:rsidRPr="00775D92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 xml:space="preserve"> </w:t>
          </w:r>
          <w:r w:rsidR="00624817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>October</w:t>
          </w:r>
          <w:r w:rsidRPr="00775D92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 xml:space="preserve"> 20</w:t>
          </w:r>
          <w:r w:rsidRPr="00775D92">
            <w:rPr>
              <w:rFonts w:ascii="Times New Roman" w:eastAsia="Yu Mincho" w:hAnsi="Times New Roman" w:cs="Times New Roman" w:hint="eastAsia"/>
              <w:sz w:val="24"/>
              <w:szCs w:val="24"/>
              <w:lang w:val="en-US" w:eastAsia="ja-JP"/>
            </w:rPr>
            <w:t>21</w:t>
          </w:r>
        </w:p>
        <w:p w14:paraId="48299E91" w14:textId="10E4D79A" w:rsidR="00C27479" w:rsidRDefault="009556F5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884"/>
            <w:rPr>
              <w:rFonts w:ascii="Times New Roman" w:eastAsia="Yu Mincho" w:hAnsi="Times New Roman" w:cs="Times New Roman"/>
              <w:sz w:val="24"/>
              <w:szCs w:val="24"/>
              <w:lang w:val="en-GB" w:eastAsia="ja-JP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 xml:space="preserve">Agenda item </w:t>
          </w:r>
          <w:r w:rsidR="00B612AB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4</w:t>
          </w:r>
          <w:r w:rsidR="00775D92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 xml:space="preserve"> (</w:t>
          </w:r>
          <w:r w:rsidR="00B612AB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c</w:t>
          </w:r>
          <w:r w:rsidR="00775D92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)</w:t>
          </w:r>
        </w:p>
      </w:tc>
    </w:tr>
  </w:tbl>
  <w:p w14:paraId="5EDE55E6" w14:textId="77777777" w:rsidR="00C27479" w:rsidRDefault="00C27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97672"/>
    <w:multiLevelType w:val="hybridMultilevel"/>
    <w:tmpl w:val="07EE9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2F38"/>
    <w:multiLevelType w:val="hybridMultilevel"/>
    <w:tmpl w:val="2A545FF8"/>
    <w:lvl w:ilvl="0" w:tplc="8624956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0DD4EC2"/>
    <w:multiLevelType w:val="hybridMultilevel"/>
    <w:tmpl w:val="4EB2824C"/>
    <w:lvl w:ilvl="0" w:tplc="039E0B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40F53D1"/>
    <w:multiLevelType w:val="hybridMultilevel"/>
    <w:tmpl w:val="69AA3E9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DFD5F45"/>
    <w:multiLevelType w:val="hybridMultilevel"/>
    <w:tmpl w:val="61822CEA"/>
    <w:lvl w:ilvl="0" w:tplc="0410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533496C"/>
    <w:multiLevelType w:val="hybridMultilevel"/>
    <w:tmpl w:val="0990284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BE3016E"/>
    <w:multiLevelType w:val="hybridMultilevel"/>
    <w:tmpl w:val="20B2CE90"/>
    <w:lvl w:ilvl="0" w:tplc="E4DEAA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709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79"/>
    <w:rsid w:val="000172F7"/>
    <w:rsid w:val="00017D97"/>
    <w:rsid w:val="00022CF6"/>
    <w:rsid w:val="00044E91"/>
    <w:rsid w:val="0004696A"/>
    <w:rsid w:val="000A3FA8"/>
    <w:rsid w:val="000E4696"/>
    <w:rsid w:val="00101D9F"/>
    <w:rsid w:val="001227F1"/>
    <w:rsid w:val="00172F72"/>
    <w:rsid w:val="002076AC"/>
    <w:rsid w:val="00225778"/>
    <w:rsid w:val="00231851"/>
    <w:rsid w:val="002429D9"/>
    <w:rsid w:val="002B4542"/>
    <w:rsid w:val="00302F7B"/>
    <w:rsid w:val="003244F9"/>
    <w:rsid w:val="003411A5"/>
    <w:rsid w:val="003639FF"/>
    <w:rsid w:val="003644A5"/>
    <w:rsid w:val="003770D0"/>
    <w:rsid w:val="003A4613"/>
    <w:rsid w:val="003F4C6B"/>
    <w:rsid w:val="004423E1"/>
    <w:rsid w:val="00497B69"/>
    <w:rsid w:val="004A452D"/>
    <w:rsid w:val="00553975"/>
    <w:rsid w:val="005C57BA"/>
    <w:rsid w:val="00624817"/>
    <w:rsid w:val="006511B0"/>
    <w:rsid w:val="006606C3"/>
    <w:rsid w:val="006863BE"/>
    <w:rsid w:val="006A5F4C"/>
    <w:rsid w:val="006B678D"/>
    <w:rsid w:val="006C0416"/>
    <w:rsid w:val="006E39AE"/>
    <w:rsid w:val="006F13D4"/>
    <w:rsid w:val="00703BE6"/>
    <w:rsid w:val="007210E9"/>
    <w:rsid w:val="00775D92"/>
    <w:rsid w:val="007804DF"/>
    <w:rsid w:val="007A611C"/>
    <w:rsid w:val="008544A6"/>
    <w:rsid w:val="0086494E"/>
    <w:rsid w:val="00870396"/>
    <w:rsid w:val="008864CD"/>
    <w:rsid w:val="00893850"/>
    <w:rsid w:val="008A677B"/>
    <w:rsid w:val="008B4518"/>
    <w:rsid w:val="008C5FC2"/>
    <w:rsid w:val="008C6C1F"/>
    <w:rsid w:val="0091532E"/>
    <w:rsid w:val="00930DCA"/>
    <w:rsid w:val="00940DEB"/>
    <w:rsid w:val="009556F5"/>
    <w:rsid w:val="00994D95"/>
    <w:rsid w:val="009B1E09"/>
    <w:rsid w:val="009E4D55"/>
    <w:rsid w:val="009F65AE"/>
    <w:rsid w:val="00B612AB"/>
    <w:rsid w:val="00BB5DB7"/>
    <w:rsid w:val="00BB6560"/>
    <w:rsid w:val="00C03E64"/>
    <w:rsid w:val="00C2540C"/>
    <w:rsid w:val="00C27479"/>
    <w:rsid w:val="00C57C48"/>
    <w:rsid w:val="00CC6027"/>
    <w:rsid w:val="00CD2731"/>
    <w:rsid w:val="00D74933"/>
    <w:rsid w:val="00D8477F"/>
    <w:rsid w:val="00E168E0"/>
    <w:rsid w:val="00E43873"/>
    <w:rsid w:val="00E4553A"/>
    <w:rsid w:val="00E61665"/>
    <w:rsid w:val="00E82DF7"/>
    <w:rsid w:val="00EA207C"/>
    <w:rsid w:val="00EF69AC"/>
    <w:rsid w:val="00F003CF"/>
    <w:rsid w:val="00F561A0"/>
    <w:rsid w:val="00F6369D"/>
    <w:rsid w:val="00F67BA8"/>
    <w:rsid w:val="00F7454D"/>
    <w:rsid w:val="00F82132"/>
    <w:rsid w:val="00F9687D"/>
    <w:rsid w:val="00FB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D59E5"/>
  <w15:docId w15:val="{CFCBE9EF-7D5E-4A4F-95F1-29CFF328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able_G"/>
    <w:basedOn w:val="SingleTxtG"/>
    <w:next w:val="SingleTxtG"/>
    <w:link w:val="Heading1Char"/>
    <w:qFormat/>
    <w:pPr>
      <w:spacing w:after="0" w:line="240" w:lineRule="auto"/>
      <w:ind w:right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Hyperlink">
    <w:name w:val="Hyperlink"/>
    <w:uiPriority w:val="99"/>
    <w:rPr>
      <w:color w:val="auto"/>
      <w:u w:val="none"/>
    </w:rPr>
  </w:style>
  <w:style w:type="paragraph" w:styleId="TOC1">
    <w:name w:val="toc 1"/>
    <w:basedOn w:val="Normal"/>
    <w:next w:val="Normal"/>
    <w:autoRedefine/>
    <w:uiPriority w:val="39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uppressAutoHyphens/>
      <w:spacing w:after="120" w:line="240" w:lineRule="atLeast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hAnsi="Times New Roman" w:cs="Times New Roman"/>
      <w:sz w:val="20"/>
      <w:szCs w:val="20"/>
      <w:lang w:val="en-GB"/>
    </w:rPr>
  </w:style>
  <w:style w:type="paragraph" w:customStyle="1" w:styleId="para">
    <w:name w:val="para"/>
    <w:basedOn w:val="SingleTxtG"/>
    <w:link w:val="paraChar"/>
    <w:qFormat/>
    <w:pPr>
      <w:ind w:left="2268" w:hanging="1134"/>
    </w:pPr>
    <w:rPr>
      <w:rFonts w:eastAsia="MS Mincho"/>
      <w:lang w:val="fr-CH"/>
    </w:rPr>
  </w:style>
  <w:style w:type="character" w:customStyle="1" w:styleId="paraChar">
    <w:name w:val="para Char"/>
    <w:link w:val="para"/>
    <w:rPr>
      <w:rFonts w:ascii="Times New Roman" w:hAnsi="Times New Roman" w:cs="Times New Roman"/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160" w:line="259" w:lineRule="auto"/>
    </w:pPr>
    <w:rPr>
      <w:rFonts w:asciiTheme="minorHAnsi" w:hAnsiTheme="minorHAnsi" w:cstheme="minorBidi"/>
      <w:b/>
      <w:bCs/>
      <w:sz w:val="22"/>
      <w:szCs w:val="22"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Annex1">
    <w:name w:val="Annex1"/>
    <w:basedOn w:val="Normal"/>
    <w:qFormat/>
    <w:pPr>
      <w:tabs>
        <w:tab w:val="left" w:pos="1700"/>
        <w:tab w:val="right" w:leader="dot" w:pos="8505"/>
      </w:tabs>
      <w:suppressAutoHyphens/>
      <w:spacing w:after="120" w:line="240" w:lineRule="atLeast"/>
      <w:ind w:left="2268" w:right="1134" w:hanging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">
    <w:name w:val="(a)"/>
    <w:basedOn w:val="Normal"/>
    <w:qFormat/>
    <w:rsid w:val="007804DF"/>
    <w:pPr>
      <w:suppressAutoHyphens/>
      <w:spacing w:after="120" w:line="240" w:lineRule="atLeast"/>
      <w:ind w:left="2835" w:right="1134" w:hanging="567"/>
      <w:jc w:val="both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paragraph" w:customStyle="1" w:styleId="4Para4thlevel">
    <w:name w:val="4.Para 4th level"/>
    <w:basedOn w:val="Normal"/>
    <w:link w:val="4Para4thlevelCar"/>
    <w:qFormat/>
    <w:rsid w:val="008A677B"/>
    <w:pPr>
      <w:suppressAutoHyphens/>
      <w:spacing w:after="120" w:line="240" w:lineRule="atLeast"/>
      <w:ind w:left="2268" w:right="1134" w:hanging="1134"/>
      <w:jc w:val="both"/>
      <w:outlineLvl w:val="3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4Para4thlevelCar">
    <w:name w:val="4.Para 4th level Car"/>
    <w:basedOn w:val="DefaultParagraphFont"/>
    <w:link w:val="4Para4thlevel"/>
    <w:rsid w:val="008A677B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customStyle="1" w:styleId="StyleSingleTxtGLeft2cmHanging206cm">
    <w:name w:val="Style _ Single Txt_G + Left:  2 cm Hanging:  2.06 cm"/>
    <w:basedOn w:val="Normal"/>
    <w:link w:val="StyleSingleTxtGLeft2cmHanging206cmChar"/>
    <w:rsid w:val="008A677B"/>
    <w:pPr>
      <w:suppressAutoHyphens/>
      <w:spacing w:after="120" w:line="240" w:lineRule="atLeas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8A67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para2ndlevel">
    <w:name w:val="2.para 2nd level"/>
    <w:basedOn w:val="Normal"/>
    <w:link w:val="2para2ndlevelCar"/>
    <w:qFormat/>
    <w:rsid w:val="002076AC"/>
    <w:pPr>
      <w:suppressAutoHyphens/>
      <w:spacing w:after="120" w:line="240" w:lineRule="atLeast"/>
      <w:ind w:left="2268" w:right="1134" w:hanging="1134"/>
      <w:jc w:val="both"/>
      <w:outlineLvl w:val="1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2para2ndlevelCar">
    <w:name w:val="2.para 2nd level Car"/>
    <w:basedOn w:val="DefaultParagraphFont"/>
    <w:link w:val="2para2ndlevel"/>
    <w:rsid w:val="002076AC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53975"/>
    <w:rPr>
      <w:rFonts w:ascii="Times New Roman" w:hAnsi="Times New Roman"/>
      <w:sz w:val="18"/>
      <w:vertAlign w:val="superscript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D1BE2-1CF5-42E5-96B6-B5967E214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FA522B-6A88-42F5-91EE-62BEDD6BA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DDAB6-856F-44F9-BA2A-8CD3696C9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Bauckhage, Thomas</dc:creator>
  <cp:lastModifiedBy>secretariat</cp:lastModifiedBy>
  <cp:revision>20</cp:revision>
  <dcterms:created xsi:type="dcterms:W3CDTF">2021-10-07T08:57:00Z</dcterms:created>
  <dcterms:modified xsi:type="dcterms:W3CDTF">2021-10-15T13:29:00Z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f3930-35a4-43d2-be4a-3a5160255453_Enabled">
    <vt:lpwstr>True</vt:lpwstr>
  </property>
  <property fmtid="{D5CDD505-2E9C-101B-9397-08002B2CF9AE}" pid="3" name="MSIP_Label_5a4f3930-35a4-43d2-be4a-3a5160255453_SiteId">
    <vt:lpwstr>2d5eb7e2-d3ee-4bf5-bc62-79d5ae9cd9e1</vt:lpwstr>
  </property>
  <property fmtid="{D5CDD505-2E9C-101B-9397-08002B2CF9AE}" pid="4" name="MSIP_Label_5a4f3930-35a4-43d2-be4a-3a5160255453_Owner">
    <vt:lpwstr>Thomas.Bauckhage@hella.com</vt:lpwstr>
  </property>
  <property fmtid="{D5CDD505-2E9C-101B-9397-08002B2CF9AE}" pid="5" name="MSIP_Label_5a4f3930-35a4-43d2-be4a-3a5160255453_SetDate">
    <vt:lpwstr>2019-08-26T11:09:48.8598468Z</vt:lpwstr>
  </property>
  <property fmtid="{D5CDD505-2E9C-101B-9397-08002B2CF9AE}" pid="6" name="MSIP_Label_5a4f3930-35a4-43d2-be4a-3a5160255453_Name">
    <vt:lpwstr>Internal</vt:lpwstr>
  </property>
  <property fmtid="{D5CDD505-2E9C-101B-9397-08002B2CF9AE}" pid="7" name="MSIP_Label_5a4f3930-35a4-43d2-be4a-3a5160255453_Application">
    <vt:lpwstr>Microsoft Azure Information Protection</vt:lpwstr>
  </property>
  <property fmtid="{D5CDD505-2E9C-101B-9397-08002B2CF9AE}" pid="8" name="MSIP_Label_5a4f3930-35a4-43d2-be4a-3a5160255453_ActionId">
    <vt:lpwstr>0a183e24-96df-4bfd-b815-96336c9276ac</vt:lpwstr>
  </property>
  <property fmtid="{D5CDD505-2E9C-101B-9397-08002B2CF9AE}" pid="9" name="MSIP_Label_5a4f3930-35a4-43d2-be4a-3a5160255453_Extended_MSFT_Method">
    <vt:lpwstr>Manual</vt:lpwstr>
  </property>
  <property fmtid="{D5CDD505-2E9C-101B-9397-08002B2CF9AE}" pid="10" name="MSIP_Label_f731df75-0a72-42d5-9cc1-0c4dcec1599e_Enabled">
    <vt:lpwstr>True</vt:lpwstr>
  </property>
  <property fmtid="{D5CDD505-2E9C-101B-9397-08002B2CF9AE}" pid="11" name="MSIP_Label_f731df75-0a72-42d5-9cc1-0c4dcec1599e_SiteId">
    <vt:lpwstr>2d5eb7e2-d3ee-4bf5-bc62-79d5ae9cd9e1</vt:lpwstr>
  </property>
  <property fmtid="{D5CDD505-2E9C-101B-9397-08002B2CF9AE}" pid="12" name="MSIP_Label_f731df75-0a72-42d5-9cc1-0c4dcec1599e_Owner">
    <vt:lpwstr>Thomas.Bauckhage@hella.com</vt:lpwstr>
  </property>
  <property fmtid="{D5CDD505-2E9C-101B-9397-08002B2CF9AE}" pid="13" name="MSIP_Label_f731df75-0a72-42d5-9cc1-0c4dcec1599e_SetDate">
    <vt:lpwstr>2019-08-26T11:09:48.8598468Z</vt:lpwstr>
  </property>
  <property fmtid="{D5CDD505-2E9C-101B-9397-08002B2CF9AE}" pid="14" name="MSIP_Label_f731df75-0a72-42d5-9cc1-0c4dcec1599e_Name">
    <vt:lpwstr>Internal Usage</vt:lpwstr>
  </property>
  <property fmtid="{D5CDD505-2E9C-101B-9397-08002B2CF9AE}" pid="15" name="MSIP_Label_f731df75-0a72-42d5-9cc1-0c4dcec1599e_Application">
    <vt:lpwstr>Microsoft Azure Information Protection</vt:lpwstr>
  </property>
  <property fmtid="{D5CDD505-2E9C-101B-9397-08002B2CF9AE}" pid="16" name="MSIP_Label_f731df75-0a72-42d5-9cc1-0c4dcec1599e_ActionId">
    <vt:lpwstr>0a183e24-96df-4bfd-b815-96336c9276ac</vt:lpwstr>
  </property>
  <property fmtid="{D5CDD505-2E9C-101B-9397-08002B2CF9AE}" pid="17" name="MSIP_Label_f731df75-0a72-42d5-9cc1-0c4dcec1599e_Parent">
    <vt:lpwstr>5a4f3930-35a4-43d2-be4a-3a5160255453</vt:lpwstr>
  </property>
  <property fmtid="{D5CDD505-2E9C-101B-9397-08002B2CF9AE}" pid="18" name="MSIP_Label_f731df75-0a72-42d5-9cc1-0c4dcec1599e_Extended_MSFT_Method">
    <vt:lpwstr>Manual</vt:lpwstr>
  </property>
  <property fmtid="{D5CDD505-2E9C-101B-9397-08002B2CF9AE}" pid="19" name="Sensitivity">
    <vt:lpwstr>Internal Internal Usage</vt:lpwstr>
  </property>
  <property fmtid="{D5CDD505-2E9C-101B-9397-08002B2CF9AE}" pid="20" name="ContentTypeId">
    <vt:lpwstr>0x0101003B8422D08C252547BB1CFA7F78E2CB83</vt:lpwstr>
  </property>
</Properties>
</file>