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7634F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09EE5E" w14:textId="77777777" w:rsidR="002D5AAC" w:rsidRDefault="002D5AAC" w:rsidP="00A956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0A96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35792B" w14:textId="7B452938" w:rsidR="002D5AAC" w:rsidRDefault="00A956F9" w:rsidP="00A956F9">
            <w:pPr>
              <w:jc w:val="right"/>
            </w:pPr>
            <w:r w:rsidRPr="00A956F9">
              <w:rPr>
                <w:sz w:val="40"/>
              </w:rPr>
              <w:t>ECE</w:t>
            </w:r>
            <w:r>
              <w:t>/TRANS/WP.29/2021/99</w:t>
            </w:r>
          </w:p>
        </w:tc>
      </w:tr>
      <w:tr w:rsidR="002D5AAC" w14:paraId="2D6DB1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DBF45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2987DA" wp14:editId="674D87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38FE4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26CCAB" w14:textId="77777777" w:rsidR="002D5AAC" w:rsidRDefault="00A956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DB1B03" w14:textId="77777777" w:rsidR="00A956F9" w:rsidRDefault="00A956F9" w:rsidP="00A956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September 2021</w:t>
            </w:r>
          </w:p>
          <w:p w14:paraId="2781D4F5" w14:textId="77777777" w:rsidR="00A956F9" w:rsidRDefault="00A956F9" w:rsidP="00A956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7EBEE2" w14:textId="5D112D0B" w:rsidR="00A956F9" w:rsidRPr="008D53B6" w:rsidRDefault="00A956F9" w:rsidP="00A956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424D8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E85E49" w14:textId="77777777" w:rsidR="00A956F9" w:rsidRPr="00EE267A" w:rsidRDefault="00A956F9" w:rsidP="00A956F9">
      <w:pPr>
        <w:spacing w:before="120"/>
        <w:rPr>
          <w:sz w:val="28"/>
          <w:szCs w:val="28"/>
        </w:rPr>
      </w:pPr>
      <w:r w:rsidRPr="00EE267A">
        <w:rPr>
          <w:sz w:val="28"/>
          <w:szCs w:val="28"/>
        </w:rPr>
        <w:t>Комитет по внутреннему транспорту</w:t>
      </w:r>
    </w:p>
    <w:p w14:paraId="1E75F874" w14:textId="139607C2" w:rsidR="00A956F9" w:rsidRPr="00EE267A" w:rsidRDefault="00A956F9" w:rsidP="00A956F9">
      <w:pPr>
        <w:spacing w:before="120"/>
        <w:rPr>
          <w:b/>
          <w:sz w:val="24"/>
          <w:szCs w:val="24"/>
        </w:rPr>
      </w:pPr>
      <w:r w:rsidRPr="00EE267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EE267A">
        <w:rPr>
          <w:b/>
          <w:bCs/>
          <w:sz w:val="24"/>
          <w:szCs w:val="24"/>
        </w:rPr>
        <w:br/>
      </w:r>
      <w:r w:rsidRPr="00EE267A">
        <w:rPr>
          <w:b/>
          <w:bCs/>
          <w:sz w:val="24"/>
          <w:szCs w:val="24"/>
        </w:rPr>
        <w:t>в области транспортных средств</w:t>
      </w:r>
    </w:p>
    <w:p w14:paraId="2EC93D21" w14:textId="77777777" w:rsidR="00A956F9" w:rsidRDefault="00A956F9" w:rsidP="00A956F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 xml:space="preserve">Сто восемьдесят пятая сессия </w:t>
      </w:r>
    </w:p>
    <w:p w14:paraId="793ADD4C" w14:textId="77777777" w:rsidR="00A956F9" w:rsidRDefault="00A956F9" w:rsidP="00A956F9">
      <w:r>
        <w:t>Женева, 23</w:t>
      </w:r>
      <w:r w:rsidRPr="00A956F9">
        <w:t>–</w:t>
      </w:r>
      <w:r>
        <w:t>25 ноября 2021 года</w:t>
      </w:r>
    </w:p>
    <w:p w14:paraId="6248A34B" w14:textId="77777777" w:rsidR="00A956F9" w:rsidRDefault="00A956F9" w:rsidP="00A956F9">
      <w:r>
        <w:t>Пункт 4.7.3 предварительной повестки дня</w:t>
      </w:r>
    </w:p>
    <w:p w14:paraId="17AD69A9" w14:textId="7DB45632" w:rsidR="00A956F9" w:rsidRDefault="00A956F9" w:rsidP="00A956F9">
      <w:pPr>
        <w:rPr>
          <w:b/>
        </w:rPr>
      </w:pPr>
      <w:r>
        <w:rPr>
          <w:b/>
          <w:bCs/>
        </w:rPr>
        <w:t xml:space="preserve">Соглашение 1958 года: рассмотрение проектов поправок </w:t>
      </w:r>
      <w:r w:rsidR="00EE267A">
        <w:rPr>
          <w:b/>
          <w:bCs/>
        </w:rPr>
        <w:br/>
      </w:r>
      <w:r>
        <w:rPr>
          <w:b/>
          <w:bCs/>
        </w:rPr>
        <w:t>к существующим правилам ООН, представленных GRSG</w:t>
      </w:r>
    </w:p>
    <w:p w14:paraId="72BB4412" w14:textId="77777777" w:rsidR="00A956F9" w:rsidRDefault="00A956F9" w:rsidP="00A956F9">
      <w:pPr>
        <w:pStyle w:val="HChG"/>
      </w:pPr>
      <w:r>
        <w:tab/>
      </w:r>
      <w:r>
        <w:tab/>
      </w:r>
      <w:r>
        <w:rPr>
          <w:bCs/>
        </w:rPr>
        <w:t>Предложение по поправкам серии 01 к Правилам №</w:t>
      </w:r>
      <w:r>
        <w:rPr>
          <w:bCs/>
          <w:lang w:val="en-US"/>
        </w:rPr>
        <w:t> </w:t>
      </w:r>
      <w:r>
        <w:rPr>
          <w:bCs/>
        </w:rPr>
        <w:t>116 ООН (противоугонные системы и системы охранной сигнализации)</w:t>
      </w:r>
    </w:p>
    <w:p w14:paraId="152F51EA" w14:textId="77777777" w:rsidR="00A956F9" w:rsidRDefault="00A956F9" w:rsidP="00A956F9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82516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25163">
        <w:rPr>
          <w:b w:val="0"/>
          <w:bCs/>
        </w:rPr>
        <w:t xml:space="preserve"> </w:t>
      </w:r>
    </w:p>
    <w:p w14:paraId="53663CB9" w14:textId="77777777" w:rsidR="00A956F9" w:rsidRDefault="00A956F9" w:rsidP="00A956F9">
      <w:pPr>
        <w:pStyle w:val="SingleTxtG"/>
        <w:ind w:firstLine="567"/>
      </w:pPr>
      <w:r>
        <w:t>Воспроизведенный ниже текст был принят Рабочей группой по общим предписаниям, касающимся безопасности, на ее сто двадцать первой сессии, состоявшейся в апреле 2021 года (ECE/TRANS/WP.29/GRSG/100, п. 75). В его основу положен документ ECE/TRANS/WP.29/GRSG/2021/11 с поправками, содержащимися в документе GRSG-121-12.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(AC.1) для рассмотрения и проведения голосования на их сессиях в ноябре 2021 года.</w:t>
      </w:r>
    </w:p>
    <w:p w14:paraId="14346053" w14:textId="77777777" w:rsidR="00A956F9" w:rsidRDefault="00A956F9" w:rsidP="00A956F9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385FFED5" w14:textId="77777777" w:rsidR="00A956F9" w:rsidRPr="008F6613" w:rsidRDefault="00A956F9" w:rsidP="00A956F9">
      <w:pPr>
        <w:rPr>
          <w:rFonts w:eastAsia="DengXian"/>
        </w:rPr>
      </w:pPr>
      <w:r w:rsidRPr="00110037">
        <w:lastRenderedPageBreak/>
        <w:tab/>
      </w:r>
      <w:r>
        <w:tab/>
      </w:r>
      <w:r w:rsidRPr="008F6613">
        <w:rPr>
          <w:i/>
          <w:iCs/>
        </w:rPr>
        <w:t>Пункт 5.1.5</w:t>
      </w:r>
      <w:r w:rsidRPr="008F6613">
        <w:t xml:space="preserve"> изменить следующим образом:</w:t>
      </w:r>
    </w:p>
    <w:p w14:paraId="55C01170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«5.1.5</w:t>
      </w:r>
      <w:r w:rsidRPr="008F6613">
        <w:tab/>
        <w:t>"</w:t>
      </w:r>
      <w:r w:rsidRPr="008F6613">
        <w:rPr>
          <w:i/>
          <w:iCs/>
        </w:rPr>
        <w:t>Ключ</w:t>
      </w:r>
      <w:r w:rsidRPr="008F6613">
        <w:t>" означает любое механическое и/или электронное решение, спроектированное и сконструированное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при помощи этого механического и/или электронного решения».</w:t>
      </w:r>
    </w:p>
    <w:p w14:paraId="4469CA48" w14:textId="77777777" w:rsidR="00A956F9" w:rsidRPr="008F6613" w:rsidRDefault="00A956F9" w:rsidP="00A956F9">
      <w:pPr>
        <w:spacing w:before="120" w:after="120" w:line="240" w:lineRule="auto"/>
        <w:ind w:left="2268" w:right="1140" w:hanging="1134"/>
        <w:jc w:val="both"/>
        <w:rPr>
          <w:rFonts w:eastAsia="DengXian"/>
        </w:rPr>
      </w:pPr>
      <w:r w:rsidRPr="008F6613">
        <w:rPr>
          <w:i/>
          <w:iCs/>
        </w:rPr>
        <w:t>Включить новые пункты 5.1.7–5.1.9</w:t>
      </w:r>
      <w:r w:rsidRPr="008F6613">
        <w:t xml:space="preserve"> следующего содержания:</w:t>
      </w:r>
    </w:p>
    <w:p w14:paraId="298208C5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rFonts w:eastAsia="DengXian"/>
        </w:rPr>
      </w:pPr>
      <w:r w:rsidRPr="008F6613">
        <w:t>«5.1.7</w:t>
      </w:r>
      <w:r w:rsidRPr="008F6613">
        <w:tab/>
      </w:r>
      <w:r w:rsidRPr="008F6613">
        <w:tab/>
        <w:t>"</w:t>
      </w:r>
      <w:r w:rsidRPr="008F6613">
        <w:rPr>
          <w:i/>
          <w:iCs/>
        </w:rPr>
        <w:t>Основной пользователь</w:t>
      </w:r>
      <w:r w:rsidRPr="008F6613">
        <w:t xml:space="preserve">" — это пользователь, который может осуществлять авторизацию цифровых ключей. </w:t>
      </w:r>
      <w:r w:rsidRPr="00F6301E">
        <w:t>Может существовать более одного основного пользователя.</w:t>
      </w:r>
    </w:p>
    <w:p w14:paraId="7C973485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5.1.8</w:t>
      </w:r>
      <w:r w:rsidRPr="008F6613">
        <w:tab/>
        <w:t>"</w:t>
      </w:r>
      <w:r w:rsidRPr="008F6613">
        <w:rPr>
          <w:i/>
          <w:iCs/>
        </w:rPr>
        <w:t>Цифровой ключ</w:t>
      </w:r>
      <w:r w:rsidRPr="008F6613">
        <w:t>" означает ключ, разработанный таким образом, чтобы с помощью специальных процессов основной(</w:t>
      </w:r>
      <w:proofErr w:type="spellStart"/>
      <w:r w:rsidRPr="008F6613">
        <w:t>ые</w:t>
      </w:r>
      <w:proofErr w:type="spellEnd"/>
      <w:r w:rsidRPr="008F6613">
        <w:t xml:space="preserve">) пользователь(ли) мог(ли) передать его на несколько устройств. </w:t>
      </w:r>
    </w:p>
    <w:p w14:paraId="4FC6D30B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5.1.9</w:t>
      </w:r>
      <w:r w:rsidRPr="008F6613">
        <w:tab/>
        <w:t>"</w:t>
      </w:r>
      <w:r w:rsidRPr="008F6613">
        <w:rPr>
          <w:i/>
          <w:iCs/>
        </w:rPr>
        <w:t>В непосредственной близости</w:t>
      </w:r>
      <w:r w:rsidRPr="008F6613">
        <w:t>" означает на расстоянии</w:t>
      </w:r>
      <w:r>
        <w:t xml:space="preserve"> менее </w:t>
      </w:r>
      <w:r w:rsidRPr="008F6613">
        <w:t>6 м».</w:t>
      </w:r>
    </w:p>
    <w:p w14:paraId="199B293C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rPr>
          <w:i/>
          <w:iCs/>
        </w:rPr>
        <w:t>Включить новый пункт 5.2.16</w:t>
      </w:r>
      <w:r w:rsidRPr="008F6613">
        <w:t xml:space="preserve"> следующего содержания:</w:t>
      </w:r>
    </w:p>
    <w:p w14:paraId="7089AD46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«5.2.16</w:t>
      </w:r>
      <w:r w:rsidRPr="008F6613">
        <w:tab/>
        <w:t>Кроме того, цифровые ключи должны соответствовать положениям приложения 11».</w:t>
      </w:r>
    </w:p>
    <w:p w14:paraId="6CC94565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rPr>
          <w:i/>
          <w:iCs/>
        </w:rPr>
        <w:t xml:space="preserve">Пункт 6.1.8 </w:t>
      </w:r>
      <w:r w:rsidRPr="008F6613">
        <w:t xml:space="preserve">изменить следующим образом: </w:t>
      </w:r>
    </w:p>
    <w:p w14:paraId="00783459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«6.1.8</w:t>
      </w:r>
      <w:r w:rsidRPr="008F6613">
        <w:tab/>
        <w:t>"</w:t>
      </w:r>
      <w:r w:rsidRPr="008F6613">
        <w:rPr>
          <w:i/>
          <w:iCs/>
        </w:rPr>
        <w:t>Ключ</w:t>
      </w:r>
      <w:r w:rsidRPr="008F6613">
        <w:t>" означает любое механическое и/или электронное решение, спроектированное и сконструированное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при помощи этого механического и/или электронного решения».</w:t>
      </w:r>
    </w:p>
    <w:p w14:paraId="1E7CE92A" w14:textId="77777777" w:rsidR="00A956F9" w:rsidRPr="008F6613" w:rsidRDefault="00A956F9" w:rsidP="00A956F9">
      <w:pPr>
        <w:spacing w:before="120" w:after="120" w:line="240" w:lineRule="auto"/>
        <w:ind w:left="2268" w:right="1140" w:hanging="1134"/>
        <w:jc w:val="both"/>
        <w:rPr>
          <w:rFonts w:eastAsia="DengXian"/>
        </w:rPr>
      </w:pPr>
      <w:r w:rsidRPr="008F6613">
        <w:rPr>
          <w:i/>
          <w:iCs/>
        </w:rPr>
        <w:t>Включить новые пункты 6.1.13 и 6.1.14</w:t>
      </w:r>
      <w:r w:rsidRPr="008F6613">
        <w:t xml:space="preserve"> следующего содержания:</w:t>
      </w:r>
    </w:p>
    <w:p w14:paraId="3909B7E4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rFonts w:eastAsia="DengXian"/>
        </w:rPr>
      </w:pPr>
      <w:r w:rsidRPr="008F6613">
        <w:t>«6.1.13</w:t>
      </w:r>
      <w:r w:rsidRPr="008F6613">
        <w:tab/>
      </w:r>
      <w:r w:rsidRPr="008F6613">
        <w:tab/>
        <w:t>"</w:t>
      </w:r>
      <w:r w:rsidRPr="008F6613">
        <w:rPr>
          <w:i/>
          <w:iCs/>
        </w:rPr>
        <w:t>Основной пользователь</w:t>
      </w:r>
      <w:r w:rsidRPr="008F6613">
        <w:t xml:space="preserve">" — это пользователь, который может осуществлять авторизацию цифровых ключей. </w:t>
      </w:r>
      <w:r w:rsidRPr="000E3D17">
        <w:t>Может существовать более одного основного пользователя.</w:t>
      </w:r>
    </w:p>
    <w:p w14:paraId="44E07DAE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6.1.14</w:t>
      </w:r>
      <w:r w:rsidRPr="008F6613">
        <w:tab/>
        <w:t>"</w:t>
      </w:r>
      <w:r w:rsidRPr="008F6613">
        <w:rPr>
          <w:i/>
          <w:iCs/>
        </w:rPr>
        <w:t>Цифровой ключ</w:t>
      </w:r>
      <w:r w:rsidRPr="008F6613">
        <w:t>" означает ключ, разработанный таким образом, чтобы с помощью специальных процессов основной(</w:t>
      </w:r>
      <w:proofErr w:type="spellStart"/>
      <w:r w:rsidRPr="008F6613">
        <w:t>ые</w:t>
      </w:r>
      <w:proofErr w:type="spellEnd"/>
      <w:r w:rsidRPr="008F6613">
        <w:t xml:space="preserve">) пользователь(ли) мог(ли) передать его на несколько устройств». </w:t>
      </w:r>
    </w:p>
    <w:p w14:paraId="73426841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rPr>
          <w:i/>
          <w:iCs/>
        </w:rPr>
        <w:t>Включить новый пункт 6.2.10</w:t>
      </w:r>
      <w:r w:rsidRPr="008F6613">
        <w:t xml:space="preserve"> следующего содержания:</w:t>
      </w:r>
    </w:p>
    <w:p w14:paraId="55A682F8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«6.2.10</w:t>
      </w:r>
      <w:r w:rsidRPr="008F6613">
        <w:tab/>
        <w:t>Кроме того, цифровые ключи должны соответствовать положениям приложения 11».</w:t>
      </w:r>
    </w:p>
    <w:p w14:paraId="6FFB3996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</w:pPr>
      <w:r w:rsidRPr="008F6613">
        <w:rPr>
          <w:i/>
          <w:iCs/>
        </w:rPr>
        <w:t xml:space="preserve">Включить новый пункт 7.2.7 </w:t>
      </w:r>
      <w:r w:rsidRPr="008F6613">
        <w:t>следующего содержания:</w:t>
      </w:r>
    </w:p>
    <w:p w14:paraId="13DD1300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«7.2.7</w:t>
      </w:r>
      <w:r w:rsidRPr="008F6613">
        <w:tab/>
        <w:t>Кроме того, цифровые ключи должны соответствовать положениям приложения 11».</w:t>
      </w:r>
    </w:p>
    <w:p w14:paraId="232EA2DF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rPr>
          <w:i/>
          <w:iCs/>
        </w:rPr>
        <w:t>Пункт 8.1.6</w:t>
      </w:r>
      <w:r w:rsidRPr="008F6613">
        <w:t xml:space="preserve"> изменить следующим образом:</w:t>
      </w:r>
    </w:p>
    <w:p w14:paraId="4F2AFD82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«8.1.6</w:t>
      </w:r>
      <w:r w:rsidRPr="008F6613">
        <w:tab/>
        <w:t>"</w:t>
      </w:r>
      <w:r w:rsidRPr="008F6613">
        <w:rPr>
          <w:i/>
          <w:iCs/>
        </w:rPr>
        <w:t>Ключ</w:t>
      </w:r>
      <w:r w:rsidRPr="008F6613">
        <w:t>" означает любое механическое и/или электронное решение, спроектированное и сконструированное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при помощи этого механического и/или электронного решения».</w:t>
      </w:r>
    </w:p>
    <w:p w14:paraId="3F4C3C6B" w14:textId="77777777" w:rsidR="00A956F9" w:rsidRPr="008F6613" w:rsidRDefault="00A956F9" w:rsidP="00A956F9">
      <w:pPr>
        <w:pageBreakBefore/>
        <w:spacing w:before="120" w:after="120" w:line="240" w:lineRule="auto"/>
        <w:ind w:left="2268" w:right="1140" w:hanging="1134"/>
        <w:jc w:val="both"/>
        <w:rPr>
          <w:rFonts w:eastAsia="DengXian"/>
          <w:i/>
        </w:rPr>
      </w:pPr>
      <w:r w:rsidRPr="008F6613">
        <w:rPr>
          <w:i/>
          <w:iCs/>
        </w:rPr>
        <w:lastRenderedPageBreak/>
        <w:t>Включить новые пункты 8.1.11–8.1.13 следующего содержания:</w:t>
      </w:r>
    </w:p>
    <w:p w14:paraId="6AB6A6B1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rFonts w:eastAsia="DengXian"/>
        </w:rPr>
      </w:pPr>
      <w:r w:rsidRPr="008F6613">
        <w:t>«8.1.11</w:t>
      </w:r>
      <w:r w:rsidRPr="008F6613">
        <w:tab/>
      </w:r>
      <w:r w:rsidRPr="008F6613">
        <w:tab/>
        <w:t>"</w:t>
      </w:r>
      <w:r w:rsidRPr="008F6613">
        <w:rPr>
          <w:i/>
          <w:iCs/>
        </w:rPr>
        <w:t>Основной пользователь</w:t>
      </w:r>
      <w:r w:rsidRPr="008F6613">
        <w:t xml:space="preserve">" — это пользователь, который может осуществлять авторизацию цифровых ключей. </w:t>
      </w:r>
      <w:r w:rsidRPr="000E3D17">
        <w:t>Может существовать более одного основного пользователя.</w:t>
      </w:r>
    </w:p>
    <w:p w14:paraId="7C25BBA0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8.1.12</w:t>
      </w:r>
      <w:r w:rsidRPr="008F6613">
        <w:tab/>
        <w:t>"</w:t>
      </w:r>
      <w:r w:rsidRPr="008F6613">
        <w:rPr>
          <w:i/>
          <w:iCs/>
        </w:rPr>
        <w:t>Цифровой ключ</w:t>
      </w:r>
      <w:r w:rsidRPr="008F6613">
        <w:t>" означает ключ, разработанный таким образом, чтобы с помощью специальных процессов основной(</w:t>
      </w:r>
      <w:proofErr w:type="spellStart"/>
      <w:r w:rsidRPr="008F6613">
        <w:t>ые</w:t>
      </w:r>
      <w:proofErr w:type="spellEnd"/>
      <w:r w:rsidRPr="008F6613">
        <w:t xml:space="preserve">) пользователь(ли) мог(ли) передать его на несколько устройств. </w:t>
      </w:r>
    </w:p>
    <w:p w14:paraId="4E9BD579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8.1.13</w:t>
      </w:r>
      <w:r w:rsidRPr="008F6613">
        <w:tab/>
        <w:t>"</w:t>
      </w:r>
      <w:r w:rsidRPr="008F6613">
        <w:rPr>
          <w:i/>
          <w:iCs/>
        </w:rPr>
        <w:t>В непосредственной близости</w:t>
      </w:r>
      <w:r w:rsidRPr="008F6613">
        <w:t>" означает на расстоянии</w:t>
      </w:r>
      <w:r>
        <w:t xml:space="preserve"> менее</w:t>
      </w:r>
      <w:r w:rsidRPr="008F6613">
        <w:t xml:space="preserve"> 6 м».</w:t>
      </w:r>
    </w:p>
    <w:p w14:paraId="4B594F9C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rPr>
          <w:i/>
          <w:iCs/>
        </w:rPr>
        <w:t>Включить новый пункт 8.2.11</w:t>
      </w:r>
      <w:r w:rsidRPr="008F6613">
        <w:t xml:space="preserve"> следующего содержания:</w:t>
      </w:r>
    </w:p>
    <w:p w14:paraId="3C4FE68B" w14:textId="77777777" w:rsidR="00A956F9" w:rsidRPr="008F6613" w:rsidRDefault="00A956F9" w:rsidP="00A956F9">
      <w:pPr>
        <w:spacing w:before="120" w:after="120" w:line="240" w:lineRule="auto"/>
        <w:ind w:left="2268" w:right="1140" w:hanging="1134"/>
        <w:jc w:val="both"/>
        <w:rPr>
          <w:rFonts w:eastAsia="DengXian"/>
          <w:i/>
          <w:iCs/>
          <w:color w:val="000000" w:themeColor="text1"/>
        </w:rPr>
      </w:pPr>
      <w:r w:rsidRPr="008F6613">
        <w:t>«8.2.11</w:t>
      </w:r>
      <w:r w:rsidRPr="008F6613">
        <w:tab/>
        <w:t>Кроме того, цифровые ключи должны соответствовать положениям приложения 11».</w:t>
      </w:r>
    </w:p>
    <w:p w14:paraId="604C384A" w14:textId="77777777" w:rsidR="00A956F9" w:rsidRPr="008F6613" w:rsidRDefault="00A956F9" w:rsidP="00A956F9">
      <w:pPr>
        <w:spacing w:before="120"/>
        <w:ind w:left="1134" w:right="1140"/>
        <w:jc w:val="both"/>
        <w:rPr>
          <w:rFonts w:eastAsia="DengXian"/>
        </w:rPr>
      </w:pPr>
      <w:r w:rsidRPr="008F6613">
        <w:rPr>
          <w:i/>
          <w:iCs/>
        </w:rPr>
        <w:t xml:space="preserve">Включить новые пункты 13.3 и 13.4 </w:t>
      </w:r>
      <w:r w:rsidRPr="008F6613">
        <w:t>следующего содержания:</w:t>
      </w:r>
    </w:p>
    <w:p w14:paraId="671847E5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bookmarkStart w:id="0" w:name="1_372"/>
      <w:r w:rsidRPr="008F6613">
        <w:t>«13.3</w:t>
      </w:r>
      <w:r w:rsidRPr="008F6613">
        <w:tab/>
        <w:t>Переходные положения, применимые к поправкам серии 01:</w:t>
      </w:r>
      <w:bookmarkEnd w:id="0"/>
    </w:p>
    <w:p w14:paraId="298B144E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13.3.1</w:t>
      </w:r>
      <w:r w:rsidRPr="008F6613">
        <w:tab/>
        <w:t>Начиная с официальной даты вступления в силу поправок серии 01 ни одна из Договаривающихся сторон, применяющих настоящие Правила, не должна отказывать в предоставлении или признании официальных утверждений типа ООН на основании настоящих Правил с внесенными в них поправками серии 01.</w:t>
      </w:r>
    </w:p>
    <w:p w14:paraId="5796AE54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13.3.2</w:t>
      </w:r>
      <w:r w:rsidRPr="008F6613">
        <w:tab/>
        <w:t>Начиная с 1 сентября 2022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 (00), впервые выданные после 1 сентября 2022</w:t>
      </w:r>
      <w:r w:rsidRPr="008F6613">
        <w:rPr>
          <w:lang w:val="en-US"/>
        </w:rPr>
        <w:t> </w:t>
      </w:r>
      <w:r w:rsidRPr="008F6613">
        <w:t>года.</w:t>
      </w:r>
    </w:p>
    <w:p w14:paraId="4AAABCFC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13.3.3</w:t>
      </w:r>
      <w:r w:rsidRPr="008F6613">
        <w:tab/>
        <w:t>До 1 сентября 2024 года Договаривающиеся стороны, применяющие настоящие Правила, продолжают признавать официальные утверждения типа ООН на основании поправок предыдущих серий (00), впервые выданные до 1 сентября 2022 года.</w:t>
      </w:r>
    </w:p>
    <w:p w14:paraId="1320DBAD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13.3.4</w:t>
      </w:r>
      <w:r w:rsidRPr="008F6613">
        <w:tab/>
        <w:t>Начиная с 1 сентября 2024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</w:p>
    <w:p w14:paraId="6E98444D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13.3.5</w:t>
      </w:r>
      <w:r w:rsidRPr="008F6613">
        <w:tab/>
        <w:t>Независимо от положений пункта 13.3.4 Договаривающиеся стороны, применяющие настоящие Правила, продолжают признавать официальные утверждения типа ООН, выданные на основании поправок предыдущих серий к настоящим Правилам, в отношении транспортных средств, на которые не распространяются положения, введенные с поправками серии 01.</w:t>
      </w:r>
    </w:p>
    <w:p w14:paraId="6281309C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13.4</w:t>
      </w:r>
      <w:r w:rsidRPr="008F6613">
        <w:tab/>
        <w:t xml:space="preserve">Общие переходные положения </w:t>
      </w:r>
    </w:p>
    <w:p w14:paraId="1132CD95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13.4.1</w:t>
      </w:r>
      <w:r w:rsidRPr="008F6613">
        <w:tab/>
        <w:t>Договаривающиеся стороны, применяющие настоящие Правила ООН, могут предоставлять официальные утверждения типа на основании любой предыдущей серии поправок к настоящим Правилам.</w:t>
      </w:r>
    </w:p>
    <w:p w14:paraId="650578BC" w14:textId="77777777" w:rsidR="00A956F9" w:rsidRPr="008F6613" w:rsidRDefault="00A956F9" w:rsidP="00A956F9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8F6613">
        <w:t>13.4.2</w:t>
      </w:r>
      <w:r w:rsidRPr="008F6613">
        <w:tab/>
        <w:t>Договаривающиеся стороны, применяющие настоящие Правила ООН, продолжают предоставлять распространение существующих официальных утверждений, выданных на основании любой предыдущей серии поправок к настоящим Правилам».</w:t>
      </w:r>
    </w:p>
    <w:p w14:paraId="1DF5B990" w14:textId="77777777" w:rsidR="00A956F9" w:rsidRPr="00D14CBD" w:rsidRDefault="00A956F9" w:rsidP="00A956F9">
      <w:pPr>
        <w:pageBreakBefore/>
        <w:spacing w:before="120" w:line="240" w:lineRule="auto"/>
        <w:ind w:left="2268" w:right="1140" w:hanging="1134"/>
        <w:jc w:val="both"/>
        <w:rPr>
          <w:rFonts w:eastAsia="DengXian"/>
        </w:rPr>
      </w:pPr>
      <w:r w:rsidRPr="00D14CBD">
        <w:rPr>
          <w:i/>
          <w:iCs/>
        </w:rPr>
        <w:lastRenderedPageBreak/>
        <w:t>Включить новое приложение 11</w:t>
      </w:r>
      <w:r w:rsidRPr="00D14CBD">
        <w:t xml:space="preserve"> следующего содержания:</w:t>
      </w:r>
    </w:p>
    <w:p w14:paraId="76DC870D" w14:textId="77777777" w:rsidR="00A956F9" w:rsidRPr="00D14CBD" w:rsidRDefault="00A956F9" w:rsidP="00A956F9">
      <w:pPr>
        <w:pStyle w:val="HChG"/>
        <w:ind w:left="2268" w:hanging="2268"/>
        <w:rPr>
          <w:b w:val="0"/>
        </w:rPr>
      </w:pPr>
      <w:r w:rsidRPr="009A6A7C">
        <w:rPr>
          <w:b w:val="0"/>
          <w:sz w:val="20"/>
        </w:rPr>
        <w:t>«</w:t>
      </w:r>
      <w:r w:rsidRPr="00D14CBD">
        <w:rPr>
          <w:bCs/>
        </w:rPr>
        <w:t>Приложение 11</w:t>
      </w:r>
      <w:r w:rsidRPr="00D14CBD">
        <w:t xml:space="preserve"> </w:t>
      </w:r>
    </w:p>
    <w:p w14:paraId="0535F157" w14:textId="77777777" w:rsidR="00A956F9" w:rsidRPr="00D14CBD" w:rsidRDefault="00A956F9" w:rsidP="00A956F9">
      <w:pPr>
        <w:pStyle w:val="HChG"/>
        <w:rPr>
          <w:b w:val="0"/>
        </w:rPr>
      </w:pPr>
      <w:r>
        <w:tab/>
      </w:r>
      <w:r>
        <w:tab/>
      </w:r>
      <w:r w:rsidRPr="00D14CBD">
        <w:t>Предписания, касающиеся безопасности цифровых ключей</w:t>
      </w:r>
    </w:p>
    <w:p w14:paraId="01785493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bookmarkStart w:id="1" w:name="2_221"/>
      <w:r w:rsidRPr="008F6613">
        <w:rPr>
          <w:rFonts w:eastAsia="Times New Roman" w:cs="Times New Roman"/>
          <w:szCs w:val="20"/>
        </w:rPr>
        <w:t>1.</w:t>
      </w:r>
      <w:r w:rsidRPr="008F6613">
        <w:rPr>
          <w:rFonts w:eastAsia="Times New Roman" w:cs="Times New Roman"/>
          <w:szCs w:val="20"/>
        </w:rPr>
        <w:tab/>
      </w:r>
      <w:r w:rsidRPr="008F6613">
        <w:rPr>
          <w:szCs w:val="20"/>
        </w:rPr>
        <w:t>Общие положения</w:t>
      </w:r>
      <w:bookmarkEnd w:id="1"/>
    </w:p>
    <w:p w14:paraId="00514733" w14:textId="77777777" w:rsidR="00A956F9" w:rsidRPr="008F6613" w:rsidRDefault="00A956F9" w:rsidP="00A956F9">
      <w:pPr>
        <w:spacing w:after="120"/>
        <w:ind w:left="2268" w:right="1140"/>
        <w:jc w:val="both"/>
      </w:pPr>
      <w:r w:rsidRPr="008F6613">
        <w:t xml:space="preserve">Целью настоящего приложения является уточнение требований в отношении документации и проверки цифровых ключей, </w:t>
      </w:r>
      <w:r w:rsidRPr="008F6613">
        <w:br/>
        <w:t xml:space="preserve">которые используются для управления устройством для предотвращения несанкционированного использования, и/или системой сигнализации, и/или </w:t>
      </w:r>
      <w:proofErr w:type="spellStart"/>
      <w:r w:rsidRPr="008F6613">
        <w:t>иммобилизатором</w:t>
      </w:r>
      <w:proofErr w:type="spellEnd"/>
      <w:r w:rsidRPr="008F6613">
        <w:t xml:space="preserve"> транспортного средства. </w:t>
      </w:r>
    </w:p>
    <w:p w14:paraId="4925210E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rFonts w:eastAsia="Times New Roman" w:cs="Times New Roman"/>
          <w:szCs w:val="20"/>
        </w:rPr>
        <w:t>2.</w:t>
      </w:r>
      <w:r w:rsidRPr="008F6613">
        <w:rPr>
          <w:rFonts w:eastAsia="Times New Roman" w:cs="Times New Roman"/>
          <w:szCs w:val="20"/>
        </w:rPr>
        <w:tab/>
      </w:r>
      <w:r w:rsidRPr="008F6613">
        <w:rPr>
          <w:szCs w:val="20"/>
        </w:rPr>
        <w:t xml:space="preserve">Определения </w:t>
      </w:r>
    </w:p>
    <w:p w14:paraId="3071FDE6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rFonts w:eastAsia="Times New Roman" w:cs="Times New Roman"/>
          <w:szCs w:val="20"/>
        </w:rPr>
        <w:t>2.1</w:t>
      </w:r>
      <w:r w:rsidRPr="008F6613">
        <w:rPr>
          <w:rFonts w:eastAsia="Times New Roman" w:cs="Times New Roman"/>
          <w:szCs w:val="20"/>
        </w:rPr>
        <w:tab/>
      </w:r>
      <w:r w:rsidRPr="008F6613">
        <w:rPr>
          <w:szCs w:val="20"/>
        </w:rPr>
        <w:t>"</w:t>
      </w:r>
      <w:r w:rsidRPr="008F6613">
        <w:rPr>
          <w:i/>
          <w:iCs/>
          <w:szCs w:val="20"/>
        </w:rPr>
        <w:t>Процесс авторизации</w:t>
      </w:r>
      <w:r w:rsidRPr="008F6613">
        <w:rPr>
          <w:szCs w:val="20"/>
        </w:rPr>
        <w:t xml:space="preserve">" означает любой метод передачи цифрового ключа, который позволяет осуществлять управление устройством для предотвращения несанкционированного использования, и/или системой сигнализации, и/или </w:t>
      </w:r>
      <w:proofErr w:type="spellStart"/>
      <w:r w:rsidRPr="008F6613">
        <w:rPr>
          <w:szCs w:val="20"/>
        </w:rPr>
        <w:t>иммобилизатором</w:t>
      </w:r>
      <w:proofErr w:type="spellEnd"/>
      <w:r w:rsidRPr="008F6613">
        <w:rPr>
          <w:szCs w:val="20"/>
        </w:rPr>
        <w:t xml:space="preserve"> транспортного средства. </w:t>
      </w:r>
    </w:p>
    <w:p w14:paraId="20262C89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>2.2</w:t>
      </w:r>
      <w:r w:rsidRPr="008F6613">
        <w:rPr>
          <w:szCs w:val="20"/>
        </w:rPr>
        <w:tab/>
        <w:t>"</w:t>
      </w:r>
      <w:r w:rsidRPr="008F6613">
        <w:rPr>
          <w:i/>
          <w:iCs/>
          <w:szCs w:val="20"/>
        </w:rPr>
        <w:t>Процесс отмены авторизации</w:t>
      </w:r>
      <w:r w:rsidRPr="008F6613">
        <w:rPr>
          <w:szCs w:val="20"/>
        </w:rPr>
        <w:t xml:space="preserve">" означает любой метод блокировки использования цифрового ключа для управления устройством для предотвращения несанкционированного использования, и/или системой сигнализации, и/или </w:t>
      </w:r>
      <w:proofErr w:type="spellStart"/>
      <w:r w:rsidRPr="008F6613">
        <w:rPr>
          <w:szCs w:val="20"/>
        </w:rPr>
        <w:t>иммобилизатором</w:t>
      </w:r>
      <w:proofErr w:type="spellEnd"/>
      <w:r w:rsidRPr="008F6613">
        <w:rPr>
          <w:szCs w:val="20"/>
        </w:rPr>
        <w:t xml:space="preserve"> транспортного средства.</w:t>
      </w:r>
    </w:p>
    <w:p w14:paraId="73873E49" w14:textId="77777777" w:rsidR="00A956F9" w:rsidRPr="008F6613" w:rsidRDefault="00A956F9" w:rsidP="00A956F9">
      <w:pPr>
        <w:spacing w:after="120"/>
        <w:ind w:left="2268" w:right="1140" w:hanging="1134"/>
        <w:jc w:val="both"/>
      </w:pPr>
      <w:r w:rsidRPr="008F6613">
        <w:rPr>
          <w:szCs w:val="20"/>
        </w:rPr>
        <w:t>2.3</w:t>
      </w:r>
      <w:r w:rsidRPr="008F6613">
        <w:rPr>
          <w:szCs w:val="20"/>
        </w:rPr>
        <w:tab/>
        <w:t>"</w:t>
      </w:r>
      <w:r w:rsidRPr="008F6613">
        <w:rPr>
          <w:i/>
          <w:iCs/>
        </w:rPr>
        <w:t>Пределы функциональных возможностей</w:t>
      </w:r>
      <w:r w:rsidRPr="008F6613">
        <w:rPr>
          <w:szCs w:val="20"/>
        </w:rPr>
        <w:t>"</w:t>
      </w:r>
      <w:r w:rsidRPr="008F6613">
        <w:t xml:space="preserve"> определяют внешние физические границы (например, расстояние), в пределах которых с помощью цифрового ключа можно осуществлять управление устройством для предотвращения несанкционированного использования и/или </w:t>
      </w:r>
      <w:proofErr w:type="spellStart"/>
      <w:r w:rsidRPr="008F6613">
        <w:t>иммобилизатором</w:t>
      </w:r>
      <w:proofErr w:type="spellEnd"/>
      <w:r w:rsidRPr="008F6613">
        <w:t xml:space="preserve"> транспортного средства.</w:t>
      </w:r>
    </w:p>
    <w:p w14:paraId="266D7167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rFonts w:eastAsia="Times New Roman" w:cs="Times New Roman"/>
          <w:szCs w:val="20"/>
        </w:rPr>
        <w:t>3.</w:t>
      </w:r>
      <w:r w:rsidRPr="008F6613">
        <w:rPr>
          <w:rFonts w:eastAsia="Times New Roman" w:cs="Times New Roman"/>
          <w:szCs w:val="20"/>
        </w:rPr>
        <w:tab/>
      </w:r>
      <w:r w:rsidRPr="008F6613">
        <w:rPr>
          <w:szCs w:val="20"/>
        </w:rPr>
        <w:t>Документация</w:t>
      </w:r>
    </w:p>
    <w:p w14:paraId="4FA4520F" w14:textId="77777777" w:rsidR="00A956F9" w:rsidRPr="008F6613" w:rsidRDefault="00A956F9" w:rsidP="00A956F9">
      <w:pPr>
        <w:spacing w:after="120"/>
        <w:ind w:left="2268" w:right="1140" w:hanging="1134"/>
        <w:jc w:val="both"/>
      </w:pPr>
      <w:r w:rsidRPr="008F6613">
        <w:tab/>
      </w:r>
      <w:r w:rsidRPr="008F6613">
        <w:tab/>
        <w:t>Для целей официального утверждения типа изготовитель транспортного средства представляет следующие документы:</w:t>
      </w:r>
    </w:p>
    <w:p w14:paraId="6DECFAE3" w14:textId="77777777" w:rsidR="00A956F9" w:rsidRPr="008F6613" w:rsidRDefault="00A956F9" w:rsidP="00A956F9">
      <w:pPr>
        <w:spacing w:after="120"/>
        <w:ind w:left="2268" w:right="1140" w:hanging="1134"/>
        <w:jc w:val="both"/>
      </w:pPr>
      <w:r w:rsidRPr="008F6613">
        <w:t>3.1</w:t>
      </w:r>
      <w:r w:rsidRPr="008F6613">
        <w:tab/>
        <w:t>описание процесса авторизации;</w:t>
      </w:r>
    </w:p>
    <w:p w14:paraId="3761D6D1" w14:textId="77777777" w:rsidR="00A956F9" w:rsidRPr="008F6613" w:rsidRDefault="00A956F9" w:rsidP="00A956F9">
      <w:pPr>
        <w:spacing w:after="120"/>
        <w:ind w:left="2268" w:right="1140" w:hanging="1134"/>
        <w:jc w:val="both"/>
      </w:pPr>
      <w:r w:rsidRPr="008F6613">
        <w:t>3.2</w:t>
      </w:r>
      <w:r w:rsidRPr="008F6613">
        <w:tab/>
        <w:t>описание процесса отмены авторизации;</w:t>
      </w:r>
    </w:p>
    <w:p w14:paraId="3F7AEF9C" w14:textId="77777777" w:rsidR="00A956F9" w:rsidRPr="008F6613" w:rsidRDefault="00A956F9" w:rsidP="00A956F9">
      <w:pPr>
        <w:spacing w:after="120"/>
        <w:ind w:left="2268" w:right="1140" w:hanging="1134"/>
        <w:jc w:val="both"/>
      </w:pPr>
      <w:r w:rsidRPr="008F6613">
        <w:t>3.3</w:t>
      </w:r>
      <w:r w:rsidRPr="008F6613">
        <w:tab/>
        <w:t>описание пределов функциональных возможностей;</w:t>
      </w:r>
    </w:p>
    <w:p w14:paraId="6A470BC9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rFonts w:eastAsia="Times New Roman" w:cs="Times New Roman"/>
          <w:szCs w:val="20"/>
        </w:rPr>
        <w:t>3.4</w:t>
      </w:r>
      <w:r w:rsidRPr="008F6613">
        <w:rPr>
          <w:rFonts w:eastAsia="Times New Roman" w:cs="Times New Roman"/>
          <w:szCs w:val="20"/>
        </w:rPr>
        <w:tab/>
      </w:r>
      <w:r w:rsidRPr="008F6613">
        <w:rPr>
          <w:szCs w:val="20"/>
        </w:rPr>
        <w:t>описание мер безопасности, разработанных в рамках процесса отмены авторизации цифрового ключа для обеспечения безопасной эксплуатации транспортного средства.</w:t>
      </w:r>
    </w:p>
    <w:p w14:paraId="429C0F3D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rFonts w:eastAsia="Times New Roman" w:cs="Times New Roman"/>
          <w:szCs w:val="20"/>
        </w:rPr>
        <w:t>4.</w:t>
      </w:r>
      <w:r w:rsidRPr="008F6613">
        <w:rPr>
          <w:rFonts w:eastAsia="Times New Roman" w:cs="Times New Roman"/>
          <w:szCs w:val="20"/>
        </w:rPr>
        <w:tab/>
      </w:r>
      <w:r w:rsidRPr="008F6613">
        <w:rPr>
          <w:szCs w:val="20"/>
        </w:rPr>
        <w:t xml:space="preserve">Требования, касающиеся безопасности эксплуатации </w:t>
      </w:r>
    </w:p>
    <w:p w14:paraId="78015C3E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rFonts w:eastAsia="Times New Roman" w:cs="Times New Roman"/>
          <w:szCs w:val="20"/>
        </w:rPr>
        <w:t>4.1</w:t>
      </w:r>
      <w:r w:rsidRPr="008F6613">
        <w:rPr>
          <w:rFonts w:eastAsia="Times New Roman" w:cs="Times New Roman"/>
          <w:szCs w:val="20"/>
        </w:rPr>
        <w:tab/>
      </w:r>
      <w:r w:rsidRPr="008F6613">
        <w:rPr>
          <w:szCs w:val="20"/>
        </w:rPr>
        <w:t>Цифровой ключ может передаваться на то или иное устройство только с помощью процесса авторизации.</w:t>
      </w:r>
    </w:p>
    <w:p w14:paraId="673CA27E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rFonts w:eastAsia="Times New Roman" w:cs="Times New Roman"/>
          <w:szCs w:val="20"/>
        </w:rPr>
        <w:t>4.2</w:t>
      </w:r>
      <w:r w:rsidRPr="008F6613">
        <w:rPr>
          <w:rFonts w:eastAsia="Times New Roman" w:cs="Times New Roman"/>
          <w:szCs w:val="20"/>
        </w:rPr>
        <w:tab/>
      </w:r>
      <w:r w:rsidRPr="008F6613">
        <w:rPr>
          <w:szCs w:val="20"/>
        </w:rPr>
        <w:t xml:space="preserve">Должна быть предусмотрена процедура отмены авторизации. </w:t>
      </w:r>
    </w:p>
    <w:p w14:paraId="1C32B23D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>4.2.1</w:t>
      </w:r>
      <w:r w:rsidRPr="008F6613">
        <w:rPr>
          <w:szCs w:val="20"/>
        </w:rPr>
        <w:tab/>
        <w:t xml:space="preserve">Отмена авторизации цифрового ключа не должна приводить к возникновению небезопасных условий. </w:t>
      </w:r>
    </w:p>
    <w:p w14:paraId="5FEC884E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ab/>
        <w:t xml:space="preserve">С использованием стандарта функциональной безопасности, такого как ISO 26262, и стандарта безопасности </w:t>
      </w:r>
      <w:r w:rsidRPr="00EC2E69">
        <w:rPr>
          <w:szCs w:val="20"/>
        </w:rPr>
        <w:t>заданных функций</w:t>
      </w:r>
      <w:r w:rsidRPr="008F6613">
        <w:rPr>
          <w:szCs w:val="20"/>
        </w:rPr>
        <w:t xml:space="preserve">, такого как ISO/PAS 21448, проводится анализ снижения степени риска, позволяющий документально обосновать степень риска, которому подвергаются водитель и пассажиры транспортного средства в результате отмены авторизации цифрового ключа, а также документально подтвердить возможность уменьшения этого риска в </w:t>
      </w:r>
      <w:r w:rsidRPr="008F6613">
        <w:rPr>
          <w:szCs w:val="20"/>
        </w:rPr>
        <w:lastRenderedPageBreak/>
        <w:t>результате обеспечения конкретных функций или свойств, направленных на уменьшение риска.</w:t>
      </w:r>
    </w:p>
    <w:p w14:paraId="1035F061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>4.2.2</w:t>
      </w:r>
      <w:r w:rsidRPr="008F6613">
        <w:rPr>
          <w:szCs w:val="20"/>
        </w:rPr>
        <w:tab/>
        <w:t>У основного(</w:t>
      </w:r>
      <w:proofErr w:type="spellStart"/>
      <w:r w:rsidRPr="008F6613">
        <w:rPr>
          <w:szCs w:val="20"/>
        </w:rPr>
        <w:t>ых</w:t>
      </w:r>
      <w:proofErr w:type="spellEnd"/>
      <w:r w:rsidRPr="008F6613">
        <w:rPr>
          <w:szCs w:val="20"/>
        </w:rPr>
        <w:t xml:space="preserve">) пользователя(ей) должна быть возможность устанавливать количество зарегистрированных цифровых ключей с действующей авторизацией. </w:t>
      </w:r>
    </w:p>
    <w:p w14:paraId="00537D21" w14:textId="253CD1CA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>4.3</w:t>
      </w:r>
      <w:r w:rsidRPr="008F6613">
        <w:rPr>
          <w:szCs w:val="20"/>
        </w:rPr>
        <w:tab/>
        <w:t xml:space="preserve">Пределы функциональных возможностей устройства для предотвращения несанкционированного использования и </w:t>
      </w:r>
      <w:proofErr w:type="spellStart"/>
      <w:r w:rsidRPr="008F6613">
        <w:rPr>
          <w:szCs w:val="20"/>
        </w:rPr>
        <w:t>иммобилизатора</w:t>
      </w:r>
      <w:proofErr w:type="spellEnd"/>
      <w:r w:rsidR="004A13CC">
        <w:rPr>
          <w:szCs w:val="20"/>
        </w:rPr>
        <w:t>:</w:t>
      </w:r>
    </w:p>
    <w:p w14:paraId="1DF3FDD5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>4.3.1</w:t>
      </w:r>
      <w:r w:rsidRPr="008F6613">
        <w:rPr>
          <w:szCs w:val="20"/>
        </w:rPr>
        <w:tab/>
        <w:t>Для разблокировки устройства для предотвращения несанкционированного использования необходимо, чтобы зарегистрированный цифровой ключ с действующей авторизацией был обнаружен в салоне транспортного средства или в непосредственной близости от транспортного средства.</w:t>
      </w:r>
    </w:p>
    <w:p w14:paraId="345D999D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>4.3.2</w:t>
      </w:r>
      <w:r w:rsidRPr="008F6613">
        <w:rPr>
          <w:szCs w:val="20"/>
        </w:rPr>
        <w:tab/>
        <w:t xml:space="preserve">Для отключения </w:t>
      </w:r>
      <w:proofErr w:type="spellStart"/>
      <w:r w:rsidRPr="008F6613">
        <w:rPr>
          <w:szCs w:val="20"/>
        </w:rPr>
        <w:t>иммобилизатора</w:t>
      </w:r>
      <w:proofErr w:type="spellEnd"/>
      <w:r w:rsidRPr="008F6613">
        <w:rPr>
          <w:szCs w:val="20"/>
        </w:rPr>
        <w:t xml:space="preserve"> необходимо, чтобы зарегистрированный цифровой ключ с действующей авторизацией был обнаружен в салоне транспортного средства или чтобы отключение </w:t>
      </w:r>
      <w:proofErr w:type="spellStart"/>
      <w:r w:rsidRPr="008F6613">
        <w:rPr>
          <w:szCs w:val="20"/>
        </w:rPr>
        <w:t>иммобилизатора</w:t>
      </w:r>
      <w:proofErr w:type="spellEnd"/>
      <w:r w:rsidRPr="008F6613">
        <w:rPr>
          <w:szCs w:val="20"/>
        </w:rPr>
        <w:t xml:space="preserve"> было целенаправленно активировано пользователем, находящимся в непосредственной близости от транспортного средства.</w:t>
      </w:r>
    </w:p>
    <w:p w14:paraId="05DAFDF8" w14:textId="35FD23F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ab/>
        <w:t xml:space="preserve">Предельное значение расстояния, на котором возможно отключение </w:t>
      </w:r>
      <w:proofErr w:type="spellStart"/>
      <w:r w:rsidRPr="008F6613">
        <w:rPr>
          <w:szCs w:val="20"/>
        </w:rPr>
        <w:t>иммобилизатора</w:t>
      </w:r>
      <w:proofErr w:type="spellEnd"/>
      <w:r w:rsidRPr="008F6613">
        <w:rPr>
          <w:szCs w:val="20"/>
        </w:rPr>
        <w:t xml:space="preserve"> в результате обнаружения ключа в салоне транспортного средства, проверяют с помощью следующей процедуры с учетом допуска в 2000 мм по периметру транспортного средства</w:t>
      </w:r>
      <w:r w:rsidR="004A13CC">
        <w:rPr>
          <w:szCs w:val="20"/>
        </w:rPr>
        <w:t>:</w:t>
      </w:r>
    </w:p>
    <w:p w14:paraId="3D4DD615" w14:textId="77777777" w:rsidR="00A956F9" w:rsidRPr="008F6613" w:rsidRDefault="00A956F9" w:rsidP="00A956F9">
      <w:pPr>
        <w:spacing w:after="120"/>
        <w:ind w:left="2835" w:right="1140" w:hanging="567"/>
        <w:jc w:val="both"/>
      </w:pPr>
      <w:r w:rsidRPr="008F6613">
        <w:t>a)</w:t>
      </w:r>
      <w:r w:rsidRPr="008F6613">
        <w:tab/>
        <w:t xml:space="preserve">Транспортное средство паркуют в безопасном месте, где отсутствуют какие-либо препятствия; при этом двигатель должен быть выключен, а все окна, двери и крыша </w:t>
      </w:r>
      <w:r>
        <w:t>–</w:t>
      </w:r>
      <w:r w:rsidRPr="008F6613">
        <w:t xml:space="preserve"> закрыты. </w:t>
      </w:r>
    </w:p>
    <w:p w14:paraId="6E1AA5F0" w14:textId="77777777" w:rsidR="00A956F9" w:rsidRPr="008F6613" w:rsidRDefault="00A956F9" w:rsidP="00A956F9">
      <w:pPr>
        <w:spacing w:after="120"/>
        <w:ind w:left="2835" w:right="1140" w:hanging="567"/>
        <w:jc w:val="both"/>
      </w:pPr>
      <w:r w:rsidRPr="008F6613">
        <w:t>b)</w:t>
      </w:r>
      <w:r w:rsidRPr="008F6613">
        <w:tab/>
        <w:t xml:space="preserve">По согласованию с технической службой изготовитель транспортного средства предоставляет для проведения испытаний типичное устройство пользователя. Уровень заряженности элемента питания устройства с цифровым ключом должен быть максимальным. </w:t>
      </w:r>
    </w:p>
    <w:p w14:paraId="0F5CDEE1" w14:textId="77777777" w:rsidR="00A956F9" w:rsidRPr="008F6613" w:rsidRDefault="00A956F9" w:rsidP="00A956F9">
      <w:pPr>
        <w:spacing w:after="120"/>
        <w:ind w:left="2835" w:right="1140" w:hanging="567"/>
        <w:jc w:val="both"/>
      </w:pPr>
      <w:r w:rsidRPr="008F6613">
        <w:t>c)</w:t>
      </w:r>
      <w:r w:rsidRPr="008F6613">
        <w:tab/>
        <w:t>Техническая служба устанавливает четыре испытательные точки, расположенные по периметру транспортного средства на расстоянии не менее 2000 мм от него. Под расстоянием понимают расстояние между ближайшей точкой транспортного средства и устройством пользователя.</w:t>
      </w:r>
    </w:p>
    <w:p w14:paraId="78DF066C" w14:textId="77777777" w:rsidR="00A956F9" w:rsidRPr="008F6613" w:rsidRDefault="00A956F9" w:rsidP="00A956F9">
      <w:pPr>
        <w:spacing w:after="120"/>
        <w:ind w:left="2835" w:right="1140" w:hanging="567"/>
        <w:jc w:val="both"/>
      </w:pPr>
      <w:r w:rsidRPr="008F6613">
        <w:t>d)</w:t>
      </w:r>
      <w:r w:rsidRPr="008F6613">
        <w:tab/>
        <w:t>Устройство пользователя размещается в каждой из испытательных точек. При попытке управления транспортным средством с использованием его собственной тяги двери транспортного средства должны быть закрыты. Если в одной из испытательных точек удается осуществить управление транспортным средством с использованием его собственной тяги, то требование испытания считается невыполненным.</w:t>
      </w:r>
    </w:p>
    <w:p w14:paraId="1F064F47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>4.3.3</w:t>
      </w:r>
      <w:r w:rsidRPr="008F6613">
        <w:rPr>
          <w:szCs w:val="20"/>
        </w:rPr>
        <w:tab/>
        <w:t>Требования, изложенные в пункте 4.3.1 и пункте 4.3.2, не применяются во время дистанционно управляемого маневрирования и дистанционно управляемой парковки согласно определению, содержащемуся в Правилах № 79 ООН.</w:t>
      </w:r>
    </w:p>
    <w:p w14:paraId="501C1BF3" w14:textId="77777777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szCs w:val="20"/>
        </w:rPr>
        <w:t>4.4</w:t>
      </w:r>
      <w:r w:rsidRPr="008F6613">
        <w:rPr>
          <w:szCs w:val="20"/>
        </w:rPr>
        <w:tab/>
        <w:t xml:space="preserve">Подробная информация должна содержаться в руководстве по эксплуатации транспортного средства или </w:t>
      </w:r>
      <w:r>
        <w:rPr>
          <w:szCs w:val="20"/>
        </w:rPr>
        <w:t>обеспечиваться</w:t>
      </w:r>
      <w:r w:rsidRPr="008F6613">
        <w:rPr>
          <w:szCs w:val="20"/>
        </w:rPr>
        <w:t xml:space="preserve"> с помощью любых других средств предоставления информации, имеющихся в транспортном средстве. Эта информация должна включать</w:t>
      </w:r>
      <w:r>
        <w:rPr>
          <w:szCs w:val="20"/>
        </w:rPr>
        <w:t>,</w:t>
      </w:r>
      <w:r w:rsidRPr="008F6613">
        <w:rPr>
          <w:szCs w:val="20"/>
        </w:rPr>
        <w:t xml:space="preserve"> по крайней мере</w:t>
      </w:r>
      <w:r>
        <w:rPr>
          <w:szCs w:val="20"/>
        </w:rPr>
        <w:t>,</w:t>
      </w:r>
      <w:r w:rsidRPr="008F6613">
        <w:rPr>
          <w:szCs w:val="20"/>
        </w:rPr>
        <w:t xml:space="preserve"> </w:t>
      </w:r>
      <w:r>
        <w:rPr>
          <w:szCs w:val="20"/>
        </w:rPr>
        <w:t>следующее</w:t>
      </w:r>
      <w:r w:rsidRPr="008F6613">
        <w:rPr>
          <w:szCs w:val="20"/>
        </w:rPr>
        <w:t>:</w:t>
      </w:r>
    </w:p>
    <w:p w14:paraId="61692C37" w14:textId="77777777" w:rsidR="00A956F9" w:rsidRPr="008F6613" w:rsidRDefault="00A956F9" w:rsidP="00A956F9">
      <w:pPr>
        <w:spacing w:after="120"/>
        <w:ind w:left="2835" w:right="1140" w:hanging="567"/>
        <w:jc w:val="both"/>
      </w:pPr>
      <w:r w:rsidRPr="008F6613">
        <w:t>a)</w:t>
      </w:r>
      <w:r w:rsidRPr="008F6613">
        <w:tab/>
        <w:t>описание метода(</w:t>
      </w:r>
      <w:proofErr w:type="spellStart"/>
      <w:r w:rsidRPr="008F6613">
        <w:t>ов</w:t>
      </w:r>
      <w:proofErr w:type="spellEnd"/>
      <w:r w:rsidRPr="008F6613">
        <w:t>) авторизации цифрового ключа;</w:t>
      </w:r>
    </w:p>
    <w:p w14:paraId="1AD22C40" w14:textId="77777777" w:rsidR="00A956F9" w:rsidRPr="008F6613" w:rsidRDefault="00A956F9" w:rsidP="00A956F9">
      <w:pPr>
        <w:spacing w:after="120"/>
        <w:ind w:left="2835" w:right="1140" w:hanging="567"/>
        <w:jc w:val="both"/>
      </w:pPr>
      <w:r w:rsidRPr="008F6613">
        <w:t>b)</w:t>
      </w:r>
      <w:r w:rsidRPr="008F6613">
        <w:tab/>
        <w:t>описание метода(</w:t>
      </w:r>
      <w:proofErr w:type="spellStart"/>
      <w:r w:rsidRPr="008F6613">
        <w:t>ов</w:t>
      </w:r>
      <w:proofErr w:type="spellEnd"/>
      <w:r w:rsidRPr="008F6613">
        <w:t>) отмены авторизации цифрового ключа.</w:t>
      </w:r>
    </w:p>
    <w:p w14:paraId="0BF846CE" w14:textId="4B599E16" w:rsidR="00A956F9" w:rsidRPr="008F6613" w:rsidRDefault="00A956F9" w:rsidP="00A956F9">
      <w:pPr>
        <w:spacing w:after="120"/>
        <w:ind w:left="2268" w:right="1140" w:hanging="1134"/>
        <w:jc w:val="both"/>
        <w:rPr>
          <w:szCs w:val="20"/>
        </w:rPr>
      </w:pPr>
      <w:r w:rsidRPr="008F6613">
        <w:rPr>
          <w:rFonts w:eastAsia="Times New Roman" w:cs="Times New Roman"/>
          <w:szCs w:val="20"/>
        </w:rPr>
        <w:lastRenderedPageBreak/>
        <w:t>5.</w:t>
      </w:r>
      <w:r w:rsidRPr="008F6613">
        <w:rPr>
          <w:rFonts w:eastAsia="Times New Roman" w:cs="Times New Roman"/>
          <w:szCs w:val="20"/>
        </w:rPr>
        <w:tab/>
      </w:r>
      <w:r w:rsidRPr="006761CD">
        <w:rPr>
          <w:szCs w:val="20"/>
        </w:rPr>
        <w:t xml:space="preserve">Кибератаки, </w:t>
      </w:r>
      <w:proofErr w:type="spellStart"/>
      <w:r w:rsidRPr="006761CD">
        <w:rPr>
          <w:szCs w:val="20"/>
        </w:rPr>
        <w:t>киберугрозы</w:t>
      </w:r>
      <w:proofErr w:type="spellEnd"/>
      <w:r w:rsidRPr="006761CD">
        <w:rPr>
          <w:szCs w:val="20"/>
        </w:rPr>
        <w:t xml:space="preserve"> и факторы уязвимости не должны оказывать негативного влияния на эффективность системы.</w:t>
      </w:r>
      <w:r w:rsidRPr="008F6613">
        <w:rPr>
          <w:szCs w:val="20"/>
        </w:rPr>
        <w:t xml:space="preserve"> </w:t>
      </w:r>
      <w:r w:rsidRPr="000B7647">
        <w:rPr>
          <w:szCs w:val="20"/>
        </w:rPr>
        <w:t xml:space="preserve">Эффективность мер безопасности должна быть продемонстрирована соблюдением </w:t>
      </w:r>
      <w:r w:rsidR="004A13CC">
        <w:rPr>
          <w:szCs w:val="20"/>
        </w:rPr>
        <w:br/>
      </w:r>
      <w:r w:rsidRPr="000B7647">
        <w:rPr>
          <w:szCs w:val="20"/>
        </w:rPr>
        <w:t>Правил № 155 ООН.</w:t>
      </w:r>
    </w:p>
    <w:p w14:paraId="4EC0FF1D" w14:textId="77777777" w:rsidR="00A956F9" w:rsidRPr="008F6613" w:rsidRDefault="00A956F9" w:rsidP="00A956F9">
      <w:pPr>
        <w:keepNext/>
        <w:spacing w:after="120"/>
        <w:ind w:left="2268" w:right="1140" w:hanging="1134"/>
        <w:jc w:val="both"/>
        <w:rPr>
          <w:szCs w:val="20"/>
        </w:rPr>
      </w:pPr>
      <w:r w:rsidRPr="008F6613">
        <w:rPr>
          <w:rFonts w:eastAsia="Times New Roman" w:cs="Times New Roman"/>
          <w:szCs w:val="20"/>
        </w:rPr>
        <w:t>6.</w:t>
      </w:r>
      <w:r w:rsidRPr="008F6613">
        <w:rPr>
          <w:rFonts w:eastAsia="Times New Roman" w:cs="Times New Roman"/>
          <w:szCs w:val="20"/>
        </w:rPr>
        <w:tab/>
      </w:r>
      <w:r w:rsidRPr="008F6613">
        <w:rPr>
          <w:szCs w:val="20"/>
        </w:rPr>
        <w:t>Проверка</w:t>
      </w:r>
    </w:p>
    <w:p w14:paraId="5D07D0CD" w14:textId="77777777" w:rsidR="00A956F9" w:rsidRPr="008F6613" w:rsidRDefault="00A956F9" w:rsidP="00A956F9">
      <w:pPr>
        <w:spacing w:after="120"/>
        <w:ind w:left="2268" w:right="1140"/>
        <w:jc w:val="both"/>
      </w:pPr>
      <w:r w:rsidRPr="008F6613">
        <w:t>Проверку функциональности цифрового ключа проводят с использованием представленной изготовителем документации, указанной в пункте 3.</w:t>
      </w:r>
    </w:p>
    <w:p w14:paraId="0FE23D70" w14:textId="77777777" w:rsidR="00A956F9" w:rsidRPr="008F6613" w:rsidRDefault="00A956F9" w:rsidP="00A956F9">
      <w:pPr>
        <w:keepNext/>
        <w:spacing w:after="120"/>
        <w:ind w:left="2268" w:right="1140" w:hanging="1134"/>
        <w:jc w:val="both"/>
        <w:rPr>
          <w:szCs w:val="20"/>
        </w:rPr>
      </w:pPr>
      <w:bookmarkStart w:id="2" w:name="7_841"/>
      <w:r w:rsidRPr="008F6613">
        <w:rPr>
          <w:szCs w:val="20"/>
        </w:rPr>
        <w:t>7.</w:t>
      </w:r>
      <w:r w:rsidRPr="008F6613">
        <w:rPr>
          <w:szCs w:val="20"/>
        </w:rPr>
        <w:tab/>
        <w:t>Компетенция контролеров/оценщиков</w:t>
      </w:r>
      <w:bookmarkEnd w:id="2"/>
    </w:p>
    <w:p w14:paraId="2F295F7A" w14:textId="04482FC2" w:rsidR="00EE267A" w:rsidRDefault="00A956F9" w:rsidP="00A956F9">
      <w:pPr>
        <w:spacing w:after="120"/>
        <w:ind w:left="2268" w:right="1140" w:hanging="1134"/>
        <w:jc w:val="both"/>
      </w:pPr>
      <w:r w:rsidRPr="008F6613">
        <w:rPr>
          <w:szCs w:val="20"/>
        </w:rPr>
        <w:tab/>
        <w:t xml:space="preserve">Оценки согласно настоящему приложению производятся только теми контролерами/оценщиками, которые </w:t>
      </w:r>
      <w:r>
        <w:rPr>
          <w:szCs w:val="20"/>
        </w:rPr>
        <w:t>обладают</w:t>
      </w:r>
      <w:r w:rsidRPr="008F6613">
        <w:rPr>
          <w:szCs w:val="20"/>
        </w:rPr>
        <w:t xml:space="preserve"> техническими и административными знаниями, необходимыми для таких целей. Они должны, в частности, обладать компетенцией контролера/оценщика согласно стандартам ISO 26262-2018 (Функциональная безопасность — дорожные транспортные средства) и ISO/PAS 21448 (</w:t>
      </w:r>
      <w:r w:rsidRPr="00A956F9">
        <w:rPr>
          <w:szCs w:val="20"/>
        </w:rPr>
        <w:t xml:space="preserve">Безопасность заданных функций </w:t>
      </w:r>
      <w:r>
        <w:rPr>
          <w:szCs w:val="20"/>
        </w:rPr>
        <w:t>д</w:t>
      </w:r>
      <w:r w:rsidRPr="00A956F9">
        <w:rPr>
          <w:szCs w:val="20"/>
        </w:rPr>
        <w:t>орожны</w:t>
      </w:r>
      <w:r>
        <w:rPr>
          <w:szCs w:val="20"/>
        </w:rPr>
        <w:t>х</w:t>
      </w:r>
      <w:r w:rsidRPr="00A956F9">
        <w:rPr>
          <w:szCs w:val="20"/>
        </w:rPr>
        <w:t xml:space="preserve"> транспортны</w:t>
      </w:r>
      <w:r>
        <w:rPr>
          <w:szCs w:val="20"/>
        </w:rPr>
        <w:t>х</w:t>
      </w:r>
      <w:r w:rsidRPr="00A956F9">
        <w:rPr>
          <w:szCs w:val="20"/>
        </w:rPr>
        <w:t xml:space="preserve"> средств</w:t>
      </w:r>
      <w:r w:rsidRPr="008F6613">
        <w:rPr>
          <w:szCs w:val="20"/>
        </w:rPr>
        <w:t>), а также быть в состоянии установить необходимую связь с аспектами кибербезопасности в соответствии с Правилами №</w:t>
      </w:r>
      <w:r w:rsidRPr="008F6613">
        <w:rPr>
          <w:szCs w:val="20"/>
          <w:lang w:val="fr-CH"/>
        </w:rPr>
        <w:t> </w:t>
      </w:r>
      <w:r w:rsidRPr="008F6613">
        <w:rPr>
          <w:szCs w:val="20"/>
        </w:rPr>
        <w:t xml:space="preserve">155 ООН и стандартом ISO/SAE 21434. Компетенция контролеров/оценщиков должна </w:t>
      </w:r>
      <w:r>
        <w:rPr>
          <w:szCs w:val="20"/>
        </w:rPr>
        <w:t>подтверждаться</w:t>
      </w:r>
      <w:r w:rsidRPr="008F6613">
        <w:rPr>
          <w:szCs w:val="20"/>
        </w:rPr>
        <w:t xml:space="preserve"> наличием у них соответствующей квалификации или другими эквивалентными свидетельствами о профессиональной подготовке».</w:t>
      </w:r>
    </w:p>
    <w:p w14:paraId="4508C8B2" w14:textId="305F6A30" w:rsidR="00E12C5F" w:rsidRPr="004A13CC" w:rsidRDefault="004A13CC" w:rsidP="004A13C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A13CC" w:rsidSect="00A956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60E9" w14:textId="77777777" w:rsidR="000079DE" w:rsidRPr="00A312BC" w:rsidRDefault="000079DE" w:rsidP="00A312BC"/>
  </w:endnote>
  <w:endnote w:type="continuationSeparator" w:id="0">
    <w:p w14:paraId="165470D6" w14:textId="77777777" w:rsidR="000079DE" w:rsidRPr="00A312BC" w:rsidRDefault="000079D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5580" w14:textId="70C7314E" w:rsidR="00A956F9" w:rsidRPr="00A956F9" w:rsidRDefault="00A956F9">
    <w:pPr>
      <w:pStyle w:val="a8"/>
    </w:pPr>
    <w:r w:rsidRPr="00A956F9">
      <w:rPr>
        <w:b/>
        <w:sz w:val="18"/>
      </w:rPr>
      <w:fldChar w:fldCharType="begin"/>
    </w:r>
    <w:r w:rsidRPr="00A956F9">
      <w:rPr>
        <w:b/>
        <w:sz w:val="18"/>
      </w:rPr>
      <w:instrText xml:space="preserve"> PAGE  \* MERGEFORMAT </w:instrText>
    </w:r>
    <w:r w:rsidRPr="00A956F9">
      <w:rPr>
        <w:b/>
        <w:sz w:val="18"/>
      </w:rPr>
      <w:fldChar w:fldCharType="separate"/>
    </w:r>
    <w:r w:rsidRPr="00A956F9">
      <w:rPr>
        <w:b/>
        <w:noProof/>
        <w:sz w:val="18"/>
      </w:rPr>
      <w:t>2</w:t>
    </w:r>
    <w:r w:rsidRPr="00A956F9">
      <w:rPr>
        <w:b/>
        <w:sz w:val="18"/>
      </w:rPr>
      <w:fldChar w:fldCharType="end"/>
    </w:r>
    <w:r>
      <w:rPr>
        <w:b/>
        <w:sz w:val="18"/>
      </w:rPr>
      <w:tab/>
    </w:r>
    <w:r>
      <w:t>GE.21-12190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EC48" w14:textId="3B4BFFFB" w:rsidR="00A956F9" w:rsidRPr="00A956F9" w:rsidRDefault="00A956F9" w:rsidP="00A956F9">
    <w:pPr>
      <w:pStyle w:val="a8"/>
      <w:tabs>
        <w:tab w:val="clear" w:pos="9639"/>
        <w:tab w:val="right" w:pos="9638"/>
      </w:tabs>
      <w:rPr>
        <w:b/>
        <w:sz w:val="18"/>
      </w:rPr>
    </w:pPr>
    <w:r>
      <w:t>GE.21-12190</w:t>
    </w:r>
    <w:r>
      <w:tab/>
    </w:r>
    <w:r w:rsidRPr="00A956F9">
      <w:rPr>
        <w:b/>
        <w:sz w:val="18"/>
      </w:rPr>
      <w:fldChar w:fldCharType="begin"/>
    </w:r>
    <w:r w:rsidRPr="00A956F9">
      <w:rPr>
        <w:b/>
        <w:sz w:val="18"/>
      </w:rPr>
      <w:instrText xml:space="preserve"> PAGE  \* MERGEFORMAT </w:instrText>
    </w:r>
    <w:r w:rsidRPr="00A956F9">
      <w:rPr>
        <w:b/>
        <w:sz w:val="18"/>
      </w:rPr>
      <w:fldChar w:fldCharType="separate"/>
    </w:r>
    <w:r w:rsidRPr="00A956F9">
      <w:rPr>
        <w:b/>
        <w:noProof/>
        <w:sz w:val="18"/>
      </w:rPr>
      <w:t>3</w:t>
    </w:r>
    <w:r w:rsidRPr="00A956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9F39" w14:textId="49063365" w:rsidR="00042B72" w:rsidRPr="00A956F9" w:rsidRDefault="00A956F9" w:rsidP="00A956F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41554F" wp14:editId="2D72B0A3">
          <wp:simplePos x="0" y="0"/>
          <wp:positionH relativeFrom="margin">
            <wp:posOffset>3420745</wp:posOffset>
          </wp:positionH>
          <wp:positionV relativeFrom="margin">
            <wp:posOffset>9109075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21-12190  (R)</w:t>
    </w:r>
    <w:r>
      <w:rPr>
        <w:lang w:val="en-US"/>
      </w:rPr>
      <w:t xml:space="preserve">  240921  051021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6A98F" w14:textId="77777777" w:rsidR="000079DE" w:rsidRPr="001075E9" w:rsidRDefault="000079D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F3ACDE" w14:textId="77777777" w:rsidR="000079DE" w:rsidRDefault="000079D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3FD0A5" w14:textId="46A74D5C" w:rsidR="00A956F9" w:rsidRPr="00DC2C16" w:rsidRDefault="00A956F9" w:rsidP="00A956F9">
      <w:pPr>
        <w:pStyle w:val="ad"/>
      </w:pPr>
      <w:r>
        <w:tab/>
      </w:r>
      <w:r w:rsidRPr="00825163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</w:t>
      </w:r>
      <w:r w:rsidR="00825163">
        <w:br/>
      </w:r>
      <w:r>
        <w:t>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E1ED" w14:textId="2FF4E5DE" w:rsidR="00A956F9" w:rsidRPr="00A956F9" w:rsidRDefault="001C5E1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956F9">
      <w:t>ECE/TRANS/WP.29/2021/99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D74E" w14:textId="75A13047" w:rsidR="00A956F9" w:rsidRPr="00A956F9" w:rsidRDefault="001C5E13" w:rsidP="00A956F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956F9">
      <w:t>ECE/TRANS/WP.29/2021/99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DE"/>
    <w:rsid w:val="000079D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5E13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13C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163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56F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267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575CDA"/>
  <w15:docId w15:val="{3D0B13AF-9FA2-4189-AEDD-CB0BD63D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A956F9"/>
    <w:rPr>
      <w:lang w:val="ru-RU" w:eastAsia="en-US"/>
    </w:rPr>
  </w:style>
  <w:style w:type="character" w:customStyle="1" w:styleId="HChGChar">
    <w:name w:val="_ H _Ch_G Char"/>
    <w:link w:val="HChG"/>
    <w:locked/>
    <w:rsid w:val="00A956F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1452</Words>
  <Characters>11080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ECE/TRANS/WP.29/2021/99</dc:title>
  <dc:creator>No author</dc:creator>
  <cp:lastModifiedBy>No author</cp:lastModifiedBy>
  <cp:revision>2</cp:revision>
  <cp:lastPrinted>2008-01-15T07:58:00Z</cp:lastPrinted>
  <dcterms:created xsi:type="dcterms:W3CDTF">2021-10-05T13:41:00Z</dcterms:created>
  <dcterms:modified xsi:type="dcterms:W3CDTF">2021-10-05T13:41:00Z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