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0A352E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D7C0756" w14:textId="77777777" w:rsidR="00F35BAF" w:rsidRPr="00DB58B5" w:rsidRDefault="00F35BAF" w:rsidP="0022310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32763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CEECFB7" w14:textId="034FEF2B" w:rsidR="00F35BAF" w:rsidRPr="00DB58B5" w:rsidRDefault="00223104" w:rsidP="00223104">
            <w:pPr>
              <w:jc w:val="right"/>
            </w:pPr>
            <w:r w:rsidRPr="00223104">
              <w:rPr>
                <w:sz w:val="40"/>
              </w:rPr>
              <w:t>ECE</w:t>
            </w:r>
            <w:r>
              <w:t>/TRANS/WP.29/2021/97</w:t>
            </w:r>
          </w:p>
        </w:tc>
      </w:tr>
      <w:tr w:rsidR="00F35BAF" w:rsidRPr="00DB58B5" w14:paraId="368AC45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4AF72C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C90C2B6" wp14:editId="788A81D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D4265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FB4C42F" w14:textId="77777777" w:rsidR="00F35BAF" w:rsidRDefault="00223104" w:rsidP="00C97039">
            <w:pPr>
              <w:spacing w:before="240"/>
            </w:pPr>
            <w:r>
              <w:t>Distr. générale</w:t>
            </w:r>
          </w:p>
          <w:p w14:paraId="557CEC98" w14:textId="77777777" w:rsidR="00223104" w:rsidRDefault="00223104" w:rsidP="00223104">
            <w:pPr>
              <w:spacing w:line="240" w:lineRule="exact"/>
            </w:pPr>
            <w:r>
              <w:t>2 septembre 2021</w:t>
            </w:r>
          </w:p>
          <w:p w14:paraId="54B4699D" w14:textId="77777777" w:rsidR="00223104" w:rsidRDefault="00223104" w:rsidP="00223104">
            <w:pPr>
              <w:spacing w:line="240" w:lineRule="exact"/>
            </w:pPr>
            <w:r>
              <w:t>Français</w:t>
            </w:r>
          </w:p>
          <w:p w14:paraId="1ACFF22F" w14:textId="676EF871" w:rsidR="00223104" w:rsidRPr="00DB58B5" w:rsidRDefault="00223104" w:rsidP="00223104">
            <w:pPr>
              <w:spacing w:line="240" w:lineRule="exact"/>
            </w:pPr>
            <w:r>
              <w:t>Original : anglais</w:t>
            </w:r>
          </w:p>
        </w:tc>
      </w:tr>
    </w:tbl>
    <w:p w14:paraId="049B6AE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961720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110CE76" w14:textId="7C6D2947" w:rsidR="00223104" w:rsidRPr="00EA4CB3" w:rsidRDefault="00223104" w:rsidP="00223104">
      <w:pPr>
        <w:spacing w:before="120"/>
        <w:rPr>
          <w:b/>
          <w:sz w:val="24"/>
          <w:szCs w:val="24"/>
        </w:rPr>
      </w:pPr>
      <w:r w:rsidRPr="00EA4CB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EA4CB3">
        <w:rPr>
          <w:b/>
          <w:sz w:val="24"/>
          <w:szCs w:val="24"/>
        </w:rPr>
        <w:t xml:space="preserve">harmonisation des Règlements </w:t>
      </w:r>
      <w:r>
        <w:rPr>
          <w:b/>
          <w:sz w:val="24"/>
          <w:szCs w:val="24"/>
        </w:rPr>
        <w:br/>
      </w:r>
      <w:r w:rsidRPr="00EA4CB3">
        <w:rPr>
          <w:b/>
          <w:sz w:val="24"/>
          <w:szCs w:val="24"/>
        </w:rPr>
        <w:t>concernant les véhicules</w:t>
      </w:r>
    </w:p>
    <w:p w14:paraId="3CCD521E" w14:textId="77777777" w:rsidR="00223104" w:rsidRPr="00EA4CB3" w:rsidRDefault="00223104" w:rsidP="00223104">
      <w:pPr>
        <w:spacing w:before="120"/>
        <w:rPr>
          <w:b/>
        </w:rPr>
      </w:pPr>
      <w:r w:rsidRPr="00EA4CB3">
        <w:rPr>
          <w:b/>
        </w:rPr>
        <w:t>185</w:t>
      </w:r>
      <w:r w:rsidRPr="00EA4CB3">
        <w:rPr>
          <w:b/>
          <w:vertAlign w:val="superscript"/>
        </w:rPr>
        <w:t>e</w:t>
      </w:r>
      <w:r w:rsidRPr="00EA4CB3">
        <w:rPr>
          <w:b/>
        </w:rPr>
        <w:t xml:space="preserve"> session</w:t>
      </w:r>
    </w:p>
    <w:p w14:paraId="2BD42D27" w14:textId="77777777" w:rsidR="00223104" w:rsidRPr="00EA4CB3" w:rsidRDefault="00223104" w:rsidP="00223104">
      <w:r w:rsidRPr="00EA4CB3">
        <w:t>Genève, 23-25 novembre 2021</w:t>
      </w:r>
    </w:p>
    <w:p w14:paraId="05D50C5C" w14:textId="77777777" w:rsidR="00223104" w:rsidRPr="00D12F9D" w:rsidRDefault="00223104" w:rsidP="00223104">
      <w:r w:rsidRPr="00EA4CB3">
        <w:t xml:space="preserve">Point </w:t>
      </w:r>
      <w:r w:rsidRPr="003E5EBA">
        <w:t xml:space="preserve">4.7.1 </w:t>
      </w:r>
      <w:r w:rsidRPr="00D12F9D">
        <w:t>de l</w:t>
      </w:r>
      <w:r>
        <w:t>’</w:t>
      </w:r>
      <w:r w:rsidRPr="00D12F9D">
        <w:t>ordre du jour provisoire</w:t>
      </w:r>
    </w:p>
    <w:p w14:paraId="5947DB12" w14:textId="02D57E0F" w:rsidR="00223104" w:rsidRPr="003E5EBA" w:rsidRDefault="00223104" w:rsidP="00223104">
      <w:pPr>
        <w:rPr>
          <w:b/>
        </w:rPr>
      </w:pPr>
      <w:r w:rsidRPr="00D12F9D">
        <w:rPr>
          <w:b/>
        </w:rPr>
        <w:t>Accord de 1958 :</w:t>
      </w:r>
      <w:r w:rsidRPr="00D12F9D">
        <w:rPr>
          <w:b/>
        </w:rPr>
        <w:br/>
      </w:r>
      <w:r w:rsidRPr="00D12F9D">
        <w:rPr>
          <w:b/>
          <w:bCs/>
        </w:rPr>
        <w:t>Examen de projets d</w:t>
      </w:r>
      <w:r>
        <w:rPr>
          <w:b/>
          <w:bCs/>
        </w:rPr>
        <w:t>’</w:t>
      </w:r>
      <w:r w:rsidRPr="00D12F9D">
        <w:rPr>
          <w:b/>
          <w:bCs/>
        </w:rPr>
        <w:t xml:space="preserve">amendements à des Règlements </w:t>
      </w:r>
      <w:r>
        <w:rPr>
          <w:b/>
          <w:bCs/>
        </w:rPr>
        <w:br/>
      </w:r>
      <w:r w:rsidRPr="00D12F9D">
        <w:rPr>
          <w:b/>
          <w:bCs/>
        </w:rPr>
        <w:t>existants, soumis par le</w:t>
      </w:r>
      <w:r w:rsidRPr="003E5EBA">
        <w:rPr>
          <w:b/>
        </w:rPr>
        <w:t xml:space="preserve"> GRSG</w:t>
      </w:r>
    </w:p>
    <w:p w14:paraId="34AC1D7A" w14:textId="77777777" w:rsidR="00223104" w:rsidRPr="003E5EBA" w:rsidRDefault="00223104" w:rsidP="00223104">
      <w:pPr>
        <w:pStyle w:val="HChG"/>
      </w:pPr>
      <w:r w:rsidRPr="003E5EBA">
        <w:tab/>
      </w:r>
      <w:r w:rsidRPr="003E5EBA">
        <w:tab/>
      </w:r>
      <w:r w:rsidRPr="0071515C">
        <w:t xml:space="preserve">Proposition de </w:t>
      </w:r>
      <w:r>
        <w:t>série </w:t>
      </w:r>
      <w:r w:rsidRPr="003E5EBA">
        <w:t xml:space="preserve">04 </w:t>
      </w:r>
      <w:r>
        <w:t>d’</w:t>
      </w:r>
      <w:r w:rsidRPr="003E5EBA">
        <w:t>amend</w:t>
      </w:r>
      <w:r>
        <w:t>e</w:t>
      </w:r>
      <w:r w:rsidRPr="003E5EBA">
        <w:t xml:space="preserve">ments </w:t>
      </w:r>
      <w:r>
        <w:t xml:space="preserve">au </w:t>
      </w:r>
      <w:r w:rsidRPr="0071515C">
        <w:rPr>
          <w:bCs/>
        </w:rPr>
        <w:t>Règlement ONU n</w:t>
      </w:r>
      <w:r w:rsidRPr="0071515C">
        <w:rPr>
          <w:bCs/>
          <w:vertAlign w:val="superscript"/>
        </w:rPr>
        <w:t>o</w:t>
      </w:r>
      <w:r w:rsidRPr="0071515C">
        <w:rPr>
          <w:bCs/>
        </w:rPr>
        <w:t> </w:t>
      </w:r>
      <w:r w:rsidRPr="003E5EBA">
        <w:t xml:space="preserve">67 </w:t>
      </w:r>
      <w:r>
        <w:t>(</w:t>
      </w:r>
      <w:r w:rsidRPr="004F7679">
        <w:t>Véhicules alimentés au GPL</w:t>
      </w:r>
      <w:r w:rsidRPr="003E5EBA">
        <w:t>)</w:t>
      </w:r>
    </w:p>
    <w:p w14:paraId="49F3A64A" w14:textId="1115565E" w:rsidR="00223104" w:rsidRPr="003E5EBA" w:rsidRDefault="00223104" w:rsidP="00223104">
      <w:pPr>
        <w:pStyle w:val="H1G"/>
      </w:pPr>
      <w:r w:rsidRPr="003E5EBA">
        <w:tab/>
      </w:r>
      <w:r w:rsidRPr="003E5EBA">
        <w:tab/>
      </w:r>
      <w:r w:rsidRPr="00B723A0">
        <w:rPr>
          <w:bCs/>
        </w:rPr>
        <w:t xml:space="preserve">Communication du </w:t>
      </w:r>
      <w:r w:rsidRPr="00A95BF4">
        <w:t xml:space="preserve">Groupe de travail des dispositions générales </w:t>
      </w:r>
      <w:r>
        <w:br/>
      </w:r>
      <w:r w:rsidRPr="00A95BF4">
        <w:t>de sécurité</w:t>
      </w:r>
      <w:r w:rsidRPr="00223104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33F3DFA" w14:textId="77777777" w:rsidR="00223104" w:rsidRPr="003E5EBA" w:rsidRDefault="00223104" w:rsidP="00223104">
      <w:pPr>
        <w:pStyle w:val="SingleTxtG"/>
        <w:ind w:firstLine="567"/>
      </w:pPr>
      <w:r w:rsidRPr="004F7679">
        <w:t xml:space="preserve">Le texte ci-après, adopté par le </w:t>
      </w:r>
      <w:r w:rsidRPr="00A95BF4">
        <w:t xml:space="preserve">Groupe de travail des dispositions générales de sécurité </w:t>
      </w:r>
      <w:r>
        <w:t>à sa cent vingt et unième</w:t>
      </w:r>
      <w:r w:rsidRPr="003E5EBA">
        <w:t xml:space="preserve"> session, </w:t>
      </w:r>
      <w:r>
        <w:t>tenue en av</w:t>
      </w:r>
      <w:r w:rsidRPr="003E5EBA">
        <w:t>ril 2021 (ECE/TRANS/WP.29/GRSG/100, par.</w:t>
      </w:r>
      <w:r>
        <w:t> </w:t>
      </w:r>
      <w:r w:rsidRPr="003E5EBA">
        <w:t>66)</w:t>
      </w:r>
      <w:r>
        <w:t>, est fondé sur le document</w:t>
      </w:r>
      <w:r w:rsidRPr="003E5EBA">
        <w:t xml:space="preserve"> ECE/TRANS/WP.29/GRSG/2021/8. </w:t>
      </w:r>
      <w:r w:rsidRPr="00B220B6">
        <w:t>Il est soumis au Forum mondial de l</w:t>
      </w:r>
      <w:r>
        <w:t>’</w:t>
      </w:r>
      <w:r w:rsidRPr="00B220B6">
        <w:t>harmonisation des Règlements concernant les véhicules (WP.29) et au Comité d</w:t>
      </w:r>
      <w:r>
        <w:t>’</w:t>
      </w:r>
      <w:r w:rsidRPr="00B220B6">
        <w:t>administration de l</w:t>
      </w:r>
      <w:r>
        <w:t>’</w:t>
      </w:r>
      <w:r w:rsidRPr="00B220B6">
        <w:t>Accord de 1958 (AC.1) pour examen à leurs sessions de novembre 2021</w:t>
      </w:r>
      <w:r w:rsidRPr="003E5EBA">
        <w:t>.</w:t>
      </w:r>
    </w:p>
    <w:p w14:paraId="4C39522C" w14:textId="77777777" w:rsidR="00223104" w:rsidRPr="003E5EBA" w:rsidRDefault="00223104" w:rsidP="00223104">
      <w:r w:rsidRPr="003E5EBA">
        <w:br w:type="page"/>
      </w:r>
    </w:p>
    <w:p w14:paraId="4E123E38" w14:textId="77777777" w:rsidR="00223104" w:rsidRPr="003E5EBA" w:rsidRDefault="00223104" w:rsidP="00D76E37">
      <w:pPr>
        <w:pStyle w:val="SingleTxtG"/>
      </w:pPr>
      <w:r w:rsidRPr="00D76E37">
        <w:rPr>
          <w:i/>
          <w:iCs/>
        </w:rPr>
        <w:lastRenderedPageBreak/>
        <w:t>Paragraphe 5.2</w:t>
      </w:r>
      <w:r w:rsidRPr="003E5EBA">
        <w:t>, lire </w:t>
      </w:r>
      <w:r w:rsidRPr="003E5EBA">
        <w:rPr>
          <w:lang w:eastAsia="ja-JP"/>
        </w:rPr>
        <w:t>:</w:t>
      </w:r>
    </w:p>
    <w:p w14:paraId="2CE9DB30" w14:textId="234A6CA3" w:rsidR="00223104" w:rsidRPr="003E5EBA" w:rsidRDefault="00223104" w:rsidP="00D76E37">
      <w:pPr>
        <w:pStyle w:val="SingleTxtG"/>
        <w:tabs>
          <w:tab w:val="left" w:pos="2268"/>
        </w:tabs>
        <w:ind w:left="2268" w:hanging="1134"/>
        <w:rPr>
          <w:b/>
          <w:lang w:eastAsia="ja-JP"/>
        </w:rPr>
      </w:pPr>
      <w:r>
        <w:rPr>
          <w:lang w:eastAsia="ja-JP"/>
        </w:rPr>
        <w:t>« </w:t>
      </w:r>
      <w:r w:rsidRPr="003E5EBA">
        <w:rPr>
          <w:lang w:eastAsia="ja-JP"/>
        </w:rPr>
        <w:t>5.2</w:t>
      </w:r>
      <w:r w:rsidRPr="003E5EBA">
        <w:rPr>
          <w:lang w:eastAsia="ja-JP"/>
        </w:rPr>
        <w:tab/>
        <w:t>Un numéro d</w:t>
      </w:r>
      <w:r>
        <w:rPr>
          <w:lang w:eastAsia="ja-JP"/>
        </w:rPr>
        <w:t>’</w:t>
      </w:r>
      <w:r w:rsidRPr="003E5EBA">
        <w:rPr>
          <w:lang w:eastAsia="ja-JP"/>
        </w:rPr>
        <w:t>homologation est attribué à chaque type d</w:t>
      </w:r>
      <w:r>
        <w:rPr>
          <w:lang w:eastAsia="ja-JP"/>
        </w:rPr>
        <w:t>’</w:t>
      </w:r>
      <w:r w:rsidRPr="003E5EBA">
        <w:rPr>
          <w:lang w:eastAsia="ja-JP"/>
        </w:rPr>
        <w:t>équipement homologué, conformément à l</w:t>
      </w:r>
      <w:r>
        <w:rPr>
          <w:lang w:eastAsia="ja-JP"/>
        </w:rPr>
        <w:t>’</w:t>
      </w:r>
      <w:r w:rsidRPr="003E5EBA">
        <w:rPr>
          <w:lang w:eastAsia="ja-JP"/>
        </w:rPr>
        <w:t>annexe</w:t>
      </w:r>
      <w:r w:rsidR="00D76E37">
        <w:rPr>
          <w:lang w:eastAsia="ja-JP"/>
        </w:rPr>
        <w:t> </w:t>
      </w:r>
      <w:r w:rsidRPr="003E5EBA">
        <w:rPr>
          <w:lang w:eastAsia="ja-JP"/>
        </w:rPr>
        <w:t>4 de l</w:t>
      </w:r>
      <w:r>
        <w:rPr>
          <w:lang w:eastAsia="ja-JP"/>
        </w:rPr>
        <w:t>’</w:t>
      </w:r>
      <w:r w:rsidRPr="003E5EBA">
        <w:rPr>
          <w:lang w:eastAsia="ja-JP"/>
        </w:rPr>
        <w:t>Accord (E/ECE/TRANS/505/Rev.3)</w:t>
      </w:r>
      <w:r>
        <w:t> ».</w:t>
      </w:r>
    </w:p>
    <w:p w14:paraId="228A890C" w14:textId="77777777" w:rsidR="00223104" w:rsidRPr="003E5EBA" w:rsidRDefault="00223104" w:rsidP="00D76E37">
      <w:pPr>
        <w:pStyle w:val="SingleTxtG"/>
        <w:rPr>
          <w:i/>
        </w:rPr>
      </w:pPr>
      <w:r w:rsidRPr="003E5EBA">
        <w:rPr>
          <w:rFonts w:eastAsia="Calibri"/>
          <w:i/>
          <w:iCs/>
        </w:rPr>
        <w:t>Paragraphe 16.2</w:t>
      </w:r>
      <w:r w:rsidRPr="003E5EBA">
        <w:rPr>
          <w:rFonts w:eastAsia="Calibri"/>
        </w:rPr>
        <w:t>, lire </w:t>
      </w:r>
      <w:r w:rsidRPr="003E5EBA">
        <w:rPr>
          <w:lang w:eastAsia="ja-JP"/>
        </w:rPr>
        <w:t>:</w:t>
      </w:r>
    </w:p>
    <w:p w14:paraId="37B84536" w14:textId="77777777" w:rsidR="00223104" w:rsidRPr="003E5EBA" w:rsidRDefault="00223104" w:rsidP="00D76E37">
      <w:pPr>
        <w:pStyle w:val="SingleTxtG"/>
        <w:tabs>
          <w:tab w:val="left" w:pos="2268"/>
        </w:tabs>
        <w:ind w:left="2268" w:hanging="1134"/>
        <w:rPr>
          <w:i/>
        </w:rPr>
      </w:pPr>
      <w:r>
        <w:t>« </w:t>
      </w:r>
      <w:r w:rsidRPr="003E5EBA">
        <w:t>16.2</w:t>
      </w:r>
      <w:r w:rsidRPr="003E5EBA">
        <w:rPr>
          <w:i/>
        </w:rPr>
        <w:tab/>
      </w:r>
      <w:r w:rsidRPr="003E5EBA">
        <w:t>Un numéro d</w:t>
      </w:r>
      <w:r>
        <w:t>’</w:t>
      </w:r>
      <w:r w:rsidRPr="003E5EBA">
        <w:t>homologation est attribué à chaque type de véhicule homologué, conformément à l</w:t>
      </w:r>
      <w:r>
        <w:t>’</w:t>
      </w:r>
      <w:r w:rsidRPr="003E5EBA">
        <w:t>annexe 4 de l</w:t>
      </w:r>
      <w:r>
        <w:t>’</w:t>
      </w:r>
      <w:r w:rsidRPr="003E5EBA">
        <w:t>Accord (E/ECE/TRANS/505/Rev.3</w:t>
      </w:r>
      <w:r w:rsidRPr="003E5EBA">
        <w:rPr>
          <w:lang w:eastAsia="ja-JP"/>
        </w:rPr>
        <w:t>).</w:t>
      </w:r>
      <w:r>
        <w:t> ».</w:t>
      </w:r>
    </w:p>
    <w:p w14:paraId="3343F6C5" w14:textId="77777777" w:rsidR="00223104" w:rsidRPr="003E5EBA" w:rsidRDefault="00223104" w:rsidP="00D76E37">
      <w:pPr>
        <w:pStyle w:val="SingleTxtG"/>
        <w:rPr>
          <w:i/>
        </w:rPr>
      </w:pPr>
      <w:r w:rsidRPr="003E5EBA">
        <w:rPr>
          <w:rFonts w:eastAsia="Calibri"/>
          <w:i/>
          <w:iCs/>
        </w:rPr>
        <w:t>Paragraphes 17.1.8 à 17.1.8.2</w:t>
      </w:r>
      <w:r w:rsidRPr="003E5EBA">
        <w:rPr>
          <w:rFonts w:eastAsia="Calibri"/>
        </w:rPr>
        <w:t>, lire </w:t>
      </w:r>
      <w:r w:rsidRPr="003E5EBA">
        <w:t>:</w:t>
      </w:r>
    </w:p>
    <w:p w14:paraId="515EA85A" w14:textId="77777777" w:rsidR="00223104" w:rsidRPr="003E5EBA" w:rsidRDefault="00223104" w:rsidP="00D76E37">
      <w:pPr>
        <w:pStyle w:val="SingleTxtG"/>
        <w:tabs>
          <w:tab w:val="left" w:pos="2268"/>
        </w:tabs>
        <w:ind w:left="2268" w:hanging="1134"/>
      </w:pPr>
      <w:r w:rsidRPr="003E5EBA">
        <w:t>« 17.1.8</w:t>
      </w:r>
      <w:r w:rsidRPr="003E5EBA">
        <w:tab/>
        <w:t>Signalisation des véhicules fonctionnant au GPL</w:t>
      </w:r>
    </w:p>
    <w:p w14:paraId="376D54CB" w14:textId="77777777" w:rsidR="00223104" w:rsidRPr="003E5EBA" w:rsidRDefault="00223104" w:rsidP="00D76E37">
      <w:pPr>
        <w:pStyle w:val="SingleTxtG"/>
        <w:tabs>
          <w:tab w:val="left" w:pos="2268"/>
        </w:tabs>
        <w:ind w:left="2268" w:hanging="1134"/>
      </w:pPr>
      <w:r w:rsidRPr="003E5EBA">
        <w:t>17.1.8.1</w:t>
      </w:r>
      <w:r w:rsidRPr="003E5EBA">
        <w:tab/>
        <w:t>Les véhicules des catégories M</w:t>
      </w:r>
      <w:r w:rsidRPr="003E5EBA">
        <w:rPr>
          <w:vertAlign w:val="subscript"/>
        </w:rPr>
        <w:t>2</w:t>
      </w:r>
      <w:r w:rsidRPr="003E5EBA">
        <w:t>/N</w:t>
      </w:r>
      <w:r w:rsidRPr="003E5EBA">
        <w:rPr>
          <w:vertAlign w:val="subscript"/>
        </w:rPr>
        <w:t>2</w:t>
      </w:r>
      <w:r w:rsidRPr="003E5EBA">
        <w:t xml:space="preserve"> et M</w:t>
      </w:r>
      <w:r w:rsidRPr="003E5EBA">
        <w:rPr>
          <w:vertAlign w:val="subscript"/>
        </w:rPr>
        <w:t>3</w:t>
      </w:r>
      <w:r w:rsidRPr="003E5EBA">
        <w:t>/N</w:t>
      </w:r>
      <w:r w:rsidRPr="003E5EBA">
        <w:rPr>
          <w:vertAlign w:val="subscript"/>
        </w:rPr>
        <w:t>3</w:t>
      </w:r>
      <w:r w:rsidRPr="003E5EBA">
        <w:t xml:space="preserve"> doivent porter des étiquettes conformes aux prescriptions de l</w:t>
      </w:r>
      <w:r>
        <w:t>’</w:t>
      </w:r>
      <w:r w:rsidRPr="003E5EBA">
        <w:t>annexe 17 du présent Règlement.</w:t>
      </w:r>
    </w:p>
    <w:p w14:paraId="785AD040" w14:textId="77777777" w:rsidR="00223104" w:rsidRPr="003E5EBA" w:rsidRDefault="00223104" w:rsidP="00D76E37">
      <w:pPr>
        <w:pStyle w:val="SingleTxtG"/>
        <w:tabs>
          <w:tab w:val="left" w:pos="2268"/>
        </w:tabs>
        <w:ind w:left="2268" w:hanging="1134"/>
      </w:pPr>
      <w:r w:rsidRPr="003E5EBA">
        <w:t>17.1.8.2</w:t>
      </w:r>
      <w:r w:rsidRPr="003E5EBA">
        <w:tab/>
        <w:t>Ces étiquettes doivent être placées à l</w:t>
      </w:r>
      <w:r>
        <w:t>’</w:t>
      </w:r>
      <w:r w:rsidRPr="003E5EBA">
        <w:t>avant du véhicule, ainsi que sur les côtés gauche et droit de celui-ci ; les étiquettes placées sur les côtés devraient l</w:t>
      </w:r>
      <w:r>
        <w:t>’</w:t>
      </w:r>
      <w:r w:rsidRPr="003E5EBA">
        <w:t>être à proximité d</w:t>
      </w:r>
      <w:r>
        <w:t>’</w:t>
      </w:r>
      <w:r w:rsidRPr="003E5EBA">
        <w:t>une porte avant, s</w:t>
      </w:r>
      <w:r>
        <w:t>’</w:t>
      </w:r>
      <w:r w:rsidRPr="003E5EBA">
        <w:t>il y en a une. En l</w:t>
      </w:r>
      <w:r>
        <w:t>’</w:t>
      </w:r>
      <w:r w:rsidRPr="003E5EBA">
        <w:t>absence de porte avant, l</w:t>
      </w:r>
      <w:r>
        <w:t>’</w:t>
      </w:r>
      <w:r w:rsidRPr="003E5EBA">
        <w:t>étiquette doit être placée sur le premier tiers de la longueur du véhicule. En outre, pour les véhicules des catégories M</w:t>
      </w:r>
      <w:r w:rsidRPr="003E5EBA">
        <w:rPr>
          <w:vertAlign w:val="subscript"/>
        </w:rPr>
        <w:t>2</w:t>
      </w:r>
      <w:r w:rsidRPr="003E5EBA">
        <w:t xml:space="preserve"> et M</w:t>
      </w:r>
      <w:r w:rsidRPr="003E5EBA">
        <w:rPr>
          <w:vertAlign w:val="subscript"/>
        </w:rPr>
        <w:t>3</w:t>
      </w:r>
      <w:r w:rsidRPr="003E5EBA">
        <w:t>, une étiquette doit être apposée à l</w:t>
      </w:r>
      <w:r>
        <w:t>’</w:t>
      </w:r>
      <w:r w:rsidRPr="003E5EBA">
        <w:t>arrière du véhicule. ».</w:t>
      </w:r>
    </w:p>
    <w:p w14:paraId="4EF425A7" w14:textId="77777777" w:rsidR="00223104" w:rsidRPr="00140F6F" w:rsidRDefault="00223104" w:rsidP="00D76E37">
      <w:pPr>
        <w:pStyle w:val="SingleTxtG"/>
        <w:rPr>
          <w:rFonts w:eastAsia="Calibri"/>
          <w:i/>
        </w:rPr>
      </w:pPr>
      <w:r w:rsidRPr="00140F6F">
        <w:rPr>
          <w:rFonts w:eastAsia="Calibri"/>
          <w:i/>
          <w:iCs/>
        </w:rPr>
        <w:t>Ajouter les nouveaux paragraphes 22.19 à 22.23</w:t>
      </w:r>
      <w:r w:rsidRPr="00140F6F">
        <w:rPr>
          <w:rFonts w:eastAsia="Calibri"/>
        </w:rPr>
        <w:t xml:space="preserve">, libellés comme suit : </w:t>
      </w:r>
    </w:p>
    <w:p w14:paraId="075561FF" w14:textId="3AE7066A" w:rsidR="00223104" w:rsidRPr="00140F6F" w:rsidRDefault="00223104" w:rsidP="00D76E37">
      <w:pPr>
        <w:pStyle w:val="SingleTxtG"/>
        <w:tabs>
          <w:tab w:val="left" w:pos="2268"/>
        </w:tabs>
        <w:ind w:left="2268" w:hanging="1134"/>
        <w:rPr>
          <w:rFonts w:eastAsia="Yu Mincho"/>
          <w:snapToGrid w:val="0"/>
        </w:rPr>
      </w:pPr>
      <w:r w:rsidRPr="00140F6F">
        <w:rPr>
          <w:rFonts w:eastAsia="Calibri"/>
        </w:rPr>
        <w:t>« 22.19</w:t>
      </w:r>
      <w:r w:rsidRPr="00140F6F">
        <w:rPr>
          <w:rFonts w:eastAsia="Calibri"/>
        </w:rPr>
        <w:tab/>
        <w:t>À compter de la date officielle d</w:t>
      </w:r>
      <w:r>
        <w:rPr>
          <w:rFonts w:eastAsia="Calibri"/>
        </w:rPr>
        <w:t>’</w:t>
      </w:r>
      <w:r w:rsidRPr="00140F6F">
        <w:rPr>
          <w:rFonts w:eastAsia="Calibri"/>
        </w:rPr>
        <w:t>entrée en vigueur de la série</w:t>
      </w:r>
      <w:r w:rsidR="00D76E37">
        <w:rPr>
          <w:rFonts w:eastAsia="Calibri"/>
        </w:rPr>
        <w:t> </w:t>
      </w:r>
      <w:r w:rsidRPr="00140F6F">
        <w:rPr>
          <w:rFonts w:eastAsia="Calibri"/>
        </w:rPr>
        <w:t>04 d</w:t>
      </w:r>
      <w:r>
        <w:rPr>
          <w:rFonts w:eastAsia="Calibri"/>
        </w:rPr>
        <w:t>’</w:t>
      </w:r>
      <w:r w:rsidRPr="00140F6F">
        <w:rPr>
          <w:rFonts w:eastAsia="Calibri"/>
        </w:rPr>
        <w:t>amendements, aucune Partie contractante appliquant le présent Règlement ne pourra refuser d</w:t>
      </w:r>
      <w:r>
        <w:rPr>
          <w:rFonts w:eastAsia="Calibri"/>
        </w:rPr>
        <w:t>’</w:t>
      </w:r>
      <w:r w:rsidRPr="00140F6F">
        <w:rPr>
          <w:rFonts w:eastAsia="Calibri"/>
        </w:rPr>
        <w:t>accorder ou d</w:t>
      </w:r>
      <w:r>
        <w:rPr>
          <w:rFonts w:eastAsia="Calibri"/>
        </w:rPr>
        <w:t>’</w:t>
      </w:r>
      <w:r w:rsidRPr="00140F6F">
        <w:rPr>
          <w:rFonts w:eastAsia="Calibri"/>
        </w:rPr>
        <w:t>accepter une homologation de type en vertu dudit Règlement tel que modifié par ladite série.</w:t>
      </w:r>
    </w:p>
    <w:p w14:paraId="719D1D72" w14:textId="530EBC2A" w:rsidR="00223104" w:rsidRPr="00140F6F" w:rsidRDefault="00223104" w:rsidP="00D76E37">
      <w:pPr>
        <w:pStyle w:val="SingleTxtG"/>
        <w:tabs>
          <w:tab w:val="left" w:pos="2268"/>
        </w:tabs>
        <w:ind w:left="2268" w:hanging="1134"/>
        <w:rPr>
          <w:rFonts w:eastAsia="Yu Mincho"/>
          <w:snapToGrid w:val="0"/>
        </w:rPr>
      </w:pPr>
      <w:r w:rsidRPr="00140F6F">
        <w:rPr>
          <w:rFonts w:eastAsia="Calibri"/>
        </w:rPr>
        <w:t>22.20</w:t>
      </w:r>
      <w:r w:rsidRPr="00140F6F">
        <w:rPr>
          <w:rFonts w:eastAsia="Calibri"/>
        </w:rPr>
        <w:tab/>
        <w:t>À compter du 1</w:t>
      </w:r>
      <w:r w:rsidRPr="00140F6F">
        <w:rPr>
          <w:rFonts w:eastAsia="Calibri"/>
          <w:vertAlign w:val="superscript"/>
        </w:rPr>
        <w:t>er</w:t>
      </w:r>
      <w:r w:rsidRPr="00140F6F">
        <w:rPr>
          <w:rFonts w:eastAsia="Calibri"/>
        </w:rPr>
        <w:t> septembre 2023, les Parties contractantes appliquant le présent Règlement ne seront plus tenues d</w:t>
      </w:r>
      <w:r>
        <w:rPr>
          <w:rFonts w:eastAsia="Calibri"/>
        </w:rPr>
        <w:t>’</w:t>
      </w:r>
      <w:r w:rsidRPr="00140F6F">
        <w:rPr>
          <w:rFonts w:eastAsia="Calibri"/>
        </w:rPr>
        <w:t>accepter les homologations de type établies conformément aux précédentes séries d</w:t>
      </w:r>
      <w:r>
        <w:rPr>
          <w:rFonts w:eastAsia="Calibri"/>
        </w:rPr>
        <w:t>’</w:t>
      </w:r>
      <w:r w:rsidRPr="00140F6F">
        <w:rPr>
          <w:rFonts w:eastAsia="Calibri"/>
        </w:rPr>
        <w:t>amendements, délivrées pour la première fois après le 1</w:t>
      </w:r>
      <w:r w:rsidRPr="00140F6F">
        <w:rPr>
          <w:rFonts w:eastAsia="Calibri"/>
          <w:vertAlign w:val="superscript"/>
        </w:rPr>
        <w:t>er</w:t>
      </w:r>
      <w:r w:rsidRPr="00140F6F">
        <w:rPr>
          <w:rFonts w:eastAsia="Calibri"/>
        </w:rPr>
        <w:t> septembre 2023.</w:t>
      </w:r>
    </w:p>
    <w:p w14:paraId="337F85E4" w14:textId="18A40D1C" w:rsidR="00223104" w:rsidRPr="00140F6F" w:rsidRDefault="00223104" w:rsidP="00D76E37">
      <w:pPr>
        <w:pStyle w:val="SingleTxtG"/>
        <w:tabs>
          <w:tab w:val="left" w:pos="2268"/>
        </w:tabs>
        <w:ind w:left="2268" w:hanging="1134"/>
        <w:rPr>
          <w:rFonts w:eastAsia="Yu Mincho"/>
          <w:snapToGrid w:val="0"/>
        </w:rPr>
      </w:pPr>
      <w:r w:rsidRPr="00140F6F">
        <w:rPr>
          <w:rFonts w:eastAsia="Calibri"/>
        </w:rPr>
        <w:t>22.21</w:t>
      </w:r>
      <w:r w:rsidRPr="00140F6F">
        <w:rPr>
          <w:rFonts w:eastAsia="Calibri"/>
        </w:rPr>
        <w:tab/>
        <w:t>Jusqu</w:t>
      </w:r>
      <w:r>
        <w:rPr>
          <w:rFonts w:eastAsia="Calibri"/>
        </w:rPr>
        <w:t>’</w:t>
      </w:r>
      <w:r w:rsidRPr="00140F6F">
        <w:rPr>
          <w:rFonts w:eastAsia="Calibri"/>
        </w:rPr>
        <w:t>au 1</w:t>
      </w:r>
      <w:r w:rsidRPr="00140F6F">
        <w:rPr>
          <w:rFonts w:eastAsia="Calibri"/>
          <w:vertAlign w:val="superscript"/>
        </w:rPr>
        <w:t>er</w:t>
      </w:r>
      <w:r w:rsidRPr="00140F6F">
        <w:rPr>
          <w:rFonts w:eastAsia="Calibri"/>
        </w:rPr>
        <w:t> septembre 2025, les Parties contractantes appliquant le présent Règlement seront tenues d</w:t>
      </w:r>
      <w:r>
        <w:rPr>
          <w:rFonts w:eastAsia="Calibri"/>
        </w:rPr>
        <w:t>’</w:t>
      </w:r>
      <w:r w:rsidRPr="00140F6F">
        <w:rPr>
          <w:rFonts w:eastAsia="Calibri"/>
        </w:rPr>
        <w:t>accepter les homologations de type établies conformément aux précédentes séries d</w:t>
      </w:r>
      <w:r>
        <w:rPr>
          <w:rFonts w:eastAsia="Calibri"/>
        </w:rPr>
        <w:t>’</w:t>
      </w:r>
      <w:r w:rsidRPr="00140F6F">
        <w:rPr>
          <w:rFonts w:eastAsia="Calibri"/>
        </w:rPr>
        <w:t>amendements, délivrées pour la première fois avant le 1</w:t>
      </w:r>
      <w:r w:rsidRPr="00140F6F">
        <w:rPr>
          <w:rFonts w:eastAsia="Calibri"/>
          <w:vertAlign w:val="superscript"/>
        </w:rPr>
        <w:t>er</w:t>
      </w:r>
      <w:r w:rsidRPr="00140F6F">
        <w:rPr>
          <w:rFonts w:eastAsia="Calibri"/>
        </w:rPr>
        <w:t> septembre 2023.</w:t>
      </w:r>
    </w:p>
    <w:p w14:paraId="3E404FD3" w14:textId="1D0CC834" w:rsidR="00223104" w:rsidRPr="00140F6F" w:rsidRDefault="00223104" w:rsidP="00D76E37">
      <w:pPr>
        <w:pStyle w:val="SingleTxtG"/>
        <w:tabs>
          <w:tab w:val="left" w:pos="2268"/>
        </w:tabs>
        <w:ind w:left="2268" w:hanging="1134"/>
        <w:rPr>
          <w:rFonts w:eastAsia="Yu Mincho"/>
          <w:snapToGrid w:val="0"/>
        </w:rPr>
      </w:pPr>
      <w:r w:rsidRPr="00140F6F">
        <w:rPr>
          <w:rFonts w:eastAsia="Calibri"/>
        </w:rPr>
        <w:t>22.22</w:t>
      </w:r>
      <w:r w:rsidRPr="00140F6F">
        <w:rPr>
          <w:rFonts w:eastAsia="Calibri"/>
        </w:rPr>
        <w:tab/>
        <w:t>À compter du 1</w:t>
      </w:r>
      <w:r w:rsidRPr="00140F6F">
        <w:rPr>
          <w:rFonts w:eastAsia="Calibri"/>
          <w:vertAlign w:val="superscript"/>
        </w:rPr>
        <w:t>er</w:t>
      </w:r>
      <w:r w:rsidRPr="00140F6F">
        <w:rPr>
          <w:rFonts w:eastAsia="Calibri"/>
        </w:rPr>
        <w:t> septembre 2025, les Parties contractantes appliquant le présent Règlement ne seront plus tenues d</w:t>
      </w:r>
      <w:r>
        <w:rPr>
          <w:rFonts w:eastAsia="Calibri"/>
        </w:rPr>
        <w:t>’</w:t>
      </w:r>
      <w:r w:rsidRPr="00140F6F">
        <w:rPr>
          <w:rFonts w:eastAsia="Calibri"/>
        </w:rPr>
        <w:t>accepter les homologations de type délivrées au titre des précédentes séries d</w:t>
      </w:r>
      <w:r>
        <w:rPr>
          <w:rFonts w:eastAsia="Calibri"/>
        </w:rPr>
        <w:t>’</w:t>
      </w:r>
      <w:r w:rsidRPr="00140F6F">
        <w:rPr>
          <w:rFonts w:eastAsia="Calibri"/>
        </w:rPr>
        <w:t>amendements audit Règlement.</w:t>
      </w:r>
    </w:p>
    <w:p w14:paraId="44431CE1" w14:textId="77777777" w:rsidR="00223104" w:rsidRPr="003E5EBA" w:rsidRDefault="00223104" w:rsidP="00D76E37">
      <w:pPr>
        <w:pStyle w:val="SingleTxtG"/>
        <w:tabs>
          <w:tab w:val="left" w:pos="2268"/>
        </w:tabs>
        <w:ind w:left="2268" w:hanging="1134"/>
        <w:rPr>
          <w:bCs/>
          <w:i/>
        </w:rPr>
      </w:pPr>
      <w:r w:rsidRPr="003E5EBA">
        <w:rPr>
          <w:rFonts w:eastAsia="Calibri"/>
        </w:rPr>
        <w:t>22.23</w:t>
      </w:r>
      <w:r w:rsidRPr="003E5EBA">
        <w:rPr>
          <w:rFonts w:eastAsia="Calibri"/>
        </w:rPr>
        <w:tab/>
        <w:t>Nonobstant les dispositions du paragraphe 22.22 ci-dessus, les Parties contractantes appliquant le présent Règlement continueront de reconnaître les homologations de type délivrées au titre des précédentes séries d</w:t>
      </w:r>
      <w:r>
        <w:rPr>
          <w:rFonts w:eastAsia="Calibri"/>
        </w:rPr>
        <w:t>’</w:t>
      </w:r>
      <w:r w:rsidRPr="003E5EBA">
        <w:rPr>
          <w:rFonts w:eastAsia="Calibri"/>
        </w:rPr>
        <w:t>amendements audit Règlement pour les véhicules, les systèmes pour véhicules ou les éléments du véhicule non concernés par les modifications apportées par la série 04 d</w:t>
      </w:r>
      <w:r>
        <w:rPr>
          <w:rFonts w:eastAsia="Calibri"/>
        </w:rPr>
        <w:t>’</w:t>
      </w:r>
      <w:r w:rsidRPr="003E5EBA">
        <w:rPr>
          <w:rFonts w:eastAsia="Calibri"/>
        </w:rPr>
        <w:t>amendements. ».</w:t>
      </w:r>
    </w:p>
    <w:p w14:paraId="5DB7CBAA" w14:textId="77777777" w:rsidR="00223104" w:rsidRPr="004C1BCB" w:rsidRDefault="00223104" w:rsidP="00D76E37">
      <w:pPr>
        <w:pStyle w:val="SingleTxtG"/>
        <w:rPr>
          <w:rFonts w:eastAsia="Calibri"/>
          <w:i/>
        </w:rPr>
      </w:pPr>
      <w:r w:rsidRPr="004C1BCB">
        <w:rPr>
          <w:rFonts w:eastAsia="Calibri"/>
          <w:i/>
          <w:iCs/>
        </w:rPr>
        <w:t>Annexe 17</w:t>
      </w:r>
      <w:r w:rsidRPr="004C1BCB">
        <w:rPr>
          <w:rFonts w:eastAsia="Calibri"/>
        </w:rPr>
        <w:t>, lire :</w:t>
      </w:r>
    </w:p>
    <w:p w14:paraId="6F0D101F" w14:textId="77777777" w:rsidR="00223104" w:rsidRPr="004C1BCB" w:rsidRDefault="00223104" w:rsidP="00D76E37">
      <w:pPr>
        <w:pStyle w:val="HChG"/>
      </w:pPr>
      <w:r w:rsidRPr="00D76E37">
        <w:rPr>
          <w:b w:val="0"/>
          <w:sz w:val="20"/>
          <w:szCs w:val="14"/>
        </w:rPr>
        <w:t>« </w:t>
      </w:r>
      <w:r w:rsidRPr="004C1BCB">
        <w:t>Annexe 17</w:t>
      </w:r>
    </w:p>
    <w:p w14:paraId="63306D85" w14:textId="77777777" w:rsidR="00223104" w:rsidRPr="004C1BCB" w:rsidRDefault="00223104" w:rsidP="00D76E37">
      <w:pPr>
        <w:pStyle w:val="HChG"/>
      </w:pPr>
      <w:r w:rsidRPr="004C1BCB">
        <w:tab/>
      </w:r>
      <w:r w:rsidRPr="004C1BCB">
        <w:tab/>
        <w:t>Prescriptions relatives aux marques GPL pour les véhicules des catégories M</w:t>
      </w:r>
      <w:r w:rsidRPr="004C1BCB">
        <w:rPr>
          <w:vertAlign w:val="subscript"/>
        </w:rPr>
        <w:t>2</w:t>
      </w:r>
      <w:r w:rsidRPr="004C1BCB">
        <w:t>/N</w:t>
      </w:r>
      <w:r w:rsidRPr="004C1BCB">
        <w:rPr>
          <w:vertAlign w:val="subscript"/>
        </w:rPr>
        <w:t>2</w:t>
      </w:r>
      <w:r w:rsidRPr="004C1BCB">
        <w:t xml:space="preserve"> et M</w:t>
      </w:r>
      <w:r w:rsidRPr="004C1BCB">
        <w:rPr>
          <w:vertAlign w:val="subscript"/>
        </w:rPr>
        <w:t>3</w:t>
      </w:r>
      <w:r w:rsidRPr="004C1BCB">
        <w:t>/N</w:t>
      </w:r>
      <w:r w:rsidRPr="004C1BCB">
        <w:rPr>
          <w:vertAlign w:val="subscript"/>
        </w:rPr>
        <w:t>3</w:t>
      </w:r>
    </w:p>
    <w:p w14:paraId="53E675AF" w14:textId="77777777" w:rsidR="00223104" w:rsidRPr="003E5EBA" w:rsidRDefault="00223104" w:rsidP="00D76E37">
      <w:pPr>
        <w:pStyle w:val="SingleTxtG"/>
      </w:pPr>
      <w:r w:rsidRPr="003E5EBA">
        <w:t>(Par. 17.1.8 du présent Règlement)</w:t>
      </w:r>
    </w:p>
    <w:p w14:paraId="4B3DA9C4" w14:textId="77777777" w:rsidR="00223104" w:rsidRPr="003E5EBA" w:rsidRDefault="00223104" w:rsidP="00D76E37">
      <w:pPr>
        <w:spacing w:after="240"/>
        <w:ind w:left="1134"/>
        <w:rPr>
          <w:i/>
        </w:rPr>
      </w:pPr>
      <w:r w:rsidRPr="003E5EBA">
        <w:rPr>
          <w:i/>
          <w:noProof/>
          <w:lang w:eastAsia="nl-NL"/>
        </w:rPr>
        <w:lastRenderedPageBreak/>
        <w:drawing>
          <wp:inline distT="0" distB="0" distL="0" distR="0" wp14:anchorId="6A384527" wp14:editId="0BC1D392">
            <wp:extent cx="4320000" cy="3135600"/>
            <wp:effectExtent l="0" t="0" r="4445" b="8255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1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6B353" w14:textId="77777777" w:rsidR="00223104" w:rsidRPr="00A824E1" w:rsidRDefault="00223104" w:rsidP="00D76E37">
      <w:pPr>
        <w:pStyle w:val="SingleTxtG"/>
      </w:pPr>
      <w:r w:rsidRPr="00A824E1">
        <w:t>L</w:t>
      </w:r>
      <w:r>
        <w:t>’</w:t>
      </w:r>
      <w:r w:rsidRPr="00A824E1">
        <w:t>étiquette doit résister aux intempéries.</w:t>
      </w:r>
    </w:p>
    <w:p w14:paraId="713A38F0" w14:textId="77777777" w:rsidR="00223104" w:rsidRPr="00D76E37" w:rsidRDefault="00223104" w:rsidP="00D76E37">
      <w:pPr>
        <w:pStyle w:val="SingleTxtG"/>
      </w:pPr>
      <w:r w:rsidRPr="00D76E37">
        <w:t>La zone centrale indique la source d’énergie première.</w:t>
      </w:r>
    </w:p>
    <w:p w14:paraId="61A73B75" w14:textId="77777777" w:rsidR="00223104" w:rsidRPr="00D76E37" w:rsidRDefault="00223104" w:rsidP="00D76E37">
      <w:pPr>
        <w:pStyle w:val="SingleTxtG"/>
      </w:pPr>
      <w:r w:rsidRPr="00D76E37">
        <w:t>La zone supérieure indique la source d’énergie secondaire.</w:t>
      </w:r>
    </w:p>
    <w:p w14:paraId="67A0E379" w14:textId="77777777" w:rsidR="00223104" w:rsidRPr="00D76E37" w:rsidRDefault="00223104" w:rsidP="00D76E37">
      <w:pPr>
        <w:pStyle w:val="SingleTxtG"/>
      </w:pPr>
      <w:r w:rsidRPr="00D76E37">
        <w:t>La zone de gauche indique le comportement du gaz en raison de sa densité.</w:t>
      </w:r>
    </w:p>
    <w:p w14:paraId="22438F59" w14:textId="77777777" w:rsidR="00223104" w:rsidRPr="00D76E37" w:rsidRDefault="00223104" w:rsidP="00D76E37">
      <w:pPr>
        <w:pStyle w:val="SingleTxtG"/>
      </w:pPr>
      <w:r w:rsidRPr="00D76E37">
        <w:t xml:space="preserve">La zone de droite indique l’état d’agrégation du carburant gazeux présent dans le réservoir. </w:t>
      </w:r>
    </w:p>
    <w:p w14:paraId="14DEFC83" w14:textId="77777777" w:rsidR="00223104" w:rsidRPr="00D76E37" w:rsidRDefault="00223104" w:rsidP="00D76E37">
      <w:pPr>
        <w:pStyle w:val="SingleTxtG"/>
      </w:pPr>
      <w:r w:rsidRPr="00D76E37">
        <w:t>Le schéma et les symboles doivent être conformes à la norme ISO 17840-4:2018.</w:t>
      </w:r>
    </w:p>
    <w:p w14:paraId="4989E363" w14:textId="77777777" w:rsidR="00223104" w:rsidRPr="00D76E37" w:rsidRDefault="00223104" w:rsidP="00D76E37">
      <w:pPr>
        <w:pStyle w:val="SingleTxtG"/>
      </w:pPr>
      <w:r w:rsidRPr="00D76E37">
        <w:t>Les couleurs et les dimensions de l’étiquette doivent être conformes aux prescriptions suivantes :</w:t>
      </w:r>
    </w:p>
    <w:p w14:paraId="49E536D7" w14:textId="77777777" w:rsidR="00223104" w:rsidRPr="00D76E37" w:rsidRDefault="00223104" w:rsidP="00D76E37">
      <w:pPr>
        <w:pStyle w:val="SingleTxtG"/>
      </w:pPr>
      <w:r w:rsidRPr="00D76E37">
        <w:t>Couleurs :</w:t>
      </w:r>
    </w:p>
    <w:p w14:paraId="7975A2D4" w14:textId="77777777" w:rsidR="00223104" w:rsidRPr="00D76E37" w:rsidRDefault="00223104" w:rsidP="00D76E37">
      <w:pPr>
        <w:pStyle w:val="SingleTxtG"/>
        <w:tabs>
          <w:tab w:val="left" w:pos="3828"/>
        </w:tabs>
        <w:ind w:left="1701"/>
      </w:pPr>
      <w:r w:rsidRPr="00D76E37">
        <w:t>Fond :</w:t>
      </w:r>
      <w:r w:rsidRPr="00D76E37">
        <w:tab/>
        <w:t>vert, code RVB 0, 176, 80</w:t>
      </w:r>
    </w:p>
    <w:p w14:paraId="30F49F38" w14:textId="77777777" w:rsidR="00223104" w:rsidRPr="00D76E37" w:rsidRDefault="00223104" w:rsidP="00D76E37">
      <w:pPr>
        <w:pStyle w:val="SingleTxtG"/>
        <w:tabs>
          <w:tab w:val="left" w:pos="3828"/>
        </w:tabs>
        <w:ind w:left="1701"/>
      </w:pPr>
      <w:r w:rsidRPr="00D76E37">
        <w:t>Bordure :</w:t>
      </w:r>
      <w:r w:rsidRPr="00D76E37">
        <w:tab/>
        <w:t>blanc réfléchissant</w:t>
      </w:r>
    </w:p>
    <w:p w14:paraId="338CF917" w14:textId="77777777" w:rsidR="00223104" w:rsidRPr="00A824E1" w:rsidRDefault="00223104" w:rsidP="00D76E37">
      <w:pPr>
        <w:pStyle w:val="SingleTxtG"/>
        <w:tabs>
          <w:tab w:val="left" w:pos="3828"/>
        </w:tabs>
        <w:ind w:left="1701"/>
        <w:rPr>
          <w:rFonts w:eastAsia="Calibri"/>
        </w:rPr>
      </w:pPr>
      <w:r w:rsidRPr="00D76E37">
        <w:t>Lettres</w:t>
      </w:r>
      <w:r w:rsidRPr="00A824E1">
        <w:rPr>
          <w:rFonts w:eastAsia="Calibri"/>
        </w:rPr>
        <w:t xml:space="preserve"> et symboles :</w:t>
      </w:r>
      <w:r w:rsidRPr="00A824E1">
        <w:rPr>
          <w:rFonts w:eastAsia="Calibri"/>
        </w:rPr>
        <w:tab/>
        <w:t>blanc réfléchissant</w:t>
      </w:r>
    </w:p>
    <w:p w14:paraId="423CC7B7" w14:textId="77777777" w:rsidR="00223104" w:rsidRPr="00A824E1" w:rsidRDefault="00223104" w:rsidP="00D76E37">
      <w:pPr>
        <w:pStyle w:val="SingleTxtG"/>
        <w:rPr>
          <w:rFonts w:eastAsia="Calibri"/>
        </w:rPr>
      </w:pPr>
      <w:r w:rsidRPr="00A824E1">
        <w:rPr>
          <w:rFonts w:eastAsia="Calibri"/>
        </w:rPr>
        <w:t>Dimensions :</w:t>
      </w:r>
    </w:p>
    <w:p w14:paraId="30C68196" w14:textId="0C8876A0" w:rsidR="00223104" w:rsidRPr="00A824E1" w:rsidRDefault="00223104" w:rsidP="00D76E37">
      <w:pPr>
        <w:pStyle w:val="SingleTxtG"/>
        <w:tabs>
          <w:tab w:val="left" w:pos="3828"/>
        </w:tabs>
        <w:ind w:left="1701"/>
      </w:pPr>
      <w:r w:rsidRPr="00A824E1">
        <w:t>Largeur de l</w:t>
      </w:r>
      <w:r>
        <w:t>’</w:t>
      </w:r>
      <w:r w:rsidRPr="00A824E1">
        <w:t>étiquette :</w:t>
      </w:r>
      <w:r w:rsidRPr="00A824E1">
        <w:tab/>
        <w:t>≥110 mm</w:t>
      </w:r>
    </w:p>
    <w:p w14:paraId="4A66239E" w14:textId="0D383189" w:rsidR="00223104" w:rsidRDefault="00223104" w:rsidP="00D76E37">
      <w:pPr>
        <w:pStyle w:val="SingleTxtG"/>
        <w:tabs>
          <w:tab w:val="left" w:pos="3544"/>
          <w:tab w:val="left" w:pos="3828"/>
        </w:tabs>
        <w:ind w:left="1701"/>
        <w:rPr>
          <w:rFonts w:eastAsia="Calibri"/>
        </w:rPr>
      </w:pPr>
      <w:r w:rsidRPr="003E5EBA">
        <w:rPr>
          <w:rFonts w:eastAsia="Calibri"/>
        </w:rPr>
        <w:t>Hauteur de l</w:t>
      </w:r>
      <w:r>
        <w:rPr>
          <w:rFonts w:eastAsia="Calibri"/>
        </w:rPr>
        <w:t>’</w:t>
      </w:r>
      <w:r w:rsidRPr="003E5EBA">
        <w:rPr>
          <w:rFonts w:eastAsia="Calibri"/>
        </w:rPr>
        <w:t>étiquette :</w:t>
      </w:r>
      <w:r w:rsidRPr="003E5EBA">
        <w:rPr>
          <w:rFonts w:eastAsia="Calibri"/>
        </w:rPr>
        <w:tab/>
        <w:t>≥80 mm.</w:t>
      </w:r>
      <w:r w:rsidRPr="003E5EBA">
        <w:rPr>
          <w:rFonts w:eastAsia="Calibri"/>
          <w:b/>
          <w:bCs/>
        </w:rPr>
        <w:t> </w:t>
      </w:r>
      <w:r w:rsidRPr="003E5EBA">
        <w:rPr>
          <w:rFonts w:eastAsia="Calibri"/>
        </w:rPr>
        <w:t>».</w:t>
      </w:r>
    </w:p>
    <w:p w14:paraId="4CD50601" w14:textId="7A5CA791" w:rsidR="00D76E37" w:rsidRPr="00D76E37" w:rsidRDefault="00D76E37" w:rsidP="00D76E3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6E37" w:rsidRPr="00D76E37" w:rsidSect="0022310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ABFA2" w14:textId="77777777" w:rsidR="00DC6E12" w:rsidRDefault="00DC6E12" w:rsidP="00F95C08">
      <w:pPr>
        <w:spacing w:line="240" w:lineRule="auto"/>
      </w:pPr>
    </w:p>
  </w:endnote>
  <w:endnote w:type="continuationSeparator" w:id="0">
    <w:p w14:paraId="581C683F" w14:textId="77777777" w:rsidR="00DC6E12" w:rsidRPr="00AC3823" w:rsidRDefault="00DC6E12" w:rsidP="00AC3823">
      <w:pPr>
        <w:pStyle w:val="Pieddepage"/>
      </w:pPr>
    </w:p>
  </w:endnote>
  <w:endnote w:type="continuationNotice" w:id="1">
    <w:p w14:paraId="02A3609B" w14:textId="77777777" w:rsidR="00DC6E12" w:rsidRDefault="00DC6E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8AB9" w14:textId="689E68A8" w:rsidR="00223104" w:rsidRPr="00223104" w:rsidRDefault="00223104" w:rsidP="00223104">
    <w:pPr>
      <w:pStyle w:val="Pieddepage"/>
      <w:tabs>
        <w:tab w:val="right" w:pos="9638"/>
      </w:tabs>
    </w:pPr>
    <w:r w:rsidRPr="00223104">
      <w:rPr>
        <w:b/>
        <w:sz w:val="18"/>
      </w:rPr>
      <w:fldChar w:fldCharType="begin"/>
    </w:r>
    <w:r w:rsidRPr="00223104">
      <w:rPr>
        <w:b/>
        <w:sz w:val="18"/>
      </w:rPr>
      <w:instrText xml:space="preserve"> PAGE  \* MERGEFORMAT </w:instrText>
    </w:r>
    <w:r w:rsidRPr="00223104">
      <w:rPr>
        <w:b/>
        <w:sz w:val="18"/>
      </w:rPr>
      <w:fldChar w:fldCharType="separate"/>
    </w:r>
    <w:r w:rsidRPr="00223104">
      <w:rPr>
        <w:b/>
        <w:noProof/>
        <w:sz w:val="18"/>
      </w:rPr>
      <w:t>2</w:t>
    </w:r>
    <w:r w:rsidRPr="00223104">
      <w:rPr>
        <w:b/>
        <w:sz w:val="18"/>
      </w:rPr>
      <w:fldChar w:fldCharType="end"/>
    </w:r>
    <w:r>
      <w:rPr>
        <w:b/>
        <w:sz w:val="18"/>
      </w:rPr>
      <w:tab/>
    </w:r>
    <w:r>
      <w:t>GE.21-12188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F97D" w14:textId="45EA0836" w:rsidR="00223104" w:rsidRPr="00223104" w:rsidRDefault="00223104" w:rsidP="00223104">
    <w:pPr>
      <w:pStyle w:val="Pieddepage"/>
      <w:tabs>
        <w:tab w:val="right" w:pos="9638"/>
      </w:tabs>
      <w:rPr>
        <w:b/>
        <w:sz w:val="18"/>
      </w:rPr>
    </w:pPr>
    <w:r>
      <w:t>GE.21-12188</w:t>
    </w:r>
    <w:r>
      <w:tab/>
    </w:r>
    <w:r w:rsidRPr="00223104">
      <w:rPr>
        <w:b/>
        <w:sz w:val="18"/>
      </w:rPr>
      <w:fldChar w:fldCharType="begin"/>
    </w:r>
    <w:r w:rsidRPr="00223104">
      <w:rPr>
        <w:b/>
        <w:sz w:val="18"/>
      </w:rPr>
      <w:instrText xml:space="preserve"> PAGE  \* MERGEFORMAT </w:instrText>
    </w:r>
    <w:r w:rsidRPr="00223104">
      <w:rPr>
        <w:b/>
        <w:sz w:val="18"/>
      </w:rPr>
      <w:fldChar w:fldCharType="separate"/>
    </w:r>
    <w:r w:rsidRPr="00223104">
      <w:rPr>
        <w:b/>
        <w:noProof/>
        <w:sz w:val="18"/>
      </w:rPr>
      <w:t>3</w:t>
    </w:r>
    <w:r w:rsidRPr="002231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D7302" w14:textId="029D21BD" w:rsidR="007F20FA" w:rsidRPr="00223104" w:rsidRDefault="00223104" w:rsidP="0022310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FE998A9" wp14:editId="7009402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21-12188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4344EC6" wp14:editId="70D2251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270921    270921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38751" w14:textId="77777777" w:rsidR="00DC6E12" w:rsidRPr="00AC3823" w:rsidRDefault="00DC6E1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1BC42C" w14:textId="77777777" w:rsidR="00DC6E12" w:rsidRPr="00AC3823" w:rsidRDefault="00DC6E1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E8AAD6" w14:textId="77777777" w:rsidR="00DC6E12" w:rsidRPr="00AC3823" w:rsidRDefault="00DC6E12">
      <w:pPr>
        <w:spacing w:line="240" w:lineRule="auto"/>
        <w:rPr>
          <w:sz w:val="2"/>
          <w:szCs w:val="2"/>
        </w:rPr>
      </w:pPr>
    </w:p>
  </w:footnote>
  <w:footnote w:id="2">
    <w:p w14:paraId="25DE38D2" w14:textId="0434744D" w:rsidR="00223104" w:rsidRDefault="00223104" w:rsidP="00223104">
      <w:pPr>
        <w:pStyle w:val="Notedebasdepage"/>
      </w:pPr>
      <w:r>
        <w:rPr>
          <w:sz w:val="20"/>
        </w:rPr>
        <w:tab/>
      </w:r>
      <w:r w:rsidRPr="00223104">
        <w:rPr>
          <w:rStyle w:val="Appelnotedebasdep"/>
          <w:sz w:val="20"/>
          <w:vertAlign w:val="baseline"/>
        </w:rPr>
        <w:t>*</w:t>
      </w:r>
      <w:r w:rsidRPr="00223104">
        <w:tab/>
      </w:r>
      <w:r w:rsidRPr="00E416AB">
        <w:rPr>
          <w:lang w:val="fr-FR"/>
        </w:rPr>
        <w:t>Conformément au programme de travail du Comité des transports intérieurs pour 2021 tel qu’il figure dans le projet de budget-programme pour 2021 (A/75/6 (Sect.</w:t>
      </w:r>
      <w:r>
        <w:rPr>
          <w:lang w:val="fr-FR"/>
        </w:rPr>
        <w:t> </w:t>
      </w:r>
      <w:r w:rsidRPr="00E416AB">
        <w:rPr>
          <w:lang w:val="fr-FR"/>
        </w:rPr>
        <w:t>20), par.</w:t>
      </w:r>
      <w:r>
        <w:rPr>
          <w:lang w:val="fr-FR"/>
        </w:rPr>
        <w:t> </w:t>
      </w:r>
      <w:r w:rsidRPr="00E416AB"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</w:t>
      </w:r>
      <w:r>
        <w:t>.</w:t>
      </w:r>
    </w:p>
    <w:p w14:paraId="6B5E6CFC" w14:textId="77777777" w:rsidR="00223104" w:rsidRPr="00DC2C16" w:rsidRDefault="00223104" w:rsidP="0022310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2E23" w14:textId="730A6526" w:rsidR="00223104" w:rsidRPr="00223104" w:rsidRDefault="00223104">
    <w:pPr>
      <w:pStyle w:val="En-tte"/>
    </w:pPr>
    <w:fldSimple w:instr=" TITLE  \* MERGEFORMAT ">
      <w:r w:rsidR="002669C2">
        <w:t>ECE/TRANS/WP.29/2021/97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4337D" w14:textId="10EFE1A2" w:rsidR="00223104" w:rsidRPr="00223104" w:rsidRDefault="00223104" w:rsidP="00223104">
    <w:pPr>
      <w:pStyle w:val="En-tte"/>
      <w:jc w:val="right"/>
    </w:pPr>
    <w:fldSimple w:instr=" TITLE  \* MERGEFORMAT ">
      <w:r w:rsidR="002669C2">
        <w:t>ECE/TRANS/WP.29/2021/97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1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104"/>
    <w:rsid w:val="00223272"/>
    <w:rsid w:val="0024779E"/>
    <w:rsid w:val="00257168"/>
    <w:rsid w:val="002669C2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76E37"/>
    <w:rsid w:val="00DB1831"/>
    <w:rsid w:val="00DC6E12"/>
    <w:rsid w:val="00DD3BFD"/>
    <w:rsid w:val="00DE3171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BCAFB5"/>
  <w15:docId w15:val="{9E713D53-CA9D-4ED7-9DEF-668E06BE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663</Words>
  <Characters>3795</Characters>
  <Application>Microsoft Office Word</Application>
  <DocSecurity>0</DocSecurity>
  <Lines>91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ECE/TRANS/WP.29/2021/97</dc:title>
  <dc:subject/>
  <dc:creator>Christine CHAUTAGNAT</dc:creator>
  <cp:keywords/>
  <cp:lastModifiedBy>Christine Chautagnat</cp:lastModifiedBy>
  <cp:revision>3</cp:revision>
  <cp:lastPrinted>2021-09-27T08:56:00Z</cp:lastPrinted>
  <dcterms:created xsi:type="dcterms:W3CDTF">2021-09-27T08:56:00Z</dcterms:created>
  <dcterms:modified xsi:type="dcterms:W3CDTF">2021-09-27T08:56:00Z</dcterms:modified>
</cp:coreProperties>
</file>