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BCE3E6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0C072E2" w14:textId="77777777" w:rsidR="00F35BAF" w:rsidRPr="00DB58B5" w:rsidRDefault="00F35BAF" w:rsidP="00973DB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03EEB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E8C4AF" w14:textId="3152DA00" w:rsidR="00F35BAF" w:rsidRPr="00DB58B5" w:rsidRDefault="00973DBF" w:rsidP="00973DBF">
            <w:pPr>
              <w:jc w:val="right"/>
            </w:pPr>
            <w:r w:rsidRPr="00973DBF">
              <w:rPr>
                <w:sz w:val="40"/>
              </w:rPr>
              <w:t>ECE</w:t>
            </w:r>
            <w:r>
              <w:t>/TRANS/WP.29/2021/94</w:t>
            </w:r>
          </w:p>
        </w:tc>
      </w:tr>
      <w:tr w:rsidR="00F35BAF" w:rsidRPr="00DB58B5" w14:paraId="79534DF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23D8EB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E23A21" wp14:editId="1EDCEAC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983E3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1769A90" w14:textId="77777777" w:rsidR="00F35BAF" w:rsidRDefault="00973DBF" w:rsidP="00C97039">
            <w:pPr>
              <w:spacing w:before="240"/>
            </w:pPr>
            <w:r>
              <w:t>Distr. générale</w:t>
            </w:r>
          </w:p>
          <w:p w14:paraId="418B6933" w14:textId="77777777" w:rsidR="00973DBF" w:rsidRDefault="00973DBF" w:rsidP="00973DBF">
            <w:pPr>
              <w:spacing w:line="240" w:lineRule="exact"/>
            </w:pPr>
            <w:r>
              <w:t>7 septembre 2021</w:t>
            </w:r>
          </w:p>
          <w:p w14:paraId="10EF183C" w14:textId="77777777" w:rsidR="00973DBF" w:rsidRDefault="00973DBF" w:rsidP="00973DBF">
            <w:pPr>
              <w:spacing w:line="240" w:lineRule="exact"/>
            </w:pPr>
            <w:r>
              <w:t>Français</w:t>
            </w:r>
          </w:p>
          <w:p w14:paraId="4197D857" w14:textId="621AFAD3" w:rsidR="00973DBF" w:rsidRPr="00DB58B5" w:rsidRDefault="00973DBF" w:rsidP="00973DBF">
            <w:pPr>
              <w:spacing w:line="240" w:lineRule="exact"/>
            </w:pPr>
            <w:r>
              <w:t>Original : anglais</w:t>
            </w:r>
          </w:p>
        </w:tc>
      </w:tr>
    </w:tbl>
    <w:p w14:paraId="0BE28D5E" w14:textId="5DCE59C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D5DC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D560F3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8C2DC92" w14:textId="36E14F5C" w:rsidR="00973DBF" w:rsidRDefault="00973DB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D5DC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6948158" w14:textId="508A649F" w:rsidR="00973DBF" w:rsidRDefault="00973DBF" w:rsidP="00AF0CB5">
      <w:pPr>
        <w:spacing w:before="120" w:line="240" w:lineRule="exact"/>
        <w:rPr>
          <w:b/>
        </w:rPr>
      </w:pPr>
      <w:r>
        <w:rPr>
          <w:b/>
          <w:bCs/>
          <w:lang w:val="fr-FR"/>
        </w:rPr>
        <w:t>185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>
        <w:rPr>
          <w:b/>
        </w:rPr>
        <w:t>session</w:t>
      </w:r>
    </w:p>
    <w:p w14:paraId="0A32B835" w14:textId="40B22E73" w:rsidR="00973DBF" w:rsidRDefault="00973DBF" w:rsidP="00AF0CB5">
      <w:pPr>
        <w:spacing w:line="240" w:lineRule="exact"/>
      </w:pPr>
      <w:r>
        <w:t xml:space="preserve">Genève, </w:t>
      </w:r>
      <w:r>
        <w:rPr>
          <w:lang w:val="fr-FR"/>
        </w:rPr>
        <w:t>23-25 novembre 2021</w:t>
      </w:r>
    </w:p>
    <w:p w14:paraId="56D17550" w14:textId="4356265F" w:rsidR="00973DBF" w:rsidRDefault="00973DBF" w:rsidP="00AF0CB5">
      <w:pPr>
        <w:spacing w:line="240" w:lineRule="exact"/>
      </w:pPr>
      <w:r>
        <w:t xml:space="preserve">Point </w:t>
      </w:r>
      <w:r>
        <w:rPr>
          <w:lang w:val="fr-FR"/>
        </w:rPr>
        <w:t>4.6.10 de l</w:t>
      </w:r>
      <w:r w:rsidR="001D5DC5">
        <w:rPr>
          <w:lang w:val="fr-FR"/>
        </w:rPr>
        <w:t>’</w:t>
      </w:r>
      <w:r>
        <w:rPr>
          <w:lang w:val="fr-FR"/>
        </w:rPr>
        <w:t>ordre du jour provisoire</w:t>
      </w:r>
    </w:p>
    <w:p w14:paraId="4B7BF196" w14:textId="4AF5AD3B" w:rsidR="00973DBF" w:rsidRPr="0007570F" w:rsidRDefault="00973DBF" w:rsidP="00973DBF">
      <w:pPr>
        <w:rPr>
          <w:b/>
          <w:lang w:val="fr-FR"/>
        </w:rPr>
      </w:pPr>
      <w:r>
        <w:rPr>
          <w:b/>
          <w:bCs/>
          <w:lang w:val="fr-FR"/>
        </w:rPr>
        <w:t>Accord de 1958 : Examen de projets d</w:t>
      </w:r>
      <w:r w:rsidR="001D5DC5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à des Règlements ONU existants, soumis par le GRE</w:t>
      </w:r>
    </w:p>
    <w:p w14:paraId="6CEFE513" w14:textId="73C18042" w:rsidR="00973DBF" w:rsidRPr="0007570F" w:rsidRDefault="00973DBF" w:rsidP="00973DB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 2 à la série 07 d</w:t>
      </w:r>
      <w:r w:rsidR="001D5DC5">
        <w:rPr>
          <w:lang w:val="fr-FR"/>
        </w:rPr>
        <w:t>’</w:t>
      </w:r>
      <w:r>
        <w:rPr>
          <w:lang w:val="fr-FR"/>
        </w:rPr>
        <w:t>amendements au</w:t>
      </w:r>
      <w:r w:rsidR="001D5DC5">
        <w:rPr>
          <w:lang w:val="fr-FR"/>
        </w:rPr>
        <w:t> </w:t>
      </w:r>
      <w:r>
        <w:rPr>
          <w:lang w:val="fr-FR"/>
        </w:rPr>
        <w:t>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48 (Installation des dispositifs d</w:t>
      </w:r>
      <w:r w:rsidR="001D5DC5">
        <w:rPr>
          <w:lang w:val="fr-FR"/>
        </w:rPr>
        <w:t>’</w:t>
      </w:r>
      <w:r>
        <w:rPr>
          <w:lang w:val="fr-FR"/>
        </w:rPr>
        <w:t>éclairage et de signalisation lumineuse)</w:t>
      </w:r>
    </w:p>
    <w:p w14:paraId="4A340516" w14:textId="126E5B4B" w:rsidR="00973DBF" w:rsidRPr="0007570F" w:rsidRDefault="00973DBF" w:rsidP="00973DBF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</w:t>
      </w:r>
      <w:r w:rsidR="001D5DC5">
        <w:rPr>
          <w:lang w:val="fr-FR"/>
        </w:rPr>
        <w:t>’</w:t>
      </w:r>
      <w:r>
        <w:rPr>
          <w:lang w:val="fr-FR"/>
        </w:rPr>
        <w:t xml:space="preserve">éclairage </w:t>
      </w:r>
      <w:r w:rsidR="00BA0D1C">
        <w:rPr>
          <w:lang w:val="fr-FR"/>
        </w:rPr>
        <w:br/>
      </w:r>
      <w:r>
        <w:rPr>
          <w:lang w:val="fr-FR"/>
        </w:rPr>
        <w:t>et de la signalisation lumineuse</w:t>
      </w:r>
      <w:r w:rsidR="00BA0D1C" w:rsidRPr="00BA0D1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C6239D4" w14:textId="5671D7D6" w:rsidR="00F9573C" w:rsidRPr="001D5DC5" w:rsidRDefault="00973DBF" w:rsidP="00973DBF">
      <w:pPr>
        <w:pStyle w:val="SingleTxtG"/>
        <w:ind w:firstLine="567"/>
        <w:rPr>
          <w:spacing w:val="-2"/>
          <w:lang w:val="fr-FR"/>
        </w:rPr>
      </w:pPr>
      <w:r w:rsidRPr="001D5DC5">
        <w:rPr>
          <w:spacing w:val="-2"/>
          <w:lang w:val="fr-FR"/>
        </w:rPr>
        <w:t>Le texte ci-après a été adopté par le Groupe de travail de l</w:t>
      </w:r>
      <w:r w:rsidR="001D5DC5">
        <w:rPr>
          <w:spacing w:val="-2"/>
          <w:lang w:val="fr-FR"/>
        </w:rPr>
        <w:t>’</w:t>
      </w:r>
      <w:r w:rsidRPr="001D5DC5">
        <w:rPr>
          <w:spacing w:val="-2"/>
          <w:lang w:val="fr-FR"/>
        </w:rPr>
        <w:t>éclairage et de la signalisation lumineuse (GRE) à sa quatre-vingt-quatrième session (ECE/TRANS/WP.29/GRE/84, par. 24 et 25). Il est fondé sur les documents ECE/TRANS/WP.29/GRE/2021/5 et ECE/TRANS/</w:t>
      </w:r>
      <w:r w:rsidR="001D5DC5">
        <w:rPr>
          <w:spacing w:val="-2"/>
          <w:lang w:val="fr-FR"/>
        </w:rPr>
        <w:br/>
      </w:r>
      <w:r w:rsidRPr="001D5DC5">
        <w:rPr>
          <w:spacing w:val="-2"/>
          <w:lang w:val="fr-FR"/>
        </w:rPr>
        <w:t>WP.29/GRE/2021/8. Il est soumis au Forum mondial de l</w:t>
      </w:r>
      <w:r w:rsidR="001D5DC5">
        <w:rPr>
          <w:spacing w:val="-2"/>
          <w:lang w:val="fr-FR"/>
        </w:rPr>
        <w:t>’</w:t>
      </w:r>
      <w:r w:rsidRPr="001D5DC5">
        <w:rPr>
          <w:spacing w:val="-2"/>
          <w:lang w:val="fr-FR"/>
        </w:rPr>
        <w:t>harmonisation des Règlements concernant les véhicules (WP.29) et au Comité d</w:t>
      </w:r>
      <w:r w:rsidR="001D5DC5">
        <w:rPr>
          <w:spacing w:val="-2"/>
          <w:lang w:val="fr-FR"/>
        </w:rPr>
        <w:t>’</w:t>
      </w:r>
      <w:r w:rsidRPr="001D5DC5">
        <w:rPr>
          <w:spacing w:val="-2"/>
          <w:lang w:val="fr-FR"/>
        </w:rPr>
        <w:t>administration de l</w:t>
      </w:r>
      <w:r w:rsidR="001D5DC5">
        <w:rPr>
          <w:spacing w:val="-2"/>
          <w:lang w:val="fr-FR"/>
        </w:rPr>
        <w:t>’</w:t>
      </w:r>
      <w:r w:rsidRPr="001D5DC5">
        <w:rPr>
          <w:spacing w:val="-2"/>
          <w:lang w:val="fr-FR"/>
        </w:rPr>
        <w:t>Accord de 1958 (AC.1) pour examen à leurs sessions de novembre 2021.</w:t>
      </w:r>
    </w:p>
    <w:p w14:paraId="7894BA22" w14:textId="5F826529" w:rsidR="00973DBF" w:rsidRDefault="00973DBF" w:rsidP="00973DBF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7D6C54FC" w14:textId="77777777" w:rsidR="00973DBF" w:rsidRPr="0007570F" w:rsidRDefault="00973DBF" w:rsidP="00973DBF">
      <w:pPr>
        <w:pStyle w:val="SingleTxtG"/>
        <w:rPr>
          <w:lang w:val="fr-FR"/>
        </w:rPr>
      </w:pPr>
      <w:r w:rsidRPr="00973DBF">
        <w:rPr>
          <w:i/>
          <w:iCs/>
          <w:lang w:val="fr-FR"/>
        </w:rPr>
        <w:lastRenderedPageBreak/>
        <w:t>Paragraphe 3.2.5</w:t>
      </w:r>
      <w:r>
        <w:rPr>
          <w:lang w:val="fr-FR"/>
        </w:rPr>
        <w:t>, lire :</w:t>
      </w:r>
    </w:p>
    <w:p w14:paraId="40055490" w14:textId="0730C654" w:rsidR="00973DBF" w:rsidRPr="002B7C5B" w:rsidRDefault="00973DBF" w:rsidP="00973DBF">
      <w:pPr>
        <w:pStyle w:val="SingleTxtG"/>
        <w:ind w:left="2268" w:hanging="1134"/>
      </w:pPr>
      <w:r>
        <w:t>« 3.2.5</w:t>
      </w:r>
      <w:r>
        <w:tab/>
        <w:t>La demande d</w:t>
      </w:r>
      <w:r w:rsidR="001D5DC5">
        <w:t>’</w:t>
      </w:r>
      <w:r>
        <w:t>homologation doit préciser la méthode utilisée pour la définition de la surface apparente (voir par. 2.10.4).</w:t>
      </w:r>
    </w:p>
    <w:p w14:paraId="2789EC75" w14:textId="17278C23" w:rsidR="00973DBF" w:rsidRDefault="00973DBF" w:rsidP="00973DBF">
      <w:pPr>
        <w:pStyle w:val="SingleTxtG"/>
        <w:ind w:left="2268"/>
      </w:pPr>
      <w:r>
        <w:t>La méthode utilisée pour la définition de la surface apparente doit être déclarée pour tous les feux, comme définis au paragraphe 2.5, et renseignée au point 10.2 de l</w:t>
      </w:r>
      <w:r w:rsidR="001D5DC5">
        <w:t>’</w:t>
      </w:r>
      <w:r>
        <w:t xml:space="preserve">annexe 1 ; ». </w:t>
      </w:r>
    </w:p>
    <w:p w14:paraId="71411DAA" w14:textId="77777777" w:rsidR="00973DBF" w:rsidRPr="0007570F" w:rsidRDefault="00973DBF" w:rsidP="00973DBF">
      <w:pPr>
        <w:pStyle w:val="SingleTxtG"/>
        <w:rPr>
          <w:iCs/>
          <w:lang w:val="fr-FR"/>
        </w:rPr>
      </w:pPr>
      <w:r>
        <w:rPr>
          <w:i/>
          <w:iCs/>
          <w:lang w:val="fr-FR"/>
        </w:rPr>
        <w:t>Paragraphe 6.18.4.3</w:t>
      </w:r>
      <w:r>
        <w:rPr>
          <w:lang w:val="fr-FR"/>
        </w:rPr>
        <w:t>, lire :</w:t>
      </w:r>
    </w:p>
    <w:p w14:paraId="6A1C08CD" w14:textId="6F107DEB" w:rsidR="00973DBF" w:rsidRPr="0007570F" w:rsidRDefault="00973DBF" w:rsidP="00973DBF">
      <w:pPr>
        <w:pStyle w:val="SingleTxtG"/>
        <w:ind w:left="2268" w:hanging="1134"/>
        <w:rPr>
          <w:iCs/>
          <w:lang w:val="fr-FR"/>
        </w:rPr>
      </w:pPr>
      <w:r>
        <w:rPr>
          <w:lang w:val="fr-FR"/>
        </w:rPr>
        <w:t>« 6.18.4.3</w:t>
      </w:r>
      <w:r>
        <w:rPr>
          <w:lang w:val="fr-FR"/>
        </w:rPr>
        <w:tab/>
        <w:t>En longueur : au moins un feu de position latéral dans le tiers médian du véhicule, le feu de position latéral le plus en avant se trouvant au plus à 3 m de l</w:t>
      </w:r>
      <w:r w:rsidR="001D5DC5">
        <w:rPr>
          <w:lang w:val="fr-FR"/>
        </w:rPr>
        <w:t>’</w:t>
      </w:r>
      <w:r>
        <w:rPr>
          <w:lang w:val="fr-FR"/>
        </w:rPr>
        <w:t xml:space="preserve">avant (4 m pour les semi-remorques). </w:t>
      </w:r>
    </w:p>
    <w:p w14:paraId="508A9F07" w14:textId="3085A287" w:rsidR="00973DBF" w:rsidRPr="0007570F" w:rsidRDefault="00973DBF" w:rsidP="00973DBF">
      <w:pPr>
        <w:pStyle w:val="SingleTxtG"/>
        <w:ind w:left="2268"/>
        <w:rPr>
          <w:iCs/>
          <w:lang w:val="fr-FR"/>
        </w:rPr>
      </w:pPr>
      <w:r>
        <w:rPr>
          <w:lang w:val="fr-FR"/>
        </w:rPr>
        <w:t>Deux feux de position latéraux ne peuvent être distants de plus de 3 m. Cette</w:t>
      </w:r>
      <w:r w:rsidR="00EB4F79">
        <w:rPr>
          <w:lang w:val="fr-FR"/>
        </w:rPr>
        <w:t> </w:t>
      </w:r>
      <w:r>
        <w:rPr>
          <w:lang w:val="fr-FR"/>
        </w:rPr>
        <w:t>distance peut être portée à 4 m si la structure, la conception ou l</w:t>
      </w:r>
      <w:r w:rsidR="001D5DC5">
        <w:rPr>
          <w:lang w:val="fr-FR"/>
        </w:rPr>
        <w:t>’</w:t>
      </w:r>
      <w:r>
        <w:rPr>
          <w:lang w:val="fr-FR"/>
        </w:rPr>
        <w:t xml:space="preserve">utilisation du </w:t>
      </w:r>
      <w:r w:rsidRPr="00973DBF">
        <w:t>véhicule</w:t>
      </w:r>
      <w:r>
        <w:rPr>
          <w:lang w:val="fr-FR"/>
        </w:rPr>
        <w:t xml:space="preserve"> l</w:t>
      </w:r>
      <w:r w:rsidR="001D5DC5">
        <w:rPr>
          <w:lang w:val="fr-FR"/>
        </w:rPr>
        <w:t>’</w:t>
      </w:r>
      <w:r>
        <w:rPr>
          <w:lang w:val="fr-FR"/>
        </w:rPr>
        <w:t>exigent.</w:t>
      </w:r>
    </w:p>
    <w:p w14:paraId="7103A15D" w14:textId="330228DF" w:rsidR="00973DBF" w:rsidRPr="0007570F" w:rsidRDefault="00973DBF" w:rsidP="00973DBF">
      <w:pPr>
        <w:pStyle w:val="SingleTxtG"/>
        <w:ind w:left="2268"/>
        <w:rPr>
          <w:iCs/>
          <w:lang w:val="fr-FR"/>
        </w:rPr>
      </w:pPr>
      <w:r>
        <w:rPr>
          <w:lang w:val="fr-FR"/>
        </w:rPr>
        <w:t xml:space="preserve">Le feu de position latéral le plus en arrière ne doit pas </w:t>
      </w:r>
      <w:r w:rsidRPr="00973DBF">
        <w:t>être</w:t>
      </w:r>
      <w:r>
        <w:rPr>
          <w:lang w:val="fr-FR"/>
        </w:rPr>
        <w:t xml:space="preserve"> à plus de 1 m de l</w:t>
      </w:r>
      <w:r w:rsidR="001D5DC5">
        <w:rPr>
          <w:lang w:val="fr-FR"/>
        </w:rPr>
        <w:t>’</w:t>
      </w:r>
      <w:r>
        <w:rPr>
          <w:lang w:val="fr-FR"/>
        </w:rPr>
        <w:t>arrière du véhicule.</w:t>
      </w:r>
    </w:p>
    <w:p w14:paraId="3352541D" w14:textId="21DD934B" w:rsidR="00973DBF" w:rsidRPr="0007570F" w:rsidRDefault="00973DBF" w:rsidP="00973DBF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Toutefois, en ce qui concerne les véhicules à </w:t>
      </w:r>
      <w:r w:rsidRPr="00973DBF">
        <w:t>moteur</w:t>
      </w:r>
      <w:r>
        <w:rPr>
          <w:lang w:val="fr-FR"/>
        </w:rPr>
        <w:t xml:space="preserve"> dont la longueur ne dépasse pas 6 m et les châssis-cabines, il suffit qu</w:t>
      </w:r>
      <w:r w:rsidR="001D5DC5">
        <w:rPr>
          <w:lang w:val="fr-FR"/>
        </w:rPr>
        <w:t>’</w:t>
      </w:r>
      <w:r>
        <w:rPr>
          <w:lang w:val="fr-FR"/>
        </w:rPr>
        <w:t>ils soient équipés d</w:t>
      </w:r>
      <w:r w:rsidR="001D5DC5">
        <w:rPr>
          <w:lang w:val="fr-FR"/>
        </w:rPr>
        <w:t>’</w:t>
      </w:r>
      <w:r>
        <w:rPr>
          <w:lang w:val="fr-FR"/>
        </w:rPr>
        <w:t>un feu de position latéral dans le premier tiers de leur longueur et/ou d</w:t>
      </w:r>
      <w:r w:rsidR="001D5DC5">
        <w:rPr>
          <w:lang w:val="fr-FR"/>
        </w:rPr>
        <w:t>’</w:t>
      </w:r>
      <w:r>
        <w:rPr>
          <w:lang w:val="fr-FR"/>
        </w:rPr>
        <w:t>un dans le dernier tiers. Pour les véhicules de la catégorie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dont la longueur dépasse 6 m mais ne dépasse pas 7 m, il suffit qu</w:t>
      </w:r>
      <w:r w:rsidR="001D5DC5">
        <w:rPr>
          <w:lang w:val="fr-FR"/>
        </w:rPr>
        <w:t>’</w:t>
      </w:r>
      <w:r>
        <w:rPr>
          <w:lang w:val="fr-FR"/>
        </w:rPr>
        <w:t>ils soient équipés de deux feux de position latéraux, l</w:t>
      </w:r>
      <w:r w:rsidR="001D5DC5">
        <w:rPr>
          <w:lang w:val="fr-FR"/>
        </w:rPr>
        <w:t>’</w:t>
      </w:r>
      <w:r>
        <w:rPr>
          <w:lang w:val="fr-FR"/>
        </w:rPr>
        <w:t>un se trouvant au plus à 3 m de l</w:t>
      </w:r>
      <w:r w:rsidR="001D5DC5">
        <w:rPr>
          <w:lang w:val="fr-FR"/>
        </w:rPr>
        <w:t>’</w:t>
      </w:r>
      <w:r>
        <w:rPr>
          <w:lang w:val="fr-FR"/>
        </w:rPr>
        <w:t>avant et l</w:t>
      </w:r>
      <w:r w:rsidR="001D5DC5">
        <w:rPr>
          <w:lang w:val="fr-FR"/>
        </w:rPr>
        <w:t>’</w:t>
      </w:r>
      <w:r>
        <w:rPr>
          <w:lang w:val="fr-FR"/>
        </w:rPr>
        <w:t>autre dans le dernier tiers de la longueur du véhicule. ».</w:t>
      </w:r>
    </w:p>
    <w:p w14:paraId="7871A297" w14:textId="77777777" w:rsidR="00973DBF" w:rsidRPr="0007570F" w:rsidRDefault="00973DBF" w:rsidP="00973DBF">
      <w:pPr>
        <w:pStyle w:val="SingleTxtG"/>
        <w:rPr>
          <w:i/>
          <w:lang w:val="fr-FR"/>
        </w:rPr>
      </w:pPr>
      <w:r>
        <w:rPr>
          <w:i/>
          <w:iCs/>
          <w:lang w:val="fr-FR"/>
        </w:rPr>
        <w:t>Annexe 1, point 10.2</w:t>
      </w:r>
      <w:r>
        <w:rPr>
          <w:lang w:val="fr-FR"/>
        </w:rPr>
        <w:t>, lire :</w:t>
      </w:r>
    </w:p>
    <w:p w14:paraId="3A7774B1" w14:textId="77777777" w:rsidR="00973DBF" w:rsidRPr="0007570F" w:rsidRDefault="00973DBF" w:rsidP="00973DBF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10.2</w:t>
      </w:r>
      <w:r>
        <w:rPr>
          <w:lang w:val="fr-FR"/>
        </w:rPr>
        <w:tab/>
      </w:r>
      <w:r>
        <w:rPr>
          <w:lang w:val="fr-FR"/>
        </w:rPr>
        <w:tab/>
        <w:t>Méthode utilisée pour la définition de la surface apparente :</w:t>
      </w:r>
    </w:p>
    <w:p w14:paraId="13C46B44" w14:textId="77777777" w:rsidR="00973DBF" w:rsidRPr="0007570F" w:rsidRDefault="00973DBF" w:rsidP="00973DBF">
      <w:pPr>
        <w:pStyle w:val="SingleTxtG"/>
        <w:ind w:left="2268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Limite de la plage éclairante utilisée pour le ou les feux suivants :</w:t>
      </w:r>
    </w:p>
    <w:p w14:paraId="12F3ED10" w14:textId="2BCA03C1" w:rsidR="00973DBF" w:rsidRPr="0007570F" w:rsidRDefault="00973DBF" w:rsidP="00973DBF">
      <w:pPr>
        <w:pStyle w:val="SingleTxtG"/>
        <w:tabs>
          <w:tab w:val="righ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6447B826" w14:textId="64623053" w:rsidR="00973DBF" w:rsidRDefault="00973DBF" w:rsidP="00973DBF">
      <w:pPr>
        <w:pStyle w:val="SingleTxtG"/>
        <w:tabs>
          <w:tab w:val="righ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25E4D079" w14:textId="01F9FA3F" w:rsidR="00973DBF" w:rsidRDefault="00973DBF" w:rsidP="00973DBF">
      <w:pPr>
        <w:pStyle w:val="SingleTxtG"/>
        <w:tabs>
          <w:tab w:val="righ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32DA3D74" w14:textId="56B120E4" w:rsidR="00973DBF" w:rsidRPr="0007570F" w:rsidRDefault="00973DBF" w:rsidP="00973DBF">
      <w:pPr>
        <w:pStyle w:val="SingleTxtG"/>
        <w:ind w:left="2268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Surface de sortie de la lumière utilisée pour le ou les feux suivants :</w:t>
      </w:r>
    </w:p>
    <w:p w14:paraId="62B79340" w14:textId="77777777" w:rsidR="00973DBF" w:rsidRDefault="00973DBF" w:rsidP="00973DBF">
      <w:pPr>
        <w:pStyle w:val="SingleTxtG"/>
        <w:tabs>
          <w:tab w:val="righ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0027BF31" w14:textId="0FDE6F8E" w:rsidR="00973DBF" w:rsidRDefault="00973DBF" w:rsidP="00973DBF">
      <w:pPr>
        <w:pStyle w:val="SingleTxtG"/>
        <w:tabs>
          <w:tab w:val="righ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286FBC9F" w14:textId="636A4944" w:rsidR="00973DBF" w:rsidRDefault="00973DBF" w:rsidP="00973DBF">
      <w:pPr>
        <w:pStyle w:val="SingleTxtG"/>
        <w:tabs>
          <w:tab w:val="right" w:leader="dot" w:pos="8505"/>
        </w:tabs>
        <w:ind w:left="2268"/>
        <w:rPr>
          <w:lang w:val="fr-FR"/>
        </w:rPr>
      </w:pPr>
      <w:r>
        <w:rPr>
          <w:lang w:val="fr-FR"/>
        </w:rPr>
        <w:tab/>
        <w:t> </w:t>
      </w:r>
      <w:r>
        <w:rPr>
          <w:lang w:val="fr-FR"/>
        </w:rPr>
        <w:t>».</w:t>
      </w:r>
    </w:p>
    <w:p w14:paraId="7F89A420" w14:textId="42E4A100" w:rsidR="00973DBF" w:rsidRPr="00973DBF" w:rsidRDefault="00973DBF" w:rsidP="00973DB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73DBF" w:rsidRPr="00973DBF" w:rsidSect="00973D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AA77F" w14:textId="77777777" w:rsidR="00224A78" w:rsidRDefault="00224A78" w:rsidP="00F95C08">
      <w:pPr>
        <w:spacing w:line="240" w:lineRule="auto"/>
      </w:pPr>
    </w:p>
  </w:endnote>
  <w:endnote w:type="continuationSeparator" w:id="0">
    <w:p w14:paraId="3A54934F" w14:textId="77777777" w:rsidR="00224A78" w:rsidRPr="00AC3823" w:rsidRDefault="00224A78" w:rsidP="00AC3823">
      <w:pPr>
        <w:pStyle w:val="Pieddepage"/>
      </w:pPr>
    </w:p>
  </w:endnote>
  <w:endnote w:type="continuationNotice" w:id="1">
    <w:p w14:paraId="066FE316" w14:textId="77777777" w:rsidR="00224A78" w:rsidRDefault="00224A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20548" w14:textId="71A25F84" w:rsidR="00973DBF" w:rsidRPr="00973DBF" w:rsidRDefault="00973DBF" w:rsidP="00973DBF">
    <w:pPr>
      <w:pStyle w:val="Pieddepage"/>
      <w:tabs>
        <w:tab w:val="right" w:pos="9638"/>
      </w:tabs>
    </w:pPr>
    <w:r w:rsidRPr="00973DBF">
      <w:rPr>
        <w:b/>
        <w:sz w:val="18"/>
      </w:rPr>
      <w:fldChar w:fldCharType="begin"/>
    </w:r>
    <w:r w:rsidRPr="00973DBF">
      <w:rPr>
        <w:b/>
        <w:sz w:val="18"/>
      </w:rPr>
      <w:instrText xml:space="preserve"> PAGE  \* MERGEFORMAT </w:instrText>
    </w:r>
    <w:r w:rsidRPr="00973DBF">
      <w:rPr>
        <w:b/>
        <w:sz w:val="18"/>
      </w:rPr>
      <w:fldChar w:fldCharType="separate"/>
    </w:r>
    <w:r w:rsidRPr="00973DBF">
      <w:rPr>
        <w:b/>
        <w:noProof/>
        <w:sz w:val="18"/>
      </w:rPr>
      <w:t>2</w:t>
    </w:r>
    <w:r w:rsidRPr="00973DBF">
      <w:rPr>
        <w:b/>
        <w:sz w:val="18"/>
      </w:rPr>
      <w:fldChar w:fldCharType="end"/>
    </w:r>
    <w:r>
      <w:rPr>
        <w:b/>
        <w:sz w:val="18"/>
      </w:rPr>
      <w:tab/>
    </w:r>
    <w:r>
      <w:t>GE.21-12449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7587" w14:textId="1D15B933" w:rsidR="00973DBF" w:rsidRPr="00973DBF" w:rsidRDefault="00973DBF" w:rsidP="00973DBF">
    <w:pPr>
      <w:pStyle w:val="Pieddepage"/>
      <w:tabs>
        <w:tab w:val="right" w:pos="9638"/>
      </w:tabs>
      <w:rPr>
        <w:b/>
        <w:sz w:val="18"/>
      </w:rPr>
    </w:pPr>
    <w:r>
      <w:t>GE.21-12449</w:t>
    </w:r>
    <w:r>
      <w:tab/>
    </w:r>
    <w:r w:rsidRPr="00973DBF">
      <w:rPr>
        <w:b/>
        <w:sz w:val="18"/>
      </w:rPr>
      <w:fldChar w:fldCharType="begin"/>
    </w:r>
    <w:r w:rsidRPr="00973DBF">
      <w:rPr>
        <w:b/>
        <w:sz w:val="18"/>
      </w:rPr>
      <w:instrText xml:space="preserve"> PAGE  \* MERGEFORMAT </w:instrText>
    </w:r>
    <w:r w:rsidRPr="00973DBF">
      <w:rPr>
        <w:b/>
        <w:sz w:val="18"/>
      </w:rPr>
      <w:fldChar w:fldCharType="separate"/>
    </w:r>
    <w:r w:rsidRPr="00973DBF">
      <w:rPr>
        <w:b/>
        <w:noProof/>
        <w:sz w:val="18"/>
      </w:rPr>
      <w:t>3</w:t>
    </w:r>
    <w:r w:rsidRPr="00973D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7451" w14:textId="49C2F2FA" w:rsidR="007F20FA" w:rsidRPr="00973DBF" w:rsidRDefault="00973DBF" w:rsidP="00973DB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D7B6AD7" wp14:editId="3442BC5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21-12449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E498DEC" wp14:editId="53ECE3E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D1C">
      <w:rPr>
        <w:sz w:val="20"/>
      </w:rPr>
      <w:t xml:space="preserve">    041021    041021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82951" w14:textId="77777777" w:rsidR="00224A78" w:rsidRPr="00AC3823" w:rsidRDefault="00224A7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1963D1" w14:textId="77777777" w:rsidR="00224A78" w:rsidRPr="00AC3823" w:rsidRDefault="00224A7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F03916" w14:textId="77777777" w:rsidR="00224A78" w:rsidRPr="00AC3823" w:rsidRDefault="00224A78">
      <w:pPr>
        <w:spacing w:line="240" w:lineRule="auto"/>
        <w:rPr>
          <w:sz w:val="2"/>
          <w:szCs w:val="2"/>
        </w:rPr>
      </w:pPr>
    </w:p>
  </w:footnote>
  <w:footnote w:id="2">
    <w:p w14:paraId="523F6EFD" w14:textId="4F393823" w:rsidR="00BA0D1C" w:rsidRPr="00BA0D1C" w:rsidRDefault="00BA0D1C">
      <w:pPr>
        <w:pStyle w:val="Notedebasdepage"/>
      </w:pPr>
      <w:r>
        <w:rPr>
          <w:rStyle w:val="Appelnotedebasdep"/>
        </w:rPr>
        <w:tab/>
      </w:r>
      <w:r w:rsidRPr="00BA0D1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</w:t>
      </w:r>
      <w:r w:rsidR="001D5DC5">
        <w:rPr>
          <w:lang w:val="fr-FR"/>
        </w:rPr>
        <w:t>’</w:t>
      </w:r>
      <w:r>
        <w:rPr>
          <w:lang w:val="fr-FR"/>
        </w:rPr>
        <w:t>il figure dans le projet de budget-programme pour 2021 (A/75/6 (Sect. 20), par. 20.51), le Forum mondial a pour mission d</w:t>
      </w:r>
      <w:r w:rsidR="001D5DC5">
        <w:rPr>
          <w:lang w:val="fr-FR"/>
        </w:rPr>
        <w:t>’</w:t>
      </w:r>
      <w:r>
        <w:rPr>
          <w:lang w:val="fr-FR"/>
        </w:rPr>
        <w:t>élaborer, d</w:t>
      </w:r>
      <w:r w:rsidR="001D5DC5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1D5DC5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580B1" w14:textId="20BD1159" w:rsidR="00973DBF" w:rsidRPr="00973DBF" w:rsidRDefault="00973DBF">
    <w:pPr>
      <w:pStyle w:val="En-tte"/>
    </w:pPr>
    <w:fldSimple w:instr=" TITLE  \* MERGEFORMAT ">
      <w:r w:rsidR="00710189">
        <w:t>ECE/TRANS/WP.29/2021/94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B469D" w14:textId="4EA96EBF" w:rsidR="00973DBF" w:rsidRPr="00973DBF" w:rsidRDefault="00973DBF" w:rsidP="00973DBF">
    <w:pPr>
      <w:pStyle w:val="En-tte"/>
      <w:jc w:val="right"/>
    </w:pPr>
    <w:fldSimple w:instr=" TITLE  \* MERGEFORMAT ">
      <w:r w:rsidR="00710189">
        <w:t>ECE/TRANS/WP.29/2021/94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7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D5DC5"/>
    <w:rsid w:val="001F525A"/>
    <w:rsid w:val="00201148"/>
    <w:rsid w:val="00223272"/>
    <w:rsid w:val="00224A78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C15D2"/>
    <w:rsid w:val="0071018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73DBF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A0D1C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B4F79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B2A4B5"/>
  <w15:docId w15:val="{390D3DB4-436E-4228-AEFF-CE80410B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973DB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352</Words>
  <Characters>2467</Characters>
  <Application>Microsoft Office Word</Application>
  <DocSecurity>0</DocSecurity>
  <Lines>205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ECE/TRANS/WP.29/2021/94</dc:title>
  <dc:subject/>
  <dc:creator>Julien OKRZESIK</dc:creator>
  <cp:keywords/>
  <cp:lastModifiedBy>Julien Okrzesik</cp:lastModifiedBy>
  <cp:revision>3</cp:revision>
  <cp:lastPrinted>2021-10-04T11:08:00Z</cp:lastPrinted>
  <dcterms:created xsi:type="dcterms:W3CDTF">2021-10-04T11:08:00Z</dcterms:created>
  <dcterms:modified xsi:type="dcterms:W3CDTF">2021-10-04T11:09:00Z</dcterms:modified>
</cp:coreProperties>
</file>