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D0F37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591ACE8" w14:textId="77777777" w:rsidR="00F35BAF" w:rsidRPr="00DB58B5" w:rsidRDefault="00F35BAF" w:rsidP="009573D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A3077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9622922" w14:textId="39137261" w:rsidR="00F35BAF" w:rsidRPr="00DB58B5" w:rsidRDefault="009573DB" w:rsidP="009573DB">
            <w:pPr>
              <w:jc w:val="right"/>
            </w:pPr>
            <w:r w:rsidRPr="009573DB">
              <w:rPr>
                <w:sz w:val="40"/>
              </w:rPr>
              <w:t>ECE</w:t>
            </w:r>
            <w:r>
              <w:t>/TRANS/WP.29/2021/154</w:t>
            </w:r>
          </w:p>
        </w:tc>
      </w:tr>
      <w:tr w:rsidR="00F35BAF" w:rsidRPr="00DB58B5" w14:paraId="1E2F28A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17F3B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5E6B674" wp14:editId="1EF24ED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EDA03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7DA298" w14:textId="77777777" w:rsidR="00F35BAF" w:rsidRDefault="009573D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2D222B7" w14:textId="77777777" w:rsidR="009573DB" w:rsidRDefault="009573DB" w:rsidP="009573DB">
            <w:pPr>
              <w:spacing w:line="240" w:lineRule="exact"/>
            </w:pPr>
            <w:r>
              <w:t>8 septembre 2021</w:t>
            </w:r>
          </w:p>
          <w:p w14:paraId="69174E85" w14:textId="77777777" w:rsidR="009573DB" w:rsidRDefault="009573DB" w:rsidP="009573DB">
            <w:pPr>
              <w:spacing w:line="240" w:lineRule="exact"/>
            </w:pPr>
            <w:r>
              <w:t>Français</w:t>
            </w:r>
          </w:p>
          <w:p w14:paraId="5027B3F2" w14:textId="42F737DE" w:rsidR="009573DB" w:rsidRPr="00DB58B5" w:rsidRDefault="009573DB" w:rsidP="009573DB">
            <w:pPr>
              <w:spacing w:line="240" w:lineRule="exact"/>
            </w:pPr>
            <w:r>
              <w:t>Original : anglais</w:t>
            </w:r>
          </w:p>
        </w:tc>
      </w:tr>
    </w:tbl>
    <w:p w14:paraId="12374B10" w14:textId="422B839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573D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E4767B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9E9C491" w14:textId="352EB15C" w:rsidR="009573DB" w:rsidRPr="00DA17AA" w:rsidRDefault="009573DB" w:rsidP="009573DB">
      <w:pPr>
        <w:spacing w:before="120"/>
        <w:rPr>
          <w:b/>
          <w:sz w:val="32"/>
          <w:szCs w:val="32"/>
          <w:lang w:val="fr-FR"/>
        </w:rPr>
      </w:pPr>
      <w:r w:rsidRPr="00DA17A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DA17AA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DA17AA">
        <w:rPr>
          <w:b/>
          <w:bCs/>
          <w:sz w:val="24"/>
          <w:szCs w:val="24"/>
          <w:lang w:val="fr-FR"/>
        </w:rPr>
        <w:t>concernant les véhicules</w:t>
      </w:r>
    </w:p>
    <w:p w14:paraId="1826E823" w14:textId="77777777" w:rsidR="009573DB" w:rsidRPr="00DA17AA" w:rsidRDefault="009573DB" w:rsidP="009573DB">
      <w:pPr>
        <w:spacing w:before="120"/>
        <w:rPr>
          <w:b/>
          <w:lang w:val="fr-FR"/>
        </w:rPr>
      </w:pPr>
      <w:r w:rsidRPr="00DA17AA">
        <w:rPr>
          <w:b/>
          <w:bCs/>
          <w:lang w:val="fr-FR"/>
        </w:rPr>
        <w:t>185</w:t>
      </w:r>
      <w:r w:rsidRPr="00DA17AA">
        <w:rPr>
          <w:b/>
          <w:bCs/>
          <w:vertAlign w:val="superscript"/>
          <w:lang w:val="fr-FR"/>
        </w:rPr>
        <w:t>e</w:t>
      </w:r>
      <w:r w:rsidRPr="00DA17AA">
        <w:rPr>
          <w:b/>
          <w:bCs/>
          <w:lang w:val="fr-FR"/>
        </w:rPr>
        <w:t xml:space="preserve"> session</w:t>
      </w:r>
    </w:p>
    <w:p w14:paraId="27A44B20" w14:textId="77777777" w:rsidR="009573DB" w:rsidRPr="00DA17AA" w:rsidRDefault="009573DB" w:rsidP="009573DB">
      <w:pPr>
        <w:rPr>
          <w:lang w:val="fr-FR"/>
        </w:rPr>
      </w:pPr>
      <w:r w:rsidRPr="00DA17AA">
        <w:rPr>
          <w:lang w:val="fr-FR"/>
        </w:rPr>
        <w:t>Genève, 23-25 novembre 2021</w:t>
      </w:r>
    </w:p>
    <w:p w14:paraId="64E2DE3E" w14:textId="2D32DB38" w:rsidR="009573DB" w:rsidRPr="00DA17AA" w:rsidRDefault="009573DB" w:rsidP="009573DB">
      <w:pPr>
        <w:rPr>
          <w:lang w:val="fr-FR"/>
        </w:rPr>
      </w:pPr>
      <w:r w:rsidRPr="00DA17AA">
        <w:rPr>
          <w:lang w:val="fr-FR"/>
        </w:rPr>
        <w:t>Point 15</w:t>
      </w:r>
      <w:r>
        <w:rPr>
          <w:lang w:val="fr-FR"/>
        </w:rPr>
        <w:t>.</w:t>
      </w:r>
      <w:r w:rsidRPr="00DA17AA">
        <w:rPr>
          <w:lang w:val="fr-FR"/>
        </w:rPr>
        <w:t>1 de l</w:t>
      </w:r>
      <w:r>
        <w:rPr>
          <w:lang w:val="fr-FR"/>
        </w:rPr>
        <w:t>’</w:t>
      </w:r>
      <w:r w:rsidRPr="00DA17AA">
        <w:rPr>
          <w:lang w:val="fr-FR"/>
        </w:rPr>
        <w:t>ordre du jour provisoire</w:t>
      </w:r>
    </w:p>
    <w:p w14:paraId="6E74E5A2" w14:textId="01FEEAE7" w:rsidR="009573DB" w:rsidRPr="00DA17AA" w:rsidRDefault="009573DB" w:rsidP="009573DB">
      <w:pPr>
        <w:rPr>
          <w:b/>
          <w:lang w:val="fr-FR"/>
        </w:rPr>
      </w:pPr>
      <w:r w:rsidRPr="00DA17AA">
        <w:rPr>
          <w:b/>
          <w:bCs/>
          <w:lang w:val="fr-FR"/>
        </w:rPr>
        <w:t xml:space="preserve">Examen des règlements techniques à inclure </w:t>
      </w:r>
      <w:r>
        <w:rPr>
          <w:b/>
          <w:bCs/>
          <w:lang w:val="fr-FR"/>
        </w:rPr>
        <w:br/>
      </w:r>
      <w:r w:rsidRPr="00DA17AA">
        <w:rPr>
          <w:b/>
          <w:bCs/>
          <w:lang w:val="fr-FR"/>
        </w:rPr>
        <w:t>dans le Recueil des</w:t>
      </w:r>
      <w:r>
        <w:rPr>
          <w:b/>
          <w:bCs/>
          <w:lang w:val="fr-FR"/>
        </w:rPr>
        <w:t> </w:t>
      </w:r>
      <w:r w:rsidRPr="00DA17AA">
        <w:rPr>
          <w:b/>
          <w:bCs/>
          <w:lang w:val="fr-FR"/>
        </w:rPr>
        <w:t>RTM admissibles, s</w:t>
      </w:r>
      <w:r>
        <w:rPr>
          <w:b/>
          <w:bCs/>
          <w:lang w:val="fr-FR"/>
        </w:rPr>
        <w:t>’</w:t>
      </w:r>
      <w:r w:rsidRPr="00DA17AA">
        <w:rPr>
          <w:b/>
          <w:bCs/>
          <w:lang w:val="fr-FR"/>
        </w:rPr>
        <w:t>il y a lieu</w:t>
      </w:r>
    </w:p>
    <w:p w14:paraId="159A7463" w14:textId="5C06322F" w:rsidR="009573DB" w:rsidRPr="00DA17AA" w:rsidRDefault="009573DB" w:rsidP="009573DB">
      <w:pPr>
        <w:pStyle w:val="HChG"/>
        <w:rPr>
          <w:rFonts w:eastAsia="MS Mincho"/>
          <w:lang w:val="fr-FR"/>
        </w:rPr>
      </w:pPr>
      <w:r w:rsidRPr="00DA17AA">
        <w:rPr>
          <w:lang w:val="fr-FR"/>
        </w:rPr>
        <w:tab/>
      </w:r>
      <w:r w:rsidRPr="00DA17AA">
        <w:rPr>
          <w:lang w:val="fr-FR"/>
        </w:rPr>
        <w:tab/>
        <w:t>Demande d</w:t>
      </w:r>
      <w:r>
        <w:rPr>
          <w:lang w:val="fr-FR"/>
        </w:rPr>
        <w:t>’</w:t>
      </w:r>
      <w:r w:rsidRPr="00DA17AA">
        <w:rPr>
          <w:lang w:val="fr-FR"/>
        </w:rPr>
        <w:t xml:space="preserve">inscription </w:t>
      </w:r>
      <w:r>
        <w:rPr>
          <w:lang w:val="fr-FR"/>
        </w:rPr>
        <w:t>dans le</w:t>
      </w:r>
      <w:r w:rsidRPr="00DA17AA">
        <w:rPr>
          <w:lang w:val="fr-FR"/>
        </w:rPr>
        <w:t xml:space="preserve"> Recueil des règlements techniques mondiaux admissibles de la procédure de contrôle de la durabilité des</w:t>
      </w:r>
      <w:r>
        <w:rPr>
          <w:lang w:val="fr-FR"/>
        </w:rPr>
        <w:t> </w:t>
      </w:r>
      <w:r w:rsidRPr="00DA17AA">
        <w:rPr>
          <w:lang w:val="fr-FR"/>
        </w:rPr>
        <w:t>véhicules à deux roues du Japon</w:t>
      </w:r>
    </w:p>
    <w:p w14:paraId="616FA93E" w14:textId="6581C98A" w:rsidR="009573DB" w:rsidRPr="00DA17AA" w:rsidRDefault="009573DB" w:rsidP="009573DB">
      <w:pPr>
        <w:pStyle w:val="H1G"/>
        <w:rPr>
          <w:szCs w:val="24"/>
          <w:lang w:val="fr-FR"/>
        </w:rPr>
      </w:pPr>
      <w:r w:rsidRPr="00DA17AA">
        <w:rPr>
          <w:lang w:val="fr-FR"/>
        </w:rPr>
        <w:tab/>
      </w:r>
      <w:r w:rsidRPr="00DA17AA">
        <w:rPr>
          <w:lang w:val="fr-FR"/>
        </w:rPr>
        <w:tab/>
        <w:t>Communication du représentant du Japon</w:t>
      </w:r>
      <w:r w:rsidRPr="009573D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EDB125A" w14:textId="1467BC64" w:rsidR="00F9573C" w:rsidRDefault="009573DB" w:rsidP="009573DB">
      <w:pPr>
        <w:pStyle w:val="SingleTxtG"/>
        <w:ind w:firstLine="567"/>
        <w:rPr>
          <w:lang w:val="fr-FR"/>
        </w:rPr>
      </w:pPr>
      <w:r w:rsidRPr="00DA17AA">
        <w:rPr>
          <w:lang w:val="fr-FR"/>
        </w:rPr>
        <w:t>Le texte ci-après est soumis par le Japon au Comité exécutif de l</w:t>
      </w:r>
      <w:r>
        <w:rPr>
          <w:lang w:val="fr-FR"/>
        </w:rPr>
        <w:t>’</w:t>
      </w:r>
      <w:r w:rsidRPr="00DA17AA">
        <w:rPr>
          <w:lang w:val="fr-FR"/>
        </w:rPr>
        <w:t>Accord de 1998 (AC.3) pour examen. Il s</w:t>
      </w:r>
      <w:r>
        <w:rPr>
          <w:lang w:val="fr-FR"/>
        </w:rPr>
        <w:t>’</w:t>
      </w:r>
      <w:r w:rsidRPr="00DA17AA">
        <w:rPr>
          <w:lang w:val="fr-FR"/>
        </w:rPr>
        <w:t>agit d</w:t>
      </w:r>
      <w:r>
        <w:rPr>
          <w:lang w:val="fr-FR"/>
        </w:rPr>
        <w:t>’</w:t>
      </w:r>
      <w:r w:rsidRPr="00DA17AA">
        <w:rPr>
          <w:lang w:val="fr-FR"/>
        </w:rPr>
        <w:t xml:space="preserve">une demande visant à inscrire la procédure de contrôle de la durabilité des véhicules dans le </w:t>
      </w:r>
      <w:r w:rsidRPr="00C43C52">
        <w:rPr>
          <w:lang w:val="fr-FR"/>
        </w:rPr>
        <w:t>Recueil des règlements techniques mondiaux admissibles (Recueil des RTM admissibles)</w:t>
      </w:r>
      <w:r w:rsidRPr="00DA17AA">
        <w:rPr>
          <w:lang w:val="fr-FR"/>
        </w:rPr>
        <w:t>. Afin qu</w:t>
      </w:r>
      <w:r>
        <w:rPr>
          <w:lang w:val="fr-FR"/>
        </w:rPr>
        <w:t>’</w:t>
      </w:r>
      <w:r w:rsidRPr="00DA17AA">
        <w:rPr>
          <w:lang w:val="fr-FR"/>
        </w:rPr>
        <w:t>elle puisse être examinée par l</w:t>
      </w:r>
      <w:r>
        <w:rPr>
          <w:lang w:val="fr-FR"/>
        </w:rPr>
        <w:t>’</w:t>
      </w:r>
      <w:r w:rsidRPr="00DA17AA">
        <w:rPr>
          <w:lang w:val="fr-FR"/>
        </w:rPr>
        <w:t>AC.3, la présente demande est accompagnée d</w:t>
      </w:r>
      <w:r>
        <w:rPr>
          <w:lang w:val="fr-FR"/>
        </w:rPr>
        <w:t>’</w:t>
      </w:r>
      <w:r w:rsidRPr="00DA17AA">
        <w:rPr>
          <w:lang w:val="fr-FR"/>
        </w:rPr>
        <w:t xml:space="preserve">une copie des règlements mentionnés (voir </w:t>
      </w:r>
      <w:r>
        <w:rPr>
          <w:lang w:val="fr-FR"/>
        </w:rPr>
        <w:t xml:space="preserve">les </w:t>
      </w:r>
      <w:r w:rsidRPr="00DA17AA">
        <w:rPr>
          <w:lang w:val="fr-FR"/>
        </w:rPr>
        <w:t>par</w:t>
      </w:r>
      <w:r>
        <w:rPr>
          <w:lang w:val="fr-FR"/>
        </w:rPr>
        <w:t>agraphes</w:t>
      </w:r>
      <w:r w:rsidR="0091747B">
        <w:rPr>
          <w:lang w:val="fr-FR"/>
        </w:rPr>
        <w:t> </w:t>
      </w:r>
      <w:r w:rsidRPr="00DA17AA">
        <w:rPr>
          <w:lang w:val="fr-FR"/>
        </w:rPr>
        <w:t>5.2.1, 5.2.1.1 et 5.2.2 de l</w:t>
      </w:r>
      <w:r>
        <w:rPr>
          <w:lang w:val="fr-FR"/>
        </w:rPr>
        <w:t>’</w:t>
      </w:r>
      <w:r w:rsidRPr="00DA17AA">
        <w:rPr>
          <w:lang w:val="fr-FR"/>
        </w:rPr>
        <w:t>article</w:t>
      </w:r>
      <w:r w:rsidR="0091747B">
        <w:rPr>
          <w:lang w:val="fr-FR"/>
        </w:rPr>
        <w:t> </w:t>
      </w:r>
      <w:r w:rsidRPr="00DA17AA">
        <w:rPr>
          <w:lang w:val="fr-FR"/>
        </w:rPr>
        <w:t>5 de l</w:t>
      </w:r>
      <w:r>
        <w:rPr>
          <w:lang w:val="fr-FR"/>
        </w:rPr>
        <w:t>’</w:t>
      </w:r>
      <w:r w:rsidRPr="00DA17AA">
        <w:rPr>
          <w:lang w:val="fr-FR"/>
        </w:rPr>
        <w:t>Accord de 1998).</w:t>
      </w:r>
    </w:p>
    <w:p w14:paraId="1378E25C" w14:textId="0BF0A517" w:rsidR="009573DB" w:rsidRDefault="009573DB" w:rsidP="009573DB">
      <w:pPr>
        <w:rPr>
          <w:lang w:val="fr-FR"/>
        </w:rPr>
      </w:pPr>
      <w:r>
        <w:rPr>
          <w:lang w:val="fr-FR"/>
        </w:rPr>
        <w:br w:type="page"/>
      </w:r>
    </w:p>
    <w:p w14:paraId="68E9AAA7" w14:textId="34E726C5" w:rsidR="009573DB" w:rsidRPr="00DA17AA" w:rsidRDefault="009573DB" w:rsidP="009573DB">
      <w:pPr>
        <w:pStyle w:val="HChG"/>
        <w:rPr>
          <w:lang w:val="fr-FR"/>
        </w:rPr>
      </w:pPr>
      <w:r w:rsidRPr="00DA17AA">
        <w:rPr>
          <w:lang w:val="fr-FR"/>
        </w:rPr>
        <w:lastRenderedPageBreak/>
        <w:tab/>
      </w:r>
      <w:r w:rsidRPr="00DA17AA">
        <w:rPr>
          <w:lang w:val="fr-FR"/>
        </w:rPr>
        <w:tab/>
        <w:t>Demande d</w:t>
      </w:r>
      <w:r>
        <w:rPr>
          <w:lang w:val="fr-FR"/>
        </w:rPr>
        <w:t>’</w:t>
      </w:r>
      <w:r w:rsidRPr="00DA17AA">
        <w:rPr>
          <w:lang w:val="fr-FR"/>
        </w:rPr>
        <w:t xml:space="preserve">inscription de la procédure de contrôle </w:t>
      </w:r>
      <w:r>
        <w:rPr>
          <w:lang w:val="fr-FR"/>
        </w:rPr>
        <w:br/>
      </w:r>
      <w:r w:rsidRPr="00DA17AA">
        <w:rPr>
          <w:lang w:val="fr-FR"/>
        </w:rPr>
        <w:t>de</w:t>
      </w:r>
      <w:r>
        <w:rPr>
          <w:lang w:val="fr-FR"/>
        </w:rPr>
        <w:t xml:space="preserve"> </w:t>
      </w:r>
      <w:r w:rsidRPr="00DA17AA">
        <w:rPr>
          <w:lang w:val="fr-FR"/>
        </w:rPr>
        <w:t>la</w:t>
      </w:r>
      <w:r>
        <w:rPr>
          <w:lang w:val="fr-FR"/>
        </w:rPr>
        <w:t xml:space="preserve"> </w:t>
      </w:r>
      <w:r w:rsidRPr="00DA17AA">
        <w:rPr>
          <w:lang w:val="fr-FR"/>
        </w:rPr>
        <w:t>durabilité</w:t>
      </w:r>
      <w:r>
        <w:rPr>
          <w:lang w:val="fr-FR"/>
        </w:rPr>
        <w:t xml:space="preserve"> </w:t>
      </w:r>
      <w:r w:rsidRPr="00C12F11">
        <w:rPr>
          <w:lang w:val="fr-FR"/>
        </w:rPr>
        <w:t xml:space="preserve">des véhicules </w:t>
      </w:r>
      <w:r>
        <w:rPr>
          <w:lang w:val="fr-FR"/>
        </w:rPr>
        <w:t>dans le</w:t>
      </w:r>
      <w:r w:rsidRPr="00DA17AA">
        <w:rPr>
          <w:lang w:val="fr-FR"/>
        </w:rPr>
        <w:t xml:space="preserve"> Recueil des</w:t>
      </w:r>
      <w:r>
        <w:rPr>
          <w:lang w:val="fr-FR"/>
        </w:rPr>
        <w:t> RTM </w:t>
      </w:r>
      <w:r w:rsidRPr="00DA17AA">
        <w:rPr>
          <w:lang w:val="fr-FR"/>
        </w:rPr>
        <w:t>admissibles</w:t>
      </w:r>
    </w:p>
    <w:p w14:paraId="6744A5CD" w14:textId="05C094FA" w:rsidR="009573DB" w:rsidRPr="00DA17AA" w:rsidRDefault="009573DB" w:rsidP="009573DB">
      <w:pPr>
        <w:pStyle w:val="SingleTxtG"/>
        <w:rPr>
          <w:lang w:val="fr-FR"/>
        </w:rPr>
      </w:pPr>
      <w:r w:rsidRPr="00DA17AA">
        <w:rPr>
          <w:lang w:val="fr-FR"/>
        </w:rPr>
        <w:t>1.</w:t>
      </w:r>
      <w:r w:rsidRPr="00DA17AA">
        <w:rPr>
          <w:lang w:val="fr-FR"/>
        </w:rPr>
        <w:tab/>
        <w:t>Le Japon demande l</w:t>
      </w:r>
      <w:r>
        <w:rPr>
          <w:lang w:val="fr-FR"/>
        </w:rPr>
        <w:t>’</w:t>
      </w:r>
      <w:r w:rsidRPr="00DA17AA">
        <w:rPr>
          <w:lang w:val="fr-FR"/>
        </w:rPr>
        <w:t>inscription dans le Recueil des RTM admissibles de la procédure de contrôle de la durabilité des véhicules du Japon.</w:t>
      </w:r>
    </w:p>
    <w:p w14:paraId="4F99A135" w14:textId="22C72205" w:rsidR="009573DB" w:rsidRPr="00DA17AA" w:rsidRDefault="009573DB" w:rsidP="009573DB">
      <w:pPr>
        <w:pStyle w:val="HChG"/>
        <w:rPr>
          <w:lang w:val="fr-FR"/>
        </w:rPr>
      </w:pPr>
      <w:r>
        <w:rPr>
          <w:lang w:val="fr-FR"/>
        </w:rPr>
        <w:tab/>
      </w:r>
      <w:r w:rsidRPr="00DA17AA">
        <w:rPr>
          <w:lang w:val="fr-FR"/>
        </w:rPr>
        <w:t>I.</w:t>
      </w:r>
      <w:r w:rsidRPr="00DA17AA">
        <w:rPr>
          <w:lang w:val="fr-FR"/>
        </w:rPr>
        <w:tab/>
        <w:t>Contexte</w:t>
      </w:r>
    </w:p>
    <w:p w14:paraId="53CA5222" w14:textId="4C70D41C" w:rsidR="009573DB" w:rsidRPr="00DA17AA" w:rsidRDefault="009573DB" w:rsidP="009573DB">
      <w:pPr>
        <w:pStyle w:val="SingleTxtG"/>
        <w:rPr>
          <w:lang w:val="fr-FR"/>
        </w:rPr>
      </w:pPr>
      <w:r w:rsidRPr="00DA17AA">
        <w:rPr>
          <w:lang w:val="fr-FR"/>
        </w:rPr>
        <w:t>2.</w:t>
      </w:r>
      <w:r w:rsidRPr="00DA17AA">
        <w:rPr>
          <w:lang w:val="fr-FR"/>
        </w:rPr>
        <w:tab/>
      </w:r>
      <w:r>
        <w:rPr>
          <w:lang w:val="fr-FR"/>
        </w:rPr>
        <w:t xml:space="preserve">Pour donner suite </w:t>
      </w:r>
      <w:r w:rsidRPr="00DA17AA">
        <w:rPr>
          <w:lang w:val="fr-FR"/>
        </w:rPr>
        <w:t>à une demande du Ministre japonais de l</w:t>
      </w:r>
      <w:r>
        <w:rPr>
          <w:lang w:val="fr-FR"/>
        </w:rPr>
        <w:t>’</w:t>
      </w:r>
      <w:r w:rsidRPr="00DA17AA">
        <w:rPr>
          <w:lang w:val="fr-FR"/>
        </w:rPr>
        <w:t>environnement en date du 21</w:t>
      </w:r>
      <w:r>
        <w:rPr>
          <w:lang w:val="fr-FR"/>
        </w:rPr>
        <w:t> </w:t>
      </w:r>
      <w:r w:rsidRPr="00DA17AA">
        <w:rPr>
          <w:lang w:val="fr-FR"/>
        </w:rPr>
        <w:t>mai 1996, plusieurs rapports ont été successivement rédigés par le Conseil central de l</w:t>
      </w:r>
      <w:r>
        <w:rPr>
          <w:lang w:val="fr-FR"/>
        </w:rPr>
        <w:t>’</w:t>
      </w:r>
      <w:r w:rsidRPr="00DA17AA">
        <w:rPr>
          <w:lang w:val="fr-FR"/>
        </w:rPr>
        <w:t>environnement, depuis le rapport d</w:t>
      </w:r>
      <w:r>
        <w:rPr>
          <w:lang w:val="fr-FR"/>
        </w:rPr>
        <w:t>’</w:t>
      </w:r>
      <w:r w:rsidRPr="00DA17AA">
        <w:rPr>
          <w:lang w:val="fr-FR"/>
        </w:rPr>
        <w:t>étape de 1996 jusqu</w:t>
      </w:r>
      <w:r>
        <w:rPr>
          <w:lang w:val="fr-FR"/>
        </w:rPr>
        <w:t>’</w:t>
      </w:r>
      <w:r w:rsidRPr="00DA17AA">
        <w:rPr>
          <w:lang w:val="fr-FR"/>
        </w:rPr>
        <w:t xml:space="preserve">au douzième rapport de 2015, </w:t>
      </w:r>
      <w:r>
        <w:rPr>
          <w:lang w:val="fr-FR"/>
        </w:rPr>
        <w:t>en vue</w:t>
      </w:r>
      <w:r w:rsidRPr="00DA17AA">
        <w:rPr>
          <w:lang w:val="fr-FR"/>
        </w:rPr>
        <w:t xml:space="preserve"> de renforcer progressivement la réglementation des émissions des véhicules à moteur. Dans le treizième rapport, en date du 31 mai 2017, une des principales questions abordées traite des mesures visant à réduire les émissions des véhicules à deux roues.</w:t>
      </w:r>
    </w:p>
    <w:p w14:paraId="13BDC110" w14:textId="5E676335" w:rsidR="009573DB" w:rsidRPr="00DA17AA" w:rsidRDefault="009573DB" w:rsidP="009573DB">
      <w:pPr>
        <w:pStyle w:val="SingleTxtG"/>
        <w:rPr>
          <w:lang w:val="fr-FR"/>
        </w:rPr>
      </w:pPr>
      <w:r w:rsidRPr="00DA17AA">
        <w:rPr>
          <w:lang w:val="fr-FR"/>
        </w:rPr>
        <w:t>3.</w:t>
      </w:r>
      <w:r w:rsidRPr="00DA17AA">
        <w:rPr>
          <w:lang w:val="fr-FR"/>
        </w:rPr>
        <w:tab/>
        <w:t>Il a été indiqué que la durabilité en termes de kilométrage était renf</w:t>
      </w:r>
      <w:r>
        <w:rPr>
          <w:lang w:val="fr-FR"/>
        </w:rPr>
        <w:t>o</w:t>
      </w:r>
      <w:r w:rsidRPr="00DA17AA">
        <w:rPr>
          <w:lang w:val="fr-FR"/>
        </w:rPr>
        <w:t xml:space="preserve">rcée de façon à atteindre le même niveau que dans la réglementation Euro5. La date </w:t>
      </w:r>
      <w:r>
        <w:rPr>
          <w:lang w:val="fr-FR"/>
        </w:rPr>
        <w:t>d</w:t>
      </w:r>
      <w:r>
        <w:rPr>
          <w:lang w:val="fr-FR"/>
        </w:rPr>
        <w:t>’</w:t>
      </w:r>
      <w:r>
        <w:rPr>
          <w:lang w:val="fr-FR"/>
        </w:rPr>
        <w:t>entrée en vigueur</w:t>
      </w:r>
      <w:r w:rsidRPr="00DA17AA">
        <w:rPr>
          <w:lang w:val="fr-FR"/>
        </w:rPr>
        <w:t xml:space="preserve"> est également alignée sur celle de la réglementation Euro5.</w:t>
      </w:r>
    </w:p>
    <w:p w14:paraId="71A44D10" w14:textId="582662D6" w:rsidR="009573DB" w:rsidRPr="00DA17AA" w:rsidRDefault="009573DB" w:rsidP="009573DB">
      <w:pPr>
        <w:pStyle w:val="SingleTxtG"/>
        <w:rPr>
          <w:lang w:val="fr-FR"/>
        </w:rPr>
      </w:pPr>
      <w:r w:rsidRPr="00DA17AA">
        <w:rPr>
          <w:lang w:val="fr-FR"/>
        </w:rPr>
        <w:t>4.</w:t>
      </w:r>
      <w:r w:rsidRPr="00DA17AA">
        <w:rPr>
          <w:lang w:val="fr-FR"/>
        </w:rPr>
        <w:tab/>
        <w:t>Sur la base du treizième rapport du Conseil central de l</w:t>
      </w:r>
      <w:r>
        <w:rPr>
          <w:lang w:val="fr-FR"/>
        </w:rPr>
        <w:t>’</w:t>
      </w:r>
      <w:r w:rsidRPr="00DA17AA">
        <w:rPr>
          <w:lang w:val="fr-FR"/>
        </w:rPr>
        <w:t>environnement, le Ministère du territoire, des infrastructures, des transports et du tourisme a renforcé la réglementation en conséquence.</w:t>
      </w:r>
    </w:p>
    <w:p w14:paraId="472D5F3D" w14:textId="77777777" w:rsidR="009573DB" w:rsidRPr="00DA17AA" w:rsidRDefault="009573DB" w:rsidP="009573DB">
      <w:pPr>
        <w:pStyle w:val="HChG"/>
        <w:rPr>
          <w:lang w:val="fr-FR"/>
        </w:rPr>
      </w:pPr>
      <w:r>
        <w:rPr>
          <w:lang w:val="fr-FR"/>
        </w:rPr>
        <w:tab/>
      </w:r>
      <w:r w:rsidRPr="00DA17AA">
        <w:rPr>
          <w:lang w:val="fr-FR"/>
        </w:rPr>
        <w:t>II.</w:t>
      </w:r>
      <w:r w:rsidRPr="00DA17AA">
        <w:rPr>
          <w:lang w:val="fr-FR"/>
        </w:rPr>
        <w:tab/>
        <w:t>Description du Règlement</w:t>
      </w:r>
    </w:p>
    <w:p w14:paraId="32AB8DE3" w14:textId="53D88880" w:rsidR="009573DB" w:rsidRPr="00DA17AA" w:rsidRDefault="009573DB" w:rsidP="009573DB">
      <w:pPr>
        <w:pStyle w:val="SingleTxtG"/>
        <w:rPr>
          <w:lang w:val="fr-FR"/>
        </w:rPr>
      </w:pPr>
      <w:r w:rsidRPr="00DA17AA">
        <w:rPr>
          <w:lang w:val="fr-FR"/>
        </w:rPr>
        <w:t>5.</w:t>
      </w:r>
      <w:r w:rsidRPr="00DA17AA">
        <w:rPr>
          <w:lang w:val="fr-FR"/>
        </w:rPr>
        <w:tab/>
        <w:t>Plan d</w:t>
      </w:r>
      <w:r>
        <w:rPr>
          <w:lang w:val="fr-FR"/>
        </w:rPr>
        <w:t>’</w:t>
      </w:r>
      <w:r w:rsidRPr="00DA17AA">
        <w:rPr>
          <w:lang w:val="fr-FR"/>
        </w:rPr>
        <w:t>ensemble</w:t>
      </w:r>
    </w:p>
    <w:p w14:paraId="29FA0899" w14:textId="029B6795" w:rsidR="009573DB" w:rsidRDefault="009573DB" w:rsidP="009573DB">
      <w:pPr>
        <w:pStyle w:val="SingleTxtG"/>
        <w:ind w:left="1701"/>
        <w:rPr>
          <w:lang w:val="fr-FR"/>
        </w:rPr>
      </w:pPr>
      <w:r w:rsidRPr="00DA17AA">
        <w:rPr>
          <w:lang w:val="fr-FR"/>
        </w:rPr>
        <w:t>a)</w:t>
      </w:r>
      <w:r w:rsidRPr="00DA17AA">
        <w:rPr>
          <w:lang w:val="fr-FR"/>
        </w:rPr>
        <w:tab/>
        <w:t>Durabilité en termes de kilométrage</w:t>
      </w:r>
      <w:r>
        <w:rPr>
          <w:lang w:val="fr-FR"/>
        </w:rPr>
        <w:t> :</w:t>
      </w:r>
    </w:p>
    <w:tbl>
      <w:tblPr>
        <w:tblW w:w="7087" w:type="dxa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394"/>
      </w:tblGrid>
      <w:tr w:rsidR="009573DB" w:rsidRPr="006035CE" w14:paraId="05F6B3E5" w14:textId="77777777" w:rsidTr="005D3B41">
        <w:trPr>
          <w:trHeight w:val="265"/>
        </w:trPr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74C4C8" w14:textId="77777777" w:rsidR="009573DB" w:rsidRPr="00C12F11" w:rsidRDefault="009573DB" w:rsidP="005D3B41">
            <w:pPr>
              <w:keepNext/>
              <w:keepLines/>
              <w:spacing w:before="80" w:after="80" w:line="200" w:lineRule="exact"/>
              <w:ind w:left="142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C12F11">
              <w:rPr>
                <w:i/>
                <w:iCs/>
                <w:sz w:val="16"/>
                <w:szCs w:val="16"/>
                <w:lang w:val="fr-FR"/>
              </w:rPr>
              <w:t>Classement des véhicules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AE1208" w14:textId="77777777" w:rsidR="009573DB" w:rsidRPr="00C12F11" w:rsidRDefault="009573DB" w:rsidP="005D3B41">
            <w:pPr>
              <w:pStyle w:val="NormalWeb"/>
              <w:keepNext/>
              <w:keepLines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C12F11">
              <w:rPr>
                <w:i/>
                <w:iCs/>
                <w:sz w:val="16"/>
                <w:szCs w:val="16"/>
                <w:lang w:val="fr-FR"/>
              </w:rPr>
              <w:t>Durabilité en termes de kilométrage (km)</w:t>
            </w:r>
          </w:p>
        </w:tc>
      </w:tr>
      <w:tr w:rsidR="009573DB" w:rsidRPr="00C12F11" w14:paraId="50264435" w14:textId="77777777" w:rsidTr="005D3B41">
        <w:trPr>
          <w:trHeight w:val="584"/>
        </w:trPr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4601CC0" w14:textId="46747A3C" w:rsidR="009573DB" w:rsidRPr="00C12F11" w:rsidRDefault="009573DB" w:rsidP="005D3B41">
            <w:pPr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C12F11">
              <w:rPr>
                <w:sz w:val="18"/>
                <w:szCs w:val="18"/>
                <w:lang w:val="fr-FR"/>
              </w:rPr>
              <w:t>Cyclomoteurs</w:t>
            </w:r>
            <w:r>
              <w:rPr>
                <w:sz w:val="18"/>
                <w:szCs w:val="18"/>
                <w:lang w:val="fr-FR"/>
              </w:rPr>
              <w:t>i</w:t>
            </w:r>
            <w:r>
              <w:rPr>
                <w:sz w:val="18"/>
                <w:szCs w:val="18"/>
                <w:vertAlign w:val="superscript"/>
                <w:lang w:val="fr-FR"/>
              </w:rPr>
              <w:t>i</w:t>
            </w:r>
            <w:proofErr w:type="spellEnd"/>
            <w:r w:rsidRPr="00C12F11">
              <w:rPr>
                <w:sz w:val="18"/>
                <w:szCs w:val="18"/>
                <w:vertAlign w:val="superscript"/>
                <w:lang w:val="fr-FR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63BD34E" w14:textId="77777777" w:rsidR="009573DB" w:rsidRPr="00C12F11" w:rsidRDefault="009573DB" w:rsidP="005D3B41">
            <w:pPr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12F11">
              <w:rPr>
                <w:sz w:val="18"/>
                <w:szCs w:val="18"/>
                <w:lang w:val="fr-FR"/>
              </w:rPr>
              <w:t>6 000</w:t>
            </w:r>
          </w:p>
        </w:tc>
      </w:tr>
      <w:tr w:rsidR="009573DB" w:rsidRPr="00C12F11" w14:paraId="75013F4F" w14:textId="77777777" w:rsidTr="005D3B41">
        <w:trPr>
          <w:trHeight w:val="584"/>
        </w:trPr>
        <w:tc>
          <w:tcPr>
            <w:tcW w:w="2693" w:type="dxa"/>
            <w:shd w:val="clear" w:color="auto" w:fill="auto"/>
            <w:vAlign w:val="center"/>
            <w:hideMark/>
          </w:tcPr>
          <w:p w14:paraId="67137C2B" w14:textId="77777777" w:rsidR="009573DB" w:rsidRPr="00C12F11" w:rsidRDefault="009573DB" w:rsidP="005D3B41">
            <w:pPr>
              <w:pStyle w:val="NormalWeb"/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12F11">
              <w:rPr>
                <w:sz w:val="18"/>
                <w:szCs w:val="18"/>
                <w:lang w:val="fr-FR"/>
              </w:rPr>
              <w:t>Classe 1</w:t>
            </w:r>
            <w:r>
              <w:rPr>
                <w:sz w:val="18"/>
                <w:szCs w:val="18"/>
                <w:vertAlign w:val="superscript"/>
                <w:lang w:val="fr-FR"/>
              </w:rPr>
              <w:t>ii</w:t>
            </w:r>
            <w:r w:rsidRPr="00C12F11">
              <w:rPr>
                <w:sz w:val="18"/>
                <w:szCs w:val="18"/>
                <w:vertAlign w:val="superscript"/>
                <w:lang w:val="fr-FR"/>
              </w:rPr>
              <w:t>)</w:t>
            </w:r>
            <w:r w:rsidRPr="00C12F11">
              <w:rPr>
                <w:sz w:val="18"/>
                <w:szCs w:val="18"/>
                <w:lang w:val="fr-FR"/>
              </w:rPr>
              <w:t xml:space="preserve"> et classe 2</w:t>
            </w:r>
            <w:r>
              <w:rPr>
                <w:sz w:val="18"/>
                <w:szCs w:val="18"/>
                <w:vertAlign w:val="superscript"/>
                <w:lang w:val="fr-FR"/>
              </w:rPr>
              <w:t>iii</w:t>
            </w:r>
            <w:r w:rsidRPr="00C12F11">
              <w:rPr>
                <w:sz w:val="18"/>
                <w:szCs w:val="18"/>
                <w:vertAlign w:val="superscript"/>
                <w:lang w:val="fr-FR"/>
              </w:rPr>
              <w:t>)</w:t>
            </w:r>
          </w:p>
          <w:p w14:paraId="718F726E" w14:textId="77777777" w:rsidR="009573DB" w:rsidRPr="00C12F11" w:rsidRDefault="009573DB" w:rsidP="005D3B41">
            <w:pPr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25ECFC" w14:textId="77777777" w:rsidR="009573DB" w:rsidRPr="00C12F11" w:rsidRDefault="009573DB" w:rsidP="005D3B41">
            <w:pPr>
              <w:pStyle w:val="Paragraphedeliste"/>
              <w:keepNext/>
              <w:keepLines/>
              <w:spacing w:before="40" w:after="120" w:line="220" w:lineRule="exact"/>
              <w:ind w:left="0"/>
              <w:jc w:val="center"/>
              <w:rPr>
                <w:rFonts w:ascii="Times New Roman" w:eastAsia="HGMaruGothicMPRO" w:hAnsi="Times New Roman"/>
                <w:color w:val="000000"/>
                <w:kern w:val="24"/>
                <w:sz w:val="18"/>
                <w:szCs w:val="18"/>
                <w:lang w:val="fr-FR"/>
              </w:rPr>
            </w:pPr>
            <w:r w:rsidRPr="00C12F11">
              <w:rPr>
                <w:rFonts w:ascii="Times New Roman" w:hAnsi="Times New Roman"/>
                <w:sz w:val="18"/>
                <w:szCs w:val="18"/>
                <w:lang w:val="fr-FR"/>
              </w:rPr>
              <w:t>20 000</w:t>
            </w:r>
          </w:p>
        </w:tc>
      </w:tr>
      <w:tr w:rsidR="009573DB" w:rsidRPr="00C12F11" w14:paraId="01EB0BB7" w14:textId="77777777" w:rsidTr="005D3B41">
        <w:trPr>
          <w:trHeight w:val="584"/>
        </w:trPr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E6A9A4" w14:textId="77777777" w:rsidR="009573DB" w:rsidRPr="00C12F11" w:rsidRDefault="009573DB" w:rsidP="005D3B41">
            <w:pPr>
              <w:spacing w:before="40" w:after="12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12F11">
              <w:rPr>
                <w:sz w:val="18"/>
                <w:szCs w:val="18"/>
                <w:lang w:val="fr-FR"/>
              </w:rPr>
              <w:t>Classe 3</w:t>
            </w:r>
            <w:r>
              <w:rPr>
                <w:sz w:val="18"/>
                <w:szCs w:val="18"/>
                <w:vertAlign w:val="superscript"/>
                <w:lang w:val="fr-FR"/>
              </w:rPr>
              <w:t>iv</w:t>
            </w:r>
            <w:r w:rsidRPr="00C12F11">
              <w:rPr>
                <w:sz w:val="18"/>
                <w:szCs w:val="18"/>
                <w:vertAlign w:val="superscript"/>
                <w:lang w:val="fr-FR"/>
              </w:rPr>
              <w:t>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B06E0CD" w14:textId="77777777" w:rsidR="009573DB" w:rsidRPr="00C12F11" w:rsidRDefault="009573DB" w:rsidP="005D3B41">
            <w:pPr>
              <w:pStyle w:val="Paragraphedeliste"/>
              <w:spacing w:before="40" w:after="120" w:line="220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12F11">
              <w:rPr>
                <w:rFonts w:ascii="Times New Roman" w:hAnsi="Times New Roman"/>
                <w:sz w:val="18"/>
                <w:szCs w:val="18"/>
                <w:lang w:val="fr-FR"/>
              </w:rPr>
              <w:t>35 000</w:t>
            </w:r>
          </w:p>
        </w:tc>
      </w:tr>
    </w:tbl>
    <w:p w14:paraId="702D99D1" w14:textId="77777777" w:rsidR="009573DB" w:rsidRPr="009573DB" w:rsidRDefault="009573DB" w:rsidP="009573DB">
      <w:pPr>
        <w:pStyle w:val="SingleTxtG"/>
        <w:tabs>
          <w:tab w:val="left" w:pos="1985"/>
        </w:tabs>
        <w:spacing w:before="120" w:after="0" w:line="220" w:lineRule="atLeast"/>
        <w:ind w:left="1588" w:firstLine="113"/>
        <w:rPr>
          <w:sz w:val="18"/>
          <w:szCs w:val="18"/>
          <w:lang w:val="fr-FR"/>
        </w:rPr>
      </w:pPr>
      <w:r w:rsidRPr="009573DB">
        <w:rPr>
          <w:sz w:val="18"/>
          <w:szCs w:val="18"/>
          <w:vertAlign w:val="superscript"/>
          <w:lang w:val="fr-FR"/>
        </w:rPr>
        <w:t>i)</w:t>
      </w:r>
      <w:r w:rsidRPr="009573DB">
        <w:rPr>
          <w:sz w:val="18"/>
          <w:szCs w:val="18"/>
          <w:lang w:val="fr-FR"/>
        </w:rPr>
        <w:tab/>
        <w:t>Véhicules à deux roues dont la cylindrée du moteur est inférieure ou égale à 0,050 litre et dont la vitesse maximale est inférieure ou égale à 50 km/h.</w:t>
      </w:r>
    </w:p>
    <w:p w14:paraId="2072C75C" w14:textId="77777777" w:rsidR="009573DB" w:rsidRPr="009573DB" w:rsidRDefault="009573DB" w:rsidP="009573DB">
      <w:pPr>
        <w:pStyle w:val="SingleTxtG"/>
        <w:tabs>
          <w:tab w:val="left" w:pos="1985"/>
        </w:tabs>
        <w:spacing w:after="0" w:line="220" w:lineRule="atLeast"/>
        <w:ind w:left="1588" w:firstLine="113"/>
        <w:rPr>
          <w:sz w:val="18"/>
          <w:szCs w:val="18"/>
          <w:lang w:val="fr-FR"/>
        </w:rPr>
      </w:pPr>
      <w:r w:rsidRPr="009573DB">
        <w:rPr>
          <w:sz w:val="18"/>
          <w:szCs w:val="18"/>
          <w:lang w:val="fr-FR"/>
        </w:rPr>
        <w:t>ii)</w:t>
      </w:r>
      <w:r w:rsidRPr="009573DB">
        <w:rPr>
          <w:sz w:val="18"/>
          <w:szCs w:val="18"/>
          <w:lang w:val="fr-FR"/>
        </w:rPr>
        <w:tab/>
        <w:t>Véhicules à deux roues dont la cylindrée du moteur est supérieure à 0,050 litre et inférieure à 0,150 litre et dont la vitesse maximale est supérieure à 50 km/h et inférieure à 100 km/h.</w:t>
      </w:r>
    </w:p>
    <w:p w14:paraId="6E56E591" w14:textId="77777777" w:rsidR="009573DB" w:rsidRPr="009573DB" w:rsidRDefault="009573DB" w:rsidP="009573DB">
      <w:pPr>
        <w:pStyle w:val="SingleTxtG"/>
        <w:tabs>
          <w:tab w:val="left" w:pos="1985"/>
        </w:tabs>
        <w:spacing w:after="0" w:line="220" w:lineRule="atLeast"/>
        <w:ind w:left="1588" w:firstLine="113"/>
        <w:rPr>
          <w:sz w:val="18"/>
          <w:szCs w:val="18"/>
          <w:lang w:val="fr-FR"/>
        </w:rPr>
      </w:pPr>
      <w:r w:rsidRPr="009573DB">
        <w:rPr>
          <w:sz w:val="18"/>
          <w:szCs w:val="18"/>
          <w:lang w:val="fr-FR"/>
        </w:rPr>
        <w:t>iii)</w:t>
      </w:r>
      <w:r w:rsidRPr="009573DB">
        <w:rPr>
          <w:sz w:val="18"/>
          <w:szCs w:val="18"/>
          <w:lang w:val="fr-FR"/>
        </w:rPr>
        <w:tab/>
        <w:t>Véhicules à deux roues dont la cylindrée du moteur est inférieure à 0,150 litre et dont la vitesse maximale est supérieure à 100 km/h et inférieure à 130 km/h, ou véhicules à deux roues dont la cylindrée du moteur est supérieure à 0,150 litre et dont la vitesse maximale est inférieure à 130 km/h.</w:t>
      </w:r>
    </w:p>
    <w:p w14:paraId="16B1E104" w14:textId="77777777" w:rsidR="009573DB" w:rsidRPr="009573DB" w:rsidRDefault="009573DB" w:rsidP="009573DB">
      <w:pPr>
        <w:pStyle w:val="SingleTxtG"/>
        <w:tabs>
          <w:tab w:val="left" w:pos="1985"/>
        </w:tabs>
        <w:spacing w:line="220" w:lineRule="atLeast"/>
        <w:ind w:left="1588" w:firstLine="113"/>
        <w:rPr>
          <w:sz w:val="18"/>
          <w:szCs w:val="18"/>
          <w:lang w:val="fr-FR"/>
        </w:rPr>
      </w:pPr>
      <w:r w:rsidRPr="009573DB">
        <w:rPr>
          <w:sz w:val="18"/>
          <w:szCs w:val="18"/>
          <w:lang w:val="fr-FR"/>
        </w:rPr>
        <w:t>iv)</w:t>
      </w:r>
      <w:r w:rsidRPr="009573DB">
        <w:rPr>
          <w:sz w:val="18"/>
          <w:szCs w:val="18"/>
          <w:lang w:val="fr-FR"/>
        </w:rPr>
        <w:tab/>
        <w:t>Véhicules à deux roues dont la vitesse maximale est égale ou supérieure à 130 km/h.</w:t>
      </w:r>
    </w:p>
    <w:p w14:paraId="41121B50" w14:textId="63656819" w:rsidR="009573DB" w:rsidRPr="00DA17AA" w:rsidRDefault="009573DB" w:rsidP="009573DB">
      <w:pPr>
        <w:pStyle w:val="SingleTxtG"/>
        <w:spacing w:before="240"/>
        <w:ind w:left="1701"/>
        <w:rPr>
          <w:lang w:val="fr-FR"/>
        </w:rPr>
      </w:pPr>
      <w:r w:rsidRPr="00DA17AA">
        <w:rPr>
          <w:lang w:val="fr-FR"/>
        </w:rPr>
        <w:t>b)</w:t>
      </w:r>
      <w:r w:rsidRPr="00DA17AA">
        <w:rPr>
          <w:lang w:val="fr-FR"/>
        </w:rPr>
        <w:tab/>
        <w:t>Procédure d</w:t>
      </w:r>
      <w:r>
        <w:rPr>
          <w:lang w:val="fr-FR"/>
        </w:rPr>
        <w:t>’</w:t>
      </w:r>
      <w:r w:rsidRPr="00DA17AA">
        <w:rPr>
          <w:lang w:val="fr-FR"/>
        </w:rPr>
        <w:t xml:space="preserve">essai de </w:t>
      </w:r>
      <w:r>
        <w:rPr>
          <w:lang w:val="fr-FR"/>
        </w:rPr>
        <w:t xml:space="preserve">la </w:t>
      </w:r>
      <w:r w:rsidRPr="00DA17AA">
        <w:rPr>
          <w:lang w:val="fr-FR"/>
        </w:rPr>
        <w:t>durabilité</w:t>
      </w:r>
      <w:r>
        <w:rPr>
          <w:lang w:val="fr-FR"/>
        </w:rPr>
        <w:t> :</w:t>
      </w:r>
    </w:p>
    <w:p w14:paraId="6EAEA320" w14:textId="5295B957" w:rsidR="009573DB" w:rsidRPr="00DA17AA" w:rsidRDefault="009573DB" w:rsidP="009573DB">
      <w:pPr>
        <w:pStyle w:val="SingleTxtG"/>
        <w:ind w:left="1701"/>
        <w:rPr>
          <w:lang w:val="fr-FR"/>
        </w:rPr>
      </w:pPr>
      <w:r w:rsidRPr="00DA17AA">
        <w:rPr>
          <w:lang w:val="fr-FR"/>
        </w:rPr>
        <w:t>i)</w:t>
      </w:r>
      <w:r w:rsidRPr="00DA17AA">
        <w:rPr>
          <w:lang w:val="fr-FR"/>
        </w:rPr>
        <w:tab/>
        <w:t>Essai de durabilité réelle avec accumulation de kilométrage complet</w:t>
      </w:r>
      <w:r>
        <w:rPr>
          <w:lang w:val="fr-FR"/>
        </w:rPr>
        <w:t> </w:t>
      </w:r>
      <w:r w:rsidRPr="00DA17AA">
        <w:rPr>
          <w:lang w:val="fr-FR"/>
        </w:rPr>
        <w:t>;</w:t>
      </w:r>
    </w:p>
    <w:p w14:paraId="3CB50560" w14:textId="77777777" w:rsidR="009573DB" w:rsidRPr="00DA17AA" w:rsidRDefault="009573DB" w:rsidP="009573DB">
      <w:pPr>
        <w:pStyle w:val="SingleTxtG"/>
        <w:ind w:left="1701"/>
        <w:rPr>
          <w:lang w:val="fr-FR"/>
        </w:rPr>
      </w:pPr>
      <w:r w:rsidRPr="00DA17AA">
        <w:rPr>
          <w:lang w:val="fr-FR"/>
        </w:rPr>
        <w:t>ii)</w:t>
      </w:r>
      <w:r w:rsidRPr="00DA17AA">
        <w:rPr>
          <w:lang w:val="fr-FR"/>
        </w:rPr>
        <w:tab/>
        <w:t xml:space="preserve">Facteur </w:t>
      </w:r>
      <w:r>
        <w:rPr>
          <w:lang w:val="fr-FR"/>
        </w:rPr>
        <w:t>de détérioration</w:t>
      </w:r>
      <w:r w:rsidRPr="00DA17AA">
        <w:rPr>
          <w:lang w:val="fr-FR"/>
        </w:rPr>
        <w:t xml:space="preserve"> </w:t>
      </w:r>
      <w:r>
        <w:rPr>
          <w:lang w:val="fr-FR"/>
        </w:rPr>
        <w:t>en vue de</w:t>
      </w:r>
      <w:r w:rsidRPr="00DA17AA">
        <w:rPr>
          <w:lang w:val="fr-FR"/>
        </w:rPr>
        <w:t xml:space="preserve"> la procédure mathématique de calcul de la durabilité.</w:t>
      </w:r>
    </w:p>
    <w:p w14:paraId="079C0C5E" w14:textId="77777777" w:rsidR="009573DB" w:rsidRPr="00DA17AA" w:rsidRDefault="009573DB" w:rsidP="009573DB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DA17AA">
        <w:rPr>
          <w:lang w:val="fr-FR"/>
        </w:rPr>
        <w:t>III.</w:t>
      </w:r>
      <w:r w:rsidRPr="00DA17AA">
        <w:rPr>
          <w:lang w:val="fr-FR"/>
        </w:rPr>
        <w:tab/>
        <w:t>Documents connexes</w:t>
      </w:r>
    </w:p>
    <w:p w14:paraId="0893397C" w14:textId="1754A391" w:rsidR="009573DB" w:rsidRPr="00DA17AA" w:rsidRDefault="009573DB" w:rsidP="009573DB">
      <w:pPr>
        <w:pStyle w:val="SingleTxtG"/>
        <w:rPr>
          <w:lang w:val="fr-FR"/>
        </w:rPr>
      </w:pPr>
      <w:r w:rsidRPr="00DA17AA">
        <w:rPr>
          <w:lang w:val="fr-FR"/>
        </w:rPr>
        <w:t>6.</w:t>
      </w:r>
      <w:r w:rsidRPr="00DA17AA">
        <w:rPr>
          <w:lang w:val="fr-FR"/>
        </w:rPr>
        <w:tab/>
      </w:r>
      <w:r>
        <w:rPr>
          <w:lang w:val="fr-FR"/>
        </w:rPr>
        <w:t>« </w:t>
      </w:r>
      <w:r w:rsidRPr="00DA17AA">
        <w:rPr>
          <w:lang w:val="fr-FR"/>
        </w:rPr>
        <w:t>Dispositions relatives au fonctionnement des véhicules à moteur à soumettre à l</w:t>
      </w:r>
      <w:r>
        <w:rPr>
          <w:lang w:val="fr-FR"/>
        </w:rPr>
        <w:t>’</w:t>
      </w:r>
      <w:r w:rsidRPr="00DA17AA">
        <w:rPr>
          <w:lang w:val="fr-FR"/>
        </w:rPr>
        <w:t>Office national des technologies de l</w:t>
      </w:r>
      <w:r>
        <w:rPr>
          <w:lang w:val="fr-FR"/>
        </w:rPr>
        <w:t>’</w:t>
      </w:r>
      <w:r w:rsidRPr="00DA17AA">
        <w:rPr>
          <w:lang w:val="fr-FR"/>
        </w:rPr>
        <w:t>automobile et des transports terrestres en vertu du paragraphe 1 de l</w:t>
      </w:r>
      <w:r>
        <w:rPr>
          <w:lang w:val="fr-FR"/>
        </w:rPr>
        <w:t>’</w:t>
      </w:r>
      <w:r w:rsidRPr="00DA17AA">
        <w:rPr>
          <w:lang w:val="fr-FR"/>
        </w:rPr>
        <w:t xml:space="preserve">article 3 du règlement </w:t>
      </w:r>
      <w:r>
        <w:rPr>
          <w:lang w:val="fr-FR"/>
        </w:rPr>
        <w:t>relatif à</w:t>
      </w:r>
      <w:r w:rsidRPr="00DA17AA">
        <w:rPr>
          <w:lang w:val="fr-FR"/>
        </w:rPr>
        <w:t xml:space="preserve"> la désignation des types de véhicules à moteur </w:t>
      </w:r>
      <w:r>
        <w:rPr>
          <w:lang w:val="fr-FR"/>
        </w:rPr>
        <w:t>et aux</w:t>
      </w:r>
      <w:r w:rsidRPr="00DA17AA">
        <w:rPr>
          <w:lang w:val="fr-FR"/>
        </w:rPr>
        <w:t xml:space="preserve"> véhicules à moteur spécifiés par le Ministre de l</w:t>
      </w:r>
      <w:r>
        <w:rPr>
          <w:lang w:val="fr-FR"/>
        </w:rPr>
        <w:t>’</w:t>
      </w:r>
      <w:r w:rsidRPr="00DA17AA">
        <w:rPr>
          <w:lang w:val="fr-FR"/>
        </w:rPr>
        <w:t xml:space="preserve">aménagement du territoire, des infrastructures, des transports et du tourisme </w:t>
      </w:r>
      <w:r>
        <w:rPr>
          <w:lang w:val="fr-FR"/>
        </w:rPr>
        <w:t>ainsi qu</w:t>
      </w:r>
      <w:r>
        <w:rPr>
          <w:lang w:val="fr-FR"/>
        </w:rPr>
        <w:t>’</w:t>
      </w:r>
      <w:r>
        <w:rPr>
          <w:lang w:val="fr-FR"/>
        </w:rPr>
        <w:t>aux</w:t>
      </w:r>
      <w:r w:rsidRPr="00DA17AA">
        <w:rPr>
          <w:lang w:val="fr-FR"/>
        </w:rPr>
        <w:t xml:space="preserve"> documents spécifiés par le Ministre de l</w:t>
      </w:r>
      <w:r>
        <w:rPr>
          <w:lang w:val="fr-FR"/>
        </w:rPr>
        <w:t>’</w:t>
      </w:r>
      <w:r w:rsidRPr="00DA17AA">
        <w:rPr>
          <w:lang w:val="fr-FR"/>
        </w:rPr>
        <w:t>aménagement du territoire, des infrastructures, des transports et du tourisme en vertu du paragraphe 4 du même article</w:t>
      </w:r>
      <w:r>
        <w:rPr>
          <w:lang w:val="fr-FR"/>
        </w:rPr>
        <w:t> »</w:t>
      </w:r>
      <w:r w:rsidRPr="00DA17AA">
        <w:rPr>
          <w:lang w:val="fr-FR"/>
        </w:rPr>
        <w:t>.</w:t>
      </w:r>
    </w:p>
    <w:p w14:paraId="1310FA87" w14:textId="59373529" w:rsidR="009573DB" w:rsidRPr="00DA17AA" w:rsidRDefault="009573DB" w:rsidP="009573DB">
      <w:pPr>
        <w:pStyle w:val="SingleTxtG"/>
        <w:rPr>
          <w:lang w:val="fr-FR"/>
        </w:rPr>
      </w:pPr>
      <w:r w:rsidRPr="00DA17AA">
        <w:rPr>
          <w:lang w:val="fr-FR"/>
        </w:rPr>
        <w:t>7.</w:t>
      </w:r>
      <w:r w:rsidRPr="00DA17AA">
        <w:rPr>
          <w:lang w:val="fr-FR"/>
        </w:rPr>
        <w:tab/>
      </w:r>
      <w:r>
        <w:rPr>
          <w:lang w:val="fr-FR"/>
        </w:rPr>
        <w:t>« </w:t>
      </w:r>
      <w:r w:rsidRPr="00DA17AA">
        <w:rPr>
          <w:lang w:val="fr-FR"/>
        </w:rPr>
        <w:t>Procédure d</w:t>
      </w:r>
      <w:r>
        <w:rPr>
          <w:lang w:val="fr-FR"/>
        </w:rPr>
        <w:t>’</w:t>
      </w:r>
      <w:r w:rsidRPr="00DA17AA">
        <w:rPr>
          <w:lang w:val="fr-FR"/>
        </w:rPr>
        <w:t>application de l</w:t>
      </w:r>
      <w:r>
        <w:rPr>
          <w:lang w:val="fr-FR"/>
        </w:rPr>
        <w:t>’</w:t>
      </w:r>
      <w:r w:rsidRPr="00DA17AA">
        <w:rPr>
          <w:lang w:val="fr-FR"/>
        </w:rPr>
        <w:t>homologation des véhicules à moteur, annexe 3</w:t>
      </w:r>
      <w:r>
        <w:rPr>
          <w:lang w:val="fr-FR"/>
        </w:rPr>
        <w:t> </w:t>
      </w:r>
      <w:r w:rsidRPr="00DA17AA">
        <w:rPr>
          <w:lang w:val="fr-FR"/>
        </w:rPr>
        <w:t>: procédure d</w:t>
      </w:r>
      <w:r>
        <w:rPr>
          <w:lang w:val="fr-FR"/>
        </w:rPr>
        <w:t>’</w:t>
      </w:r>
      <w:r w:rsidRPr="00DA17AA">
        <w:rPr>
          <w:lang w:val="fr-FR"/>
        </w:rPr>
        <w:t>homologation des mini-véhicules à moteur</w:t>
      </w:r>
      <w:r>
        <w:rPr>
          <w:lang w:val="fr-FR"/>
        </w:rPr>
        <w:t>,</w:t>
      </w:r>
      <w:r w:rsidRPr="00DA17AA">
        <w:rPr>
          <w:lang w:val="fr-FR"/>
        </w:rPr>
        <w:t xml:space="preserve"> etc. exemptés d</w:t>
      </w:r>
      <w:r>
        <w:rPr>
          <w:lang w:val="fr-FR"/>
        </w:rPr>
        <w:t>’</w:t>
      </w:r>
      <w:r w:rsidRPr="00DA17AA">
        <w:rPr>
          <w:lang w:val="fr-FR"/>
        </w:rPr>
        <w:t>inspection</w:t>
      </w:r>
      <w:r>
        <w:rPr>
          <w:lang w:val="fr-FR"/>
        </w:rPr>
        <w:t>,</w:t>
      </w:r>
      <w:r w:rsidRPr="00DA17AA">
        <w:rPr>
          <w:lang w:val="fr-FR"/>
        </w:rPr>
        <w:t xml:space="preserve"> et des moteurs de cycles à moteur</w:t>
      </w:r>
      <w:r>
        <w:rPr>
          <w:lang w:val="fr-FR"/>
        </w:rPr>
        <w:t> »</w:t>
      </w:r>
      <w:r w:rsidRPr="00DA17AA">
        <w:rPr>
          <w:lang w:val="fr-FR"/>
        </w:rPr>
        <w:t xml:space="preserve"> (Ministère de l</w:t>
      </w:r>
      <w:r>
        <w:rPr>
          <w:lang w:val="fr-FR"/>
        </w:rPr>
        <w:t>’</w:t>
      </w:r>
      <w:r w:rsidRPr="00DA17AA">
        <w:rPr>
          <w:lang w:val="fr-FR"/>
        </w:rPr>
        <w:t>aménagement du territoire, des infrastructures, des transports et du tourisme, en date du 20 octobre 2020).</w:t>
      </w:r>
    </w:p>
    <w:p w14:paraId="1EE17C93" w14:textId="1DA430CE" w:rsidR="009573DB" w:rsidRDefault="009573DB" w:rsidP="009573DB">
      <w:pPr>
        <w:pStyle w:val="SingleTxtG"/>
        <w:rPr>
          <w:lang w:val="fr-FR"/>
        </w:rPr>
      </w:pPr>
      <w:r w:rsidRPr="00DA17AA">
        <w:rPr>
          <w:lang w:val="fr-FR"/>
        </w:rPr>
        <w:t>8.</w:t>
      </w:r>
      <w:r w:rsidRPr="00DA17AA">
        <w:rPr>
          <w:lang w:val="fr-FR"/>
        </w:rPr>
        <w:tab/>
      </w:r>
      <w:r>
        <w:rPr>
          <w:lang w:val="fr-FR"/>
        </w:rPr>
        <w:t>« </w:t>
      </w:r>
      <w:r w:rsidRPr="00DA17AA">
        <w:rPr>
          <w:lang w:val="fr-FR"/>
        </w:rPr>
        <w:t>Procédure de contrôle de la certification de type des véhicules à moteur, règle complémentaire 7</w:t>
      </w:r>
      <w:r>
        <w:rPr>
          <w:lang w:val="fr-FR"/>
        </w:rPr>
        <w:t> </w:t>
      </w:r>
      <w:r w:rsidRPr="00DA17AA">
        <w:rPr>
          <w:lang w:val="fr-FR"/>
        </w:rPr>
        <w:t>: procédure de contrôle de la durabilité des véhicules</w:t>
      </w:r>
      <w:r>
        <w:rPr>
          <w:lang w:val="fr-FR"/>
        </w:rPr>
        <w:t> »</w:t>
      </w:r>
      <w:r w:rsidRPr="00DA17AA">
        <w:rPr>
          <w:lang w:val="fr-FR"/>
        </w:rPr>
        <w:t xml:space="preserve"> (Ministère de l</w:t>
      </w:r>
      <w:r>
        <w:rPr>
          <w:lang w:val="fr-FR"/>
        </w:rPr>
        <w:t>’</w:t>
      </w:r>
      <w:r w:rsidRPr="00DA17AA">
        <w:rPr>
          <w:lang w:val="fr-FR"/>
        </w:rPr>
        <w:t>aménagement du territoire, des infrastructures, des transports et du tourisme, en date du 20</w:t>
      </w:r>
      <w:r>
        <w:rPr>
          <w:lang w:val="fr-FR"/>
        </w:rPr>
        <w:t> </w:t>
      </w:r>
      <w:r w:rsidRPr="00DA17AA">
        <w:rPr>
          <w:lang w:val="fr-FR"/>
        </w:rPr>
        <w:t>octobre 2020).</w:t>
      </w:r>
    </w:p>
    <w:p w14:paraId="6D204CA7" w14:textId="568B2012" w:rsidR="009573DB" w:rsidRPr="009573DB" w:rsidRDefault="009573DB" w:rsidP="009573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73DB" w:rsidRPr="009573DB" w:rsidSect="009573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26367" w14:textId="77777777" w:rsidR="00A85360" w:rsidRDefault="00A85360" w:rsidP="00F95C08">
      <w:pPr>
        <w:spacing w:line="240" w:lineRule="auto"/>
      </w:pPr>
    </w:p>
  </w:endnote>
  <w:endnote w:type="continuationSeparator" w:id="0">
    <w:p w14:paraId="2298A5DF" w14:textId="77777777" w:rsidR="00A85360" w:rsidRPr="00AC3823" w:rsidRDefault="00A85360" w:rsidP="00AC3823">
      <w:pPr>
        <w:pStyle w:val="Pieddepage"/>
      </w:pPr>
    </w:p>
  </w:endnote>
  <w:endnote w:type="continuationNotice" w:id="1">
    <w:p w14:paraId="4F1245A0" w14:textId="77777777" w:rsidR="00A85360" w:rsidRDefault="00A853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CE2E" w14:textId="483E8845" w:rsidR="009573DB" w:rsidRPr="009573DB" w:rsidRDefault="009573DB" w:rsidP="009573DB">
    <w:pPr>
      <w:pStyle w:val="Pieddepage"/>
      <w:tabs>
        <w:tab w:val="right" w:pos="9638"/>
      </w:tabs>
    </w:pPr>
    <w:r w:rsidRPr="009573DB">
      <w:rPr>
        <w:b/>
        <w:sz w:val="18"/>
      </w:rPr>
      <w:fldChar w:fldCharType="begin"/>
    </w:r>
    <w:r w:rsidRPr="009573DB">
      <w:rPr>
        <w:b/>
        <w:sz w:val="18"/>
      </w:rPr>
      <w:instrText xml:space="preserve"> PAGE  \* MERGEFORMAT </w:instrText>
    </w:r>
    <w:r w:rsidRPr="009573DB">
      <w:rPr>
        <w:b/>
        <w:sz w:val="18"/>
      </w:rPr>
      <w:fldChar w:fldCharType="separate"/>
    </w:r>
    <w:r w:rsidRPr="009573DB">
      <w:rPr>
        <w:b/>
        <w:noProof/>
        <w:sz w:val="18"/>
      </w:rPr>
      <w:t>2</w:t>
    </w:r>
    <w:r w:rsidRPr="009573DB">
      <w:rPr>
        <w:b/>
        <w:sz w:val="18"/>
      </w:rPr>
      <w:fldChar w:fldCharType="end"/>
    </w:r>
    <w:r>
      <w:rPr>
        <w:b/>
        <w:sz w:val="18"/>
      </w:rPr>
      <w:tab/>
    </w:r>
    <w:r>
      <w:t>GE.21-12532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74EF" w14:textId="0BC6FD88" w:rsidR="009573DB" w:rsidRPr="009573DB" w:rsidRDefault="009573DB" w:rsidP="009573DB">
    <w:pPr>
      <w:pStyle w:val="Pieddepage"/>
      <w:tabs>
        <w:tab w:val="right" w:pos="9638"/>
      </w:tabs>
      <w:rPr>
        <w:b/>
        <w:sz w:val="18"/>
      </w:rPr>
    </w:pPr>
    <w:r>
      <w:t>GE.21-12532</w:t>
    </w:r>
    <w:r>
      <w:tab/>
    </w:r>
    <w:r w:rsidRPr="009573DB">
      <w:rPr>
        <w:b/>
        <w:sz w:val="18"/>
      </w:rPr>
      <w:fldChar w:fldCharType="begin"/>
    </w:r>
    <w:r w:rsidRPr="009573DB">
      <w:rPr>
        <w:b/>
        <w:sz w:val="18"/>
      </w:rPr>
      <w:instrText xml:space="preserve"> PAGE  \* MERGEFORMAT </w:instrText>
    </w:r>
    <w:r w:rsidRPr="009573DB">
      <w:rPr>
        <w:b/>
        <w:sz w:val="18"/>
      </w:rPr>
      <w:fldChar w:fldCharType="separate"/>
    </w:r>
    <w:r w:rsidRPr="009573DB">
      <w:rPr>
        <w:b/>
        <w:noProof/>
        <w:sz w:val="18"/>
      </w:rPr>
      <w:t>3</w:t>
    </w:r>
    <w:r w:rsidRPr="009573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CCB0" w14:textId="6BED3D26" w:rsidR="007F20FA" w:rsidRPr="009573DB" w:rsidRDefault="009573DB" w:rsidP="009573D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1214124" wp14:editId="3DAB3B3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21-12532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BDE28CC" wp14:editId="5659280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210921    210921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4E03D" w14:textId="77777777" w:rsidR="00A85360" w:rsidRPr="00AC3823" w:rsidRDefault="00A853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667A3" w14:textId="77777777" w:rsidR="00A85360" w:rsidRPr="00AC3823" w:rsidRDefault="00A853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ECEABE" w14:textId="77777777" w:rsidR="00A85360" w:rsidRPr="00AC3823" w:rsidRDefault="00A85360">
      <w:pPr>
        <w:spacing w:line="240" w:lineRule="auto"/>
        <w:rPr>
          <w:sz w:val="2"/>
          <w:szCs w:val="2"/>
        </w:rPr>
      </w:pPr>
    </w:p>
  </w:footnote>
  <w:footnote w:id="2">
    <w:p w14:paraId="3F1DA819" w14:textId="6E4DACB2" w:rsidR="009573DB" w:rsidRPr="009573DB" w:rsidRDefault="009573DB">
      <w:pPr>
        <w:pStyle w:val="Notedebasdepage"/>
      </w:pPr>
      <w:r>
        <w:rPr>
          <w:rStyle w:val="Appelnotedebasdep"/>
        </w:rPr>
        <w:tab/>
      </w:r>
      <w:r w:rsidRPr="009573D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(titre V, chap. 20), par. 20</w:t>
      </w:r>
      <w:r w:rsidR="0091747B">
        <w:rPr>
          <w:lang w:val="fr-FR"/>
        </w:rPr>
        <w:t>.</w:t>
      </w:r>
      <w:r>
        <w:rPr>
          <w:lang w:val="fr-FR"/>
        </w:rPr>
        <w:t>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5E1E" w14:textId="3EE7CA7A" w:rsidR="009573DB" w:rsidRPr="009573DB" w:rsidRDefault="009573DB">
    <w:pPr>
      <w:pStyle w:val="En-tte"/>
    </w:pPr>
    <w:fldSimple w:instr=" TITLE  \* MERGEFORMAT ">
      <w:r w:rsidR="00D84F04">
        <w:t>ECE/TRANS/WP.29/2021/154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D13C" w14:textId="50C15138" w:rsidR="009573DB" w:rsidRPr="009573DB" w:rsidRDefault="009573DB" w:rsidP="009573DB">
    <w:pPr>
      <w:pStyle w:val="En-tte"/>
      <w:jc w:val="right"/>
    </w:pPr>
    <w:fldSimple w:instr=" TITLE  \* MERGEFORMAT ">
      <w:r w:rsidR="00D84F04">
        <w:t>ECE/TRANS/WP.29/2021/154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6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00DC"/>
    <w:rsid w:val="00871C75"/>
    <w:rsid w:val="008776DC"/>
    <w:rsid w:val="008D5EF9"/>
    <w:rsid w:val="0091747B"/>
    <w:rsid w:val="009446C0"/>
    <w:rsid w:val="009573DB"/>
    <w:rsid w:val="009705C8"/>
    <w:rsid w:val="009C1CF4"/>
    <w:rsid w:val="009F6B74"/>
    <w:rsid w:val="00A3029F"/>
    <w:rsid w:val="00A30353"/>
    <w:rsid w:val="00A85360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84F04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CD0681"/>
  <w15:docId w15:val="{36BDCC4D-845B-47AF-ACB7-F243F605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9573DB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</w:pPr>
    <w:rPr>
      <w:rFonts w:ascii="Univers (W1)" w:eastAsia="Times New Roman" w:hAnsi="Univers (W1)"/>
      <w:lang w:val="en-GB"/>
    </w:rPr>
  </w:style>
  <w:style w:type="paragraph" w:styleId="NormalWeb">
    <w:name w:val="Normal (Web)"/>
    <w:basedOn w:val="Normal"/>
    <w:uiPriority w:val="99"/>
    <w:rsid w:val="009573DB"/>
    <w:pPr>
      <w:kinsoku/>
      <w:overflowPunct/>
      <w:autoSpaceDE/>
      <w:autoSpaceDN/>
      <w:adjustRightInd/>
      <w:snapToGrid/>
    </w:pPr>
    <w:rPr>
      <w:rFonts w:eastAsia="MS Minch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7</TotalTime>
  <Pages>3</Pages>
  <Words>599</Words>
  <Characters>4193</Characters>
  <Application>Microsoft Office Word</Application>
  <DocSecurity>0</DocSecurity>
  <Lines>349</Lines>
  <Paragraphs>191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ECE/TRANS/WP.29/2021/154</dc:title>
  <dc:subject/>
  <dc:creator>Julien OKRZESIK</dc:creator>
  <cp:keywords/>
  <cp:lastModifiedBy>Julien Okrzesik</cp:lastModifiedBy>
  <cp:revision>3</cp:revision>
  <cp:lastPrinted>2021-09-21T15:26:00Z</cp:lastPrinted>
  <dcterms:created xsi:type="dcterms:W3CDTF">2021-09-21T15:26:00Z</dcterms:created>
  <dcterms:modified xsi:type="dcterms:W3CDTF">2021-09-21T15:27:00Z</dcterms:modified>
</cp:coreProperties>
</file>