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7AC393A" w14:textId="77777777" w:rsidTr="00C97039">
        <w:trPr>
          <w:trHeight w:hRule="exact" w:val="851"/>
        </w:trPr>
        <w:tc>
          <w:tcPr>
            <w:tcW w:w="1276" w:type="dxa"/>
            <w:tcBorders>
              <w:bottom w:val="single" w:sz="4" w:space="0" w:color="auto"/>
            </w:tcBorders>
          </w:tcPr>
          <w:p w14:paraId="364EBF7F" w14:textId="77777777" w:rsidR="00F35BAF" w:rsidRPr="00DB58B5" w:rsidRDefault="00F35BAF" w:rsidP="00E46471"/>
        </w:tc>
        <w:tc>
          <w:tcPr>
            <w:tcW w:w="2268" w:type="dxa"/>
            <w:tcBorders>
              <w:bottom w:val="single" w:sz="4" w:space="0" w:color="auto"/>
            </w:tcBorders>
            <w:vAlign w:val="bottom"/>
          </w:tcPr>
          <w:p w14:paraId="06153E16"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7FB8863" w14:textId="13DB0647" w:rsidR="00F35BAF" w:rsidRPr="00DB58B5" w:rsidRDefault="00E46471" w:rsidP="00E46471">
            <w:pPr>
              <w:jc w:val="right"/>
            </w:pPr>
            <w:r w:rsidRPr="00E46471">
              <w:rPr>
                <w:sz w:val="40"/>
              </w:rPr>
              <w:t>ECE</w:t>
            </w:r>
            <w:r>
              <w:t>/TRANS/WP.29/2021/137</w:t>
            </w:r>
          </w:p>
        </w:tc>
      </w:tr>
      <w:tr w:rsidR="00F35BAF" w:rsidRPr="00DB58B5" w14:paraId="61AB26A7" w14:textId="77777777" w:rsidTr="00C97039">
        <w:trPr>
          <w:trHeight w:hRule="exact" w:val="2835"/>
        </w:trPr>
        <w:tc>
          <w:tcPr>
            <w:tcW w:w="1276" w:type="dxa"/>
            <w:tcBorders>
              <w:top w:val="single" w:sz="4" w:space="0" w:color="auto"/>
              <w:bottom w:val="single" w:sz="12" w:space="0" w:color="auto"/>
            </w:tcBorders>
          </w:tcPr>
          <w:p w14:paraId="751C11E7" w14:textId="77777777" w:rsidR="00F35BAF" w:rsidRPr="00DB58B5" w:rsidRDefault="00F35BAF" w:rsidP="00C97039">
            <w:pPr>
              <w:spacing w:before="120"/>
              <w:jc w:val="center"/>
            </w:pPr>
            <w:r>
              <w:rPr>
                <w:noProof/>
                <w:lang w:eastAsia="fr-CH"/>
              </w:rPr>
              <w:drawing>
                <wp:inline distT="0" distB="0" distL="0" distR="0" wp14:anchorId="6AE193CE" wp14:editId="6AF045F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0E7AEB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751DCCE" w14:textId="77777777" w:rsidR="00F35BAF" w:rsidRDefault="00E46471" w:rsidP="00C97039">
            <w:pPr>
              <w:spacing w:before="240"/>
            </w:pPr>
            <w:r>
              <w:t>Distr. générale</w:t>
            </w:r>
          </w:p>
          <w:p w14:paraId="5DCDCBDD" w14:textId="77777777" w:rsidR="00E46471" w:rsidRDefault="00E46471" w:rsidP="00E46471">
            <w:pPr>
              <w:spacing w:line="240" w:lineRule="exact"/>
            </w:pPr>
            <w:r>
              <w:t>8 septembre 2021</w:t>
            </w:r>
          </w:p>
          <w:p w14:paraId="5CBCFABE" w14:textId="77777777" w:rsidR="00E46471" w:rsidRDefault="00E46471" w:rsidP="00E46471">
            <w:pPr>
              <w:spacing w:line="240" w:lineRule="exact"/>
            </w:pPr>
            <w:r>
              <w:t>Français</w:t>
            </w:r>
          </w:p>
          <w:p w14:paraId="6326C6F2" w14:textId="79A1DDAC" w:rsidR="00E46471" w:rsidRPr="00DB58B5" w:rsidRDefault="00E46471" w:rsidP="00E46471">
            <w:pPr>
              <w:spacing w:line="240" w:lineRule="exact"/>
            </w:pPr>
            <w:r>
              <w:t>Original : anglais</w:t>
            </w:r>
          </w:p>
        </w:tc>
      </w:tr>
    </w:tbl>
    <w:p w14:paraId="7DF6AE5B" w14:textId="77777777" w:rsidR="007F20FA" w:rsidRPr="000312C0" w:rsidRDefault="007F20FA" w:rsidP="007F20FA">
      <w:pPr>
        <w:spacing w:before="120"/>
        <w:rPr>
          <w:b/>
          <w:sz w:val="28"/>
          <w:szCs w:val="28"/>
        </w:rPr>
      </w:pPr>
      <w:r w:rsidRPr="000312C0">
        <w:rPr>
          <w:b/>
          <w:sz w:val="28"/>
          <w:szCs w:val="28"/>
        </w:rPr>
        <w:t>Commission économique pour l’Europe</w:t>
      </w:r>
    </w:p>
    <w:p w14:paraId="7B8BC327" w14:textId="77777777" w:rsidR="007F20FA" w:rsidRDefault="007F20FA" w:rsidP="007F20FA">
      <w:pPr>
        <w:spacing w:before="120"/>
        <w:rPr>
          <w:sz w:val="28"/>
          <w:szCs w:val="28"/>
        </w:rPr>
      </w:pPr>
      <w:r w:rsidRPr="00685843">
        <w:rPr>
          <w:sz w:val="28"/>
          <w:szCs w:val="28"/>
        </w:rPr>
        <w:t>Comité des transports intérieurs</w:t>
      </w:r>
    </w:p>
    <w:p w14:paraId="53C76876" w14:textId="77777777" w:rsidR="00E46471" w:rsidRDefault="00E46471"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535F5F2A" w14:textId="77777777" w:rsidR="00E46471" w:rsidRPr="004D3E1A" w:rsidRDefault="00E46471" w:rsidP="00E46471">
      <w:pPr>
        <w:tabs>
          <w:tab w:val="center" w:pos="4819"/>
        </w:tabs>
        <w:spacing w:before="120"/>
        <w:rPr>
          <w:b/>
          <w:lang w:val="fr-FR"/>
        </w:rPr>
      </w:pPr>
      <w:r w:rsidRPr="004D3E1A">
        <w:rPr>
          <w:b/>
          <w:bCs/>
          <w:lang w:val="fr-FR"/>
        </w:rPr>
        <w:t>185</w:t>
      </w:r>
      <w:r w:rsidRPr="004D3E1A">
        <w:rPr>
          <w:b/>
          <w:bCs/>
          <w:vertAlign w:val="superscript"/>
          <w:lang w:val="fr-FR"/>
        </w:rPr>
        <w:t>e</w:t>
      </w:r>
      <w:r w:rsidRPr="004D3E1A">
        <w:rPr>
          <w:b/>
          <w:bCs/>
          <w:lang w:val="fr-FR"/>
        </w:rPr>
        <w:t xml:space="preserve"> session</w:t>
      </w:r>
    </w:p>
    <w:p w14:paraId="0CD2BA62" w14:textId="77777777" w:rsidR="00E46471" w:rsidRPr="004D3E1A" w:rsidRDefault="00E46471" w:rsidP="00E46471">
      <w:pPr>
        <w:rPr>
          <w:lang w:val="fr-FR"/>
        </w:rPr>
      </w:pPr>
      <w:r w:rsidRPr="004D3E1A">
        <w:rPr>
          <w:lang w:val="fr-FR"/>
        </w:rPr>
        <w:t>Genève, 23-25 novembre 2021</w:t>
      </w:r>
    </w:p>
    <w:p w14:paraId="0B44F934" w14:textId="77777777" w:rsidR="00E46471" w:rsidRPr="004D3E1A" w:rsidRDefault="00E46471" w:rsidP="00E46471">
      <w:pPr>
        <w:rPr>
          <w:lang w:val="fr-FR"/>
        </w:rPr>
      </w:pPr>
      <w:r w:rsidRPr="004D3E1A">
        <w:rPr>
          <w:lang w:val="fr-FR"/>
        </w:rPr>
        <w:t>Point 4.10.2 de l</w:t>
      </w:r>
      <w:r>
        <w:rPr>
          <w:lang w:val="fr-FR"/>
        </w:rPr>
        <w:t>’</w:t>
      </w:r>
      <w:r w:rsidRPr="004D3E1A">
        <w:rPr>
          <w:lang w:val="fr-FR"/>
        </w:rPr>
        <w:t>ordre du jour provisoire</w:t>
      </w:r>
    </w:p>
    <w:p w14:paraId="06F57D91" w14:textId="54DCCB23" w:rsidR="00E46471" w:rsidRPr="004D3E1A" w:rsidRDefault="00E46471" w:rsidP="00E46471">
      <w:pPr>
        <w:rPr>
          <w:b/>
          <w:lang w:val="fr-FR"/>
        </w:rPr>
      </w:pPr>
      <w:bookmarkStart w:id="0" w:name="_Hlk83108369"/>
      <w:r w:rsidRPr="004D3E1A">
        <w:rPr>
          <w:b/>
          <w:bCs/>
          <w:lang w:val="fr-FR"/>
        </w:rPr>
        <w:t>Accord de 1958 :</w:t>
      </w:r>
      <w:r>
        <w:rPr>
          <w:b/>
          <w:bCs/>
          <w:lang w:val="fr-FR"/>
        </w:rPr>
        <w:br/>
      </w:r>
      <w:r w:rsidRPr="004D3E1A">
        <w:rPr>
          <w:b/>
          <w:bCs/>
          <w:lang w:val="fr-FR"/>
        </w:rPr>
        <w:t>Examen de projets d</w:t>
      </w:r>
      <w:r>
        <w:rPr>
          <w:b/>
          <w:bCs/>
          <w:lang w:val="fr-FR"/>
        </w:rPr>
        <w:t>’</w:t>
      </w:r>
      <w:r w:rsidRPr="004D3E1A">
        <w:rPr>
          <w:b/>
          <w:bCs/>
          <w:lang w:val="fr-FR"/>
        </w:rPr>
        <w:t xml:space="preserve">amendements à des Règlements existants, </w:t>
      </w:r>
      <w:r>
        <w:rPr>
          <w:b/>
          <w:bCs/>
          <w:lang w:val="fr-FR"/>
        </w:rPr>
        <w:br/>
      </w:r>
      <w:r w:rsidRPr="004D3E1A">
        <w:rPr>
          <w:b/>
          <w:bCs/>
          <w:lang w:val="fr-FR"/>
        </w:rPr>
        <w:t>soumis par le GRVA</w:t>
      </w:r>
      <w:bookmarkEnd w:id="0"/>
    </w:p>
    <w:p w14:paraId="12DEE025" w14:textId="3569F108" w:rsidR="00E46471" w:rsidRPr="004D3E1A" w:rsidRDefault="00E46471" w:rsidP="00E46471">
      <w:pPr>
        <w:pStyle w:val="HChG"/>
        <w:rPr>
          <w:lang w:val="fr-FR"/>
        </w:rPr>
      </w:pPr>
      <w:r w:rsidRPr="004D3E1A">
        <w:rPr>
          <w:lang w:val="fr-FR"/>
        </w:rPr>
        <w:tab/>
      </w:r>
      <w:r w:rsidRPr="004D3E1A">
        <w:rPr>
          <w:lang w:val="fr-FR"/>
        </w:rPr>
        <w:tab/>
      </w:r>
      <w:r w:rsidRPr="004D3E1A">
        <w:rPr>
          <w:bCs/>
          <w:lang w:val="fr-FR"/>
        </w:rPr>
        <w:t>Proposition de complément 6 à la série 03 d</w:t>
      </w:r>
      <w:r>
        <w:rPr>
          <w:bCs/>
          <w:lang w:val="fr-FR"/>
        </w:rPr>
        <w:t>’</w:t>
      </w:r>
      <w:r w:rsidRPr="004D3E1A">
        <w:rPr>
          <w:bCs/>
          <w:lang w:val="fr-FR"/>
        </w:rPr>
        <w:t xml:space="preserve">amendements </w:t>
      </w:r>
      <w:r>
        <w:rPr>
          <w:bCs/>
          <w:lang w:val="fr-FR"/>
        </w:rPr>
        <w:br/>
      </w:r>
      <w:r w:rsidRPr="004D3E1A">
        <w:rPr>
          <w:bCs/>
          <w:lang w:val="fr-FR"/>
        </w:rPr>
        <w:t>au Règlement ONU n</w:t>
      </w:r>
      <w:r w:rsidRPr="004D3E1A">
        <w:rPr>
          <w:bCs/>
          <w:vertAlign w:val="superscript"/>
          <w:lang w:val="fr-FR"/>
        </w:rPr>
        <w:t>o</w:t>
      </w:r>
      <w:r w:rsidRPr="004D3E1A">
        <w:rPr>
          <w:bCs/>
          <w:lang w:val="fr-FR"/>
        </w:rPr>
        <w:t> 79 (Équipement de direction</w:t>
      </w:r>
      <w:r w:rsidRPr="004D3E1A">
        <w:rPr>
          <w:lang w:val="fr-FR"/>
        </w:rPr>
        <w:t xml:space="preserve">) </w:t>
      </w:r>
    </w:p>
    <w:p w14:paraId="0B49B553" w14:textId="77777777" w:rsidR="00E46471" w:rsidRPr="004D3E1A" w:rsidRDefault="00E46471" w:rsidP="00E46471">
      <w:pPr>
        <w:pStyle w:val="H1G"/>
        <w:rPr>
          <w:szCs w:val="24"/>
          <w:lang w:val="fr-FR"/>
        </w:rPr>
      </w:pPr>
      <w:r w:rsidRPr="004D3E1A">
        <w:rPr>
          <w:lang w:val="fr-FR"/>
        </w:rPr>
        <w:tab/>
      </w:r>
      <w:r w:rsidRPr="004D3E1A">
        <w:rPr>
          <w:lang w:val="fr-FR"/>
        </w:rPr>
        <w:tab/>
      </w:r>
      <w:r w:rsidRPr="004D3E1A">
        <w:rPr>
          <w:bCs/>
          <w:lang w:val="fr-FR"/>
        </w:rPr>
        <w:t>Communication du Groupe de travail des véhicules automatisés/autonomes et connectés</w:t>
      </w:r>
      <w:r w:rsidRPr="00E46471">
        <w:rPr>
          <w:rStyle w:val="Appelnotedebasdep"/>
          <w:b w:val="0"/>
          <w:bCs/>
          <w:sz w:val="20"/>
          <w:vertAlign w:val="baseline"/>
          <w:lang w:val="fr-FR"/>
        </w:rPr>
        <w:footnoteReference w:customMarkFollows="1" w:id="2"/>
        <w:t>*</w:t>
      </w:r>
    </w:p>
    <w:p w14:paraId="25BDE860" w14:textId="77777777" w:rsidR="00E46471" w:rsidRPr="004D3E1A" w:rsidRDefault="00E46471" w:rsidP="00E46471">
      <w:pPr>
        <w:pStyle w:val="SingleTxtG"/>
        <w:ind w:firstLine="567"/>
        <w:rPr>
          <w:spacing w:val="-2"/>
          <w:lang w:val="fr-FR"/>
        </w:rPr>
      </w:pPr>
      <w:r w:rsidRPr="004D3E1A">
        <w:rPr>
          <w:lang w:val="fr-FR"/>
        </w:rPr>
        <w:t>Le texte ci-après, adopté par le Groupe de travail des véhicules automatisés/autonomes et connectés (GRVA) à sa dixième session, en mai 2021 (ECE/TRANS/WP.29/GRVA/10, par. 64), est fondé sur les annexes IV et V du rapport de la session. Il est soumis au Forum mondial de l</w:t>
      </w:r>
      <w:r>
        <w:rPr>
          <w:lang w:val="fr-FR"/>
        </w:rPr>
        <w:t>’</w:t>
      </w:r>
      <w:r w:rsidRPr="004D3E1A">
        <w:rPr>
          <w:lang w:val="fr-FR"/>
        </w:rPr>
        <w:t>harmonisation des Règlements concernant les véhicules (WP.29) et au Comité d</w:t>
      </w:r>
      <w:r>
        <w:rPr>
          <w:lang w:val="fr-FR"/>
        </w:rPr>
        <w:t>’</w:t>
      </w:r>
      <w:r w:rsidRPr="004D3E1A">
        <w:rPr>
          <w:lang w:val="fr-FR"/>
        </w:rPr>
        <w:t>administration de l</w:t>
      </w:r>
      <w:r>
        <w:rPr>
          <w:lang w:val="fr-FR"/>
        </w:rPr>
        <w:t>’</w:t>
      </w:r>
      <w:r w:rsidRPr="004D3E1A">
        <w:rPr>
          <w:lang w:val="fr-FR"/>
        </w:rPr>
        <w:t>Accord de 1958 (AC.1) pour examen à leurs sessions de novembre 2021.</w:t>
      </w:r>
    </w:p>
    <w:p w14:paraId="01887FB3" w14:textId="77777777" w:rsidR="00E46471" w:rsidRPr="004D3E1A" w:rsidRDefault="00E46471" w:rsidP="00E46471">
      <w:pPr>
        <w:rPr>
          <w:lang w:val="fr-FR"/>
        </w:rPr>
      </w:pPr>
      <w:r w:rsidRPr="004D3E1A">
        <w:rPr>
          <w:lang w:val="fr-FR"/>
        </w:rPr>
        <w:br w:type="page"/>
      </w:r>
    </w:p>
    <w:p w14:paraId="6C979AD1" w14:textId="77777777" w:rsidR="00E46471" w:rsidRPr="004D3E1A" w:rsidRDefault="00E46471" w:rsidP="00E46471">
      <w:pPr>
        <w:pStyle w:val="SingleTxtG"/>
        <w:rPr>
          <w:lang w:val="fr-FR"/>
        </w:rPr>
      </w:pPr>
      <w:r w:rsidRPr="0088577C">
        <w:rPr>
          <w:i/>
          <w:iCs/>
          <w:lang w:val="fr-FR"/>
        </w:rPr>
        <w:lastRenderedPageBreak/>
        <w:t>Paragraphe 2.4.8</w:t>
      </w:r>
      <w:r w:rsidRPr="004D3E1A">
        <w:rPr>
          <w:lang w:val="fr-FR"/>
        </w:rPr>
        <w:t>, lire :</w:t>
      </w:r>
    </w:p>
    <w:p w14:paraId="0F1B24E3" w14:textId="529D2BE5" w:rsidR="00E46471" w:rsidRPr="004D3E1A" w:rsidRDefault="00E46471" w:rsidP="00E46471">
      <w:pPr>
        <w:pStyle w:val="SingleTxtG"/>
        <w:ind w:left="2268" w:hanging="1134"/>
        <w:rPr>
          <w:i/>
          <w:iCs/>
          <w:lang w:val="fr-FR"/>
        </w:rPr>
      </w:pPr>
      <w:r w:rsidRPr="004D3E1A">
        <w:rPr>
          <w:lang w:val="fr-FR"/>
        </w:rPr>
        <w:t>« 2.4.8</w:t>
      </w:r>
      <w:r w:rsidRPr="004D3E1A">
        <w:rPr>
          <w:lang w:val="fr-FR"/>
        </w:rPr>
        <w:tab/>
        <w:t>Par “</w:t>
      </w:r>
      <w:r w:rsidRPr="004D3E1A">
        <w:rPr>
          <w:i/>
          <w:iCs/>
          <w:lang w:val="fr-FR"/>
        </w:rPr>
        <w:t>parcage télécommandé (RCP)</w:t>
      </w:r>
      <w:r w:rsidRPr="004D3E1A">
        <w:rPr>
          <w:lang w:val="fr-FR"/>
        </w:rPr>
        <w:t>ˮ, une ACSF de catégorie A, activée par le conducteur, exécutant une manœuvre de stationnement ou une manœuvre à petite vitesse. L</w:t>
      </w:r>
      <w:r>
        <w:rPr>
          <w:lang w:val="fr-FR"/>
        </w:rPr>
        <w:t>’</w:t>
      </w:r>
      <w:r w:rsidRPr="004D3E1A">
        <w:rPr>
          <w:lang w:val="fr-FR"/>
        </w:rPr>
        <w:t>activation s</w:t>
      </w:r>
      <w:r>
        <w:rPr>
          <w:lang w:val="fr-FR"/>
        </w:rPr>
        <w:t>’</w:t>
      </w:r>
      <w:r w:rsidRPr="004D3E1A">
        <w:rPr>
          <w:lang w:val="fr-FR"/>
        </w:rPr>
        <w:t>effectue à proximité immédiate du véhicule</w:t>
      </w:r>
      <w:r>
        <w:rPr>
          <w:lang w:val="fr-FR"/>
        </w:rPr>
        <w:t>.</w:t>
      </w:r>
      <w:r w:rsidRPr="004D3E1A">
        <w:rPr>
          <w:lang w:val="fr-FR"/>
        </w:rPr>
        <w:t> ».</w:t>
      </w:r>
    </w:p>
    <w:p w14:paraId="1F62D921" w14:textId="4FDC8EAA" w:rsidR="00E46471" w:rsidRPr="004D3E1A" w:rsidRDefault="00E46471" w:rsidP="00E46471">
      <w:pPr>
        <w:pStyle w:val="SingleTxtG"/>
        <w:rPr>
          <w:i/>
          <w:iCs/>
          <w:lang w:val="fr-FR"/>
        </w:rPr>
      </w:pPr>
      <w:r w:rsidRPr="004D3E1A">
        <w:rPr>
          <w:i/>
          <w:iCs/>
          <w:lang w:val="fr-FR"/>
        </w:rPr>
        <w:t>Paragraphe 2.4.9</w:t>
      </w:r>
      <w:r w:rsidRPr="004D3E1A">
        <w:rPr>
          <w:lang w:val="fr-FR"/>
        </w:rPr>
        <w:t>, lire</w:t>
      </w:r>
      <w:r>
        <w:rPr>
          <w:lang w:val="fr-FR"/>
        </w:rPr>
        <w:t> </w:t>
      </w:r>
      <w:r w:rsidRPr="004D3E1A">
        <w:rPr>
          <w:lang w:val="fr-FR"/>
        </w:rPr>
        <w:t>:</w:t>
      </w:r>
    </w:p>
    <w:p w14:paraId="2E309776" w14:textId="22FB7931" w:rsidR="00E46471" w:rsidRPr="004D3E1A" w:rsidRDefault="00E46471" w:rsidP="00E46471">
      <w:pPr>
        <w:pStyle w:val="SingleTxtG"/>
        <w:ind w:left="2268" w:hanging="1134"/>
        <w:rPr>
          <w:lang w:val="fr-FR"/>
        </w:rPr>
      </w:pPr>
      <w:r w:rsidRPr="004D3E1A">
        <w:rPr>
          <w:lang w:val="fr-FR"/>
        </w:rPr>
        <w:t>« 2.4.9</w:t>
      </w:r>
      <w:r w:rsidRPr="004D3E1A">
        <w:rPr>
          <w:lang w:val="fr-FR"/>
        </w:rPr>
        <w:tab/>
        <w:t>Par “</w:t>
      </w:r>
      <w:r w:rsidRPr="004D3E1A">
        <w:rPr>
          <w:i/>
          <w:iCs/>
          <w:lang w:val="fr-FR"/>
        </w:rPr>
        <w:t>portée indiquée du système RCP (S</w:t>
      </w:r>
      <w:r w:rsidRPr="004D3E1A">
        <w:rPr>
          <w:i/>
          <w:iCs/>
          <w:vertAlign w:val="subscript"/>
          <w:lang w:val="fr-FR"/>
        </w:rPr>
        <w:t>RCPmax</w:t>
      </w:r>
      <w:r w:rsidRPr="004D3E1A">
        <w:rPr>
          <w:i/>
          <w:iCs/>
          <w:lang w:val="fr-FR"/>
        </w:rPr>
        <w:t>)</w:t>
      </w:r>
      <w:r w:rsidRPr="004D3E1A">
        <w:rPr>
          <w:lang w:val="fr-FR"/>
        </w:rPr>
        <w:t>ˮ, la distance maximale pour laquelle l</w:t>
      </w:r>
      <w:r>
        <w:rPr>
          <w:lang w:val="fr-FR"/>
        </w:rPr>
        <w:t>’</w:t>
      </w:r>
      <w:r w:rsidRPr="004D3E1A">
        <w:rPr>
          <w:lang w:val="fr-FR"/>
        </w:rPr>
        <w:t>ACSF est conçue, mesurée entre le point le plus proche du véhicule à moteur et la télécommande ou le conducteur (dans le cas d</w:t>
      </w:r>
      <w:r>
        <w:rPr>
          <w:lang w:val="fr-FR"/>
        </w:rPr>
        <w:t>’</w:t>
      </w:r>
      <w:r w:rsidRPr="004D3E1A">
        <w:rPr>
          <w:lang w:val="fr-FR"/>
        </w:rPr>
        <w:t>un système reposant sur la détection de sa position et de ses déplacements)</w:t>
      </w:r>
      <w:r>
        <w:rPr>
          <w:lang w:val="fr-FR"/>
        </w:rPr>
        <w:t>.</w:t>
      </w:r>
      <w:r w:rsidRPr="004D3E1A">
        <w:rPr>
          <w:lang w:val="fr-FR"/>
        </w:rPr>
        <w:t> ».</w:t>
      </w:r>
    </w:p>
    <w:p w14:paraId="192F66DB" w14:textId="572BAFF0" w:rsidR="00E46471" w:rsidRPr="004D3E1A" w:rsidRDefault="00E46471" w:rsidP="00E46471">
      <w:pPr>
        <w:pStyle w:val="SingleTxtG"/>
        <w:rPr>
          <w:b/>
          <w:bCs/>
          <w:lang w:val="fr-FR"/>
        </w:rPr>
      </w:pPr>
      <w:r w:rsidRPr="004D3E1A">
        <w:rPr>
          <w:i/>
          <w:iCs/>
          <w:lang w:val="fr-FR"/>
        </w:rPr>
        <w:t>Paragraphe 5.1.6.2.3</w:t>
      </w:r>
      <w:r w:rsidRPr="004D3E1A">
        <w:rPr>
          <w:lang w:val="fr-FR"/>
        </w:rPr>
        <w:t>, lire</w:t>
      </w:r>
      <w:r>
        <w:rPr>
          <w:lang w:val="fr-FR"/>
        </w:rPr>
        <w:t> </w:t>
      </w:r>
      <w:r w:rsidRPr="004D3E1A">
        <w:rPr>
          <w:lang w:val="fr-FR"/>
        </w:rPr>
        <w:t>:</w:t>
      </w:r>
    </w:p>
    <w:p w14:paraId="4A89A2FE" w14:textId="77777777" w:rsidR="00E46471" w:rsidRPr="004D3E1A" w:rsidRDefault="00E46471" w:rsidP="00E46471">
      <w:pPr>
        <w:pStyle w:val="SingleTxtG"/>
        <w:ind w:left="2268" w:hanging="1134"/>
        <w:rPr>
          <w:lang w:val="fr-FR"/>
        </w:rPr>
      </w:pPr>
      <w:r w:rsidRPr="004D3E1A">
        <w:rPr>
          <w:lang w:val="fr-FR"/>
        </w:rPr>
        <w:t>« 5.1.6.2.3</w:t>
      </w:r>
      <w:r w:rsidRPr="004D3E1A">
        <w:rPr>
          <w:lang w:val="fr-FR"/>
        </w:rPr>
        <w:tab/>
        <w:t>Une manœuvre d</w:t>
      </w:r>
      <w:r>
        <w:rPr>
          <w:lang w:val="fr-FR"/>
        </w:rPr>
        <w:t>’</w:t>
      </w:r>
      <w:r w:rsidRPr="004D3E1A">
        <w:rPr>
          <w:lang w:val="fr-FR"/>
        </w:rPr>
        <w:t>évitement déclenchée par une ESF ne doit pas conduire le véhicule à quitter la chaussée, si cette prescription est applicable au cas d</w:t>
      </w:r>
      <w:r>
        <w:rPr>
          <w:lang w:val="fr-FR"/>
        </w:rPr>
        <w:t>’</w:t>
      </w:r>
      <w:r w:rsidRPr="004D3E1A">
        <w:rPr>
          <w:lang w:val="fr-FR"/>
        </w:rPr>
        <w:t>utilisation indiqué au paragraphe 5.1.6.2.10. ».</w:t>
      </w:r>
    </w:p>
    <w:p w14:paraId="1D3ED666" w14:textId="77777777" w:rsidR="00E46471" w:rsidRPr="004D3E1A" w:rsidRDefault="00E46471" w:rsidP="00E46471">
      <w:pPr>
        <w:pStyle w:val="SingleTxtG"/>
        <w:rPr>
          <w:lang w:val="fr-FR"/>
        </w:rPr>
      </w:pPr>
      <w:r w:rsidRPr="004D3E1A">
        <w:rPr>
          <w:i/>
          <w:iCs/>
          <w:lang w:val="fr-FR"/>
        </w:rPr>
        <w:t>Ajouter un nouveau paragraphe 5.1.6.2.3.2</w:t>
      </w:r>
      <w:r w:rsidRPr="004D3E1A">
        <w:rPr>
          <w:lang w:val="fr-FR"/>
        </w:rPr>
        <w:t>, libellé comme suit :</w:t>
      </w:r>
    </w:p>
    <w:p w14:paraId="0EB3BEA8" w14:textId="77777777" w:rsidR="00E46471" w:rsidRPr="004D3E1A" w:rsidRDefault="00E46471" w:rsidP="00E46471">
      <w:pPr>
        <w:pStyle w:val="SingleTxtG"/>
        <w:ind w:left="2268" w:hanging="1134"/>
        <w:rPr>
          <w:lang w:val="fr-FR"/>
        </w:rPr>
      </w:pPr>
      <w:r w:rsidRPr="004D3E1A">
        <w:rPr>
          <w:lang w:val="fr-FR"/>
        </w:rPr>
        <w:t>« 5.1.6.2.3.2</w:t>
      </w:r>
      <w:r w:rsidRPr="004D3E1A">
        <w:rPr>
          <w:lang w:val="fr-FR"/>
        </w:rPr>
        <w:tab/>
        <w:t>En l</w:t>
      </w:r>
      <w:r>
        <w:rPr>
          <w:lang w:val="fr-FR"/>
        </w:rPr>
        <w:t>’</w:t>
      </w:r>
      <w:r w:rsidRPr="004D3E1A">
        <w:rPr>
          <w:lang w:val="fr-FR"/>
        </w:rPr>
        <w:t>absence de marques routières d</w:t>
      </w:r>
      <w:r>
        <w:rPr>
          <w:lang w:val="fr-FR"/>
        </w:rPr>
        <w:t>’</w:t>
      </w:r>
      <w:r w:rsidRPr="004D3E1A">
        <w:rPr>
          <w:lang w:val="fr-FR"/>
        </w:rPr>
        <w:t>un côté ou de chaque côté du véhicule, une intervention unique de l</w:t>
      </w:r>
      <w:r>
        <w:rPr>
          <w:lang w:val="fr-FR"/>
        </w:rPr>
        <w:t>’</w:t>
      </w:r>
      <w:r w:rsidRPr="004D3E1A">
        <w:rPr>
          <w:lang w:val="fr-FR"/>
        </w:rPr>
        <w:t>ESF est autorisée, à condition qu</w:t>
      </w:r>
      <w:r>
        <w:rPr>
          <w:lang w:val="fr-FR"/>
        </w:rPr>
        <w:t>’</w:t>
      </w:r>
      <w:r w:rsidRPr="004D3E1A">
        <w:rPr>
          <w:lang w:val="fr-FR"/>
        </w:rPr>
        <w:t>elle ne produise pas un déport latéral du véhicule supérieur à 0,75 m vers un côté dépourvu de marques. Le déport latéral produit par la manœuvre d</w:t>
      </w:r>
      <w:r>
        <w:rPr>
          <w:lang w:val="fr-FR"/>
        </w:rPr>
        <w:t>’</w:t>
      </w:r>
      <w:r w:rsidRPr="004D3E1A">
        <w:rPr>
          <w:lang w:val="fr-FR"/>
        </w:rPr>
        <w:t>évitement déclenchée automatiquement est mesuré par le déplacement d</w:t>
      </w:r>
      <w:r>
        <w:rPr>
          <w:lang w:val="fr-FR"/>
        </w:rPr>
        <w:t>’</w:t>
      </w:r>
      <w:r w:rsidRPr="004D3E1A">
        <w:rPr>
          <w:lang w:val="fr-FR"/>
        </w:rPr>
        <w:t>un point fixe situé à l</w:t>
      </w:r>
      <w:r>
        <w:rPr>
          <w:lang w:val="fr-FR"/>
        </w:rPr>
        <w:t>’</w:t>
      </w:r>
      <w:r w:rsidRPr="004D3E1A">
        <w:rPr>
          <w:lang w:val="fr-FR"/>
        </w:rPr>
        <w:t>avant du véhicule entre le début et la fin de l</w:t>
      </w:r>
      <w:r>
        <w:rPr>
          <w:lang w:val="fr-FR"/>
        </w:rPr>
        <w:t>’</w:t>
      </w:r>
      <w:r w:rsidRPr="004D3E1A">
        <w:rPr>
          <w:lang w:val="fr-FR"/>
        </w:rPr>
        <w:t>intervention de l</w:t>
      </w:r>
      <w:r>
        <w:rPr>
          <w:lang w:val="fr-FR"/>
        </w:rPr>
        <w:t>’</w:t>
      </w:r>
      <w:r w:rsidRPr="004D3E1A">
        <w:rPr>
          <w:lang w:val="fr-FR"/>
        </w:rPr>
        <w:t>ESF.</w:t>
      </w:r>
    </w:p>
    <w:p w14:paraId="20A5DDF8" w14:textId="77777777" w:rsidR="00E46471" w:rsidRPr="004D3E1A" w:rsidRDefault="00E46471" w:rsidP="00E46471">
      <w:pPr>
        <w:pStyle w:val="SingleTxtG"/>
        <w:ind w:left="2268"/>
        <w:rPr>
          <w:rFonts w:eastAsia="Calibri"/>
          <w:bCs/>
          <w:lang w:val="fr-FR"/>
        </w:rPr>
      </w:pPr>
      <w:r w:rsidRPr="004D3E1A">
        <w:rPr>
          <w:lang w:val="fr-FR"/>
        </w:rPr>
        <w:t>Le déport latéral du véhicule peut dépasser 0,75 m en cas d</w:t>
      </w:r>
      <w:r>
        <w:rPr>
          <w:lang w:val="fr-FR"/>
        </w:rPr>
        <w:t>’</w:t>
      </w:r>
      <w:r w:rsidRPr="004D3E1A">
        <w:rPr>
          <w:lang w:val="fr-FR"/>
        </w:rPr>
        <w:t>intervention du système, à condition que la vitesse du véhicule reste inférieure à 20 km/h pendant toute l</w:t>
      </w:r>
      <w:r>
        <w:rPr>
          <w:lang w:val="fr-FR"/>
        </w:rPr>
        <w:t>’</w:t>
      </w:r>
      <w:r w:rsidRPr="004D3E1A">
        <w:rPr>
          <w:lang w:val="fr-FR"/>
        </w:rPr>
        <w:t>intervention et que le taux du déport latéral produit par le système soit limité à une valeur moyenne de 2 m/s calculée sur une période de 1 s. ».</w:t>
      </w:r>
    </w:p>
    <w:p w14:paraId="164129A5" w14:textId="77777777" w:rsidR="00E46471" w:rsidRPr="004D3E1A" w:rsidRDefault="00E46471" w:rsidP="00E46471">
      <w:pPr>
        <w:pStyle w:val="SingleTxtG"/>
        <w:rPr>
          <w:lang w:val="fr-FR"/>
        </w:rPr>
      </w:pPr>
      <w:r w:rsidRPr="004D3E1A">
        <w:rPr>
          <w:i/>
          <w:iCs/>
          <w:lang w:val="fr-FR"/>
        </w:rPr>
        <w:t>Paragraphes 5.6.1.2.1 et 5.6.1.2.2</w:t>
      </w:r>
      <w:r w:rsidRPr="004D3E1A">
        <w:rPr>
          <w:lang w:val="fr-FR"/>
        </w:rPr>
        <w:t xml:space="preserve"> (le 5.6.1.2 est donné uniquement à titre de référence), lire :</w:t>
      </w:r>
    </w:p>
    <w:p w14:paraId="5CE75B68" w14:textId="77777777" w:rsidR="00E46471" w:rsidRPr="004D3E1A" w:rsidRDefault="00E46471" w:rsidP="00E46471">
      <w:pPr>
        <w:pStyle w:val="SingleTxtG"/>
        <w:ind w:left="2268" w:hanging="1134"/>
        <w:rPr>
          <w:lang w:val="fr-FR"/>
        </w:rPr>
      </w:pPr>
      <w:r w:rsidRPr="004D3E1A">
        <w:rPr>
          <w:lang w:val="fr-FR"/>
        </w:rPr>
        <w:t>« 5.6.1.2</w:t>
      </w:r>
      <w:r w:rsidRPr="004D3E1A">
        <w:rPr>
          <w:lang w:val="fr-FR"/>
        </w:rPr>
        <w:tab/>
        <w:t>Prescriptions supplémentaires applicables aux systèmes de parcage télécommandé</w:t>
      </w:r>
    </w:p>
    <w:p w14:paraId="32AA9506" w14:textId="77777777" w:rsidR="00E46471" w:rsidRPr="004D3E1A" w:rsidRDefault="00E46471" w:rsidP="00E46471">
      <w:pPr>
        <w:pStyle w:val="SingleTxtG"/>
        <w:ind w:left="2268" w:hanging="1134"/>
        <w:rPr>
          <w:i/>
          <w:iCs/>
          <w:lang w:val="fr-FR"/>
        </w:rPr>
      </w:pPr>
      <w:r w:rsidRPr="004D3E1A">
        <w:rPr>
          <w:lang w:val="fr-FR"/>
        </w:rPr>
        <w:t>5.6.1.2.1</w:t>
      </w:r>
      <w:r w:rsidRPr="004D3E1A">
        <w:rPr>
          <w:lang w:val="fr-FR"/>
        </w:rPr>
        <w:tab/>
        <w:t>La manœuvre de stationnement (...) Une action directe sur la direction, l</w:t>
      </w:r>
      <w:r>
        <w:rPr>
          <w:lang w:val="fr-FR"/>
        </w:rPr>
        <w:t>’</w:t>
      </w:r>
      <w:r w:rsidRPr="004D3E1A">
        <w:rPr>
          <w:lang w:val="fr-FR"/>
        </w:rPr>
        <w:t>accélération et le freinage au moyen de la télécommande ou de déplacements du conducteur ne doit pas être possible.</w:t>
      </w:r>
    </w:p>
    <w:p w14:paraId="5523E4C4" w14:textId="77777777" w:rsidR="00E46471" w:rsidRPr="004D3E1A" w:rsidRDefault="00E46471" w:rsidP="00E46471">
      <w:pPr>
        <w:pStyle w:val="SingleTxtG"/>
        <w:ind w:left="2268" w:hanging="1134"/>
        <w:rPr>
          <w:lang w:val="fr-FR"/>
        </w:rPr>
      </w:pPr>
      <w:r w:rsidRPr="004D3E1A">
        <w:rPr>
          <w:lang w:val="fr-FR"/>
        </w:rPr>
        <w:t>5.6.1.2.2</w:t>
      </w:r>
      <w:r w:rsidRPr="004D3E1A">
        <w:rPr>
          <w:lang w:val="fr-FR"/>
        </w:rPr>
        <w:tab/>
        <w:t>Le conducteur doit actionner la télécommande de façon continue ou, dans le cas d</w:t>
      </w:r>
      <w:r>
        <w:rPr>
          <w:lang w:val="fr-FR"/>
        </w:rPr>
        <w:t>’</w:t>
      </w:r>
      <w:r w:rsidRPr="004D3E1A">
        <w:rPr>
          <w:lang w:val="fr-FR"/>
        </w:rPr>
        <w:t>un système reposant sur la détection de sa position et de ses déplacements, se déplacer de façon continue dans la même direction longitudinale que le véhicule pendant toute la durée de la manœuvre de stationnement. ».</w:t>
      </w:r>
    </w:p>
    <w:p w14:paraId="5D0C0805" w14:textId="76F1E3FD" w:rsidR="00E46471" w:rsidRPr="004D3E1A" w:rsidRDefault="00E46471" w:rsidP="00E46471">
      <w:pPr>
        <w:pStyle w:val="SingleTxtG"/>
        <w:rPr>
          <w:bCs/>
          <w:iCs/>
          <w:lang w:val="fr-FR"/>
        </w:rPr>
      </w:pPr>
      <w:r w:rsidRPr="004D3E1A">
        <w:rPr>
          <w:i/>
          <w:iCs/>
          <w:lang w:val="fr-FR"/>
        </w:rPr>
        <w:t>Paragraphe 5.6.1.2.3</w:t>
      </w:r>
      <w:r w:rsidRPr="004D3E1A">
        <w:rPr>
          <w:lang w:val="fr-FR"/>
        </w:rPr>
        <w:t>, lire</w:t>
      </w:r>
      <w:r>
        <w:rPr>
          <w:lang w:val="fr-FR"/>
        </w:rPr>
        <w:t> </w:t>
      </w:r>
      <w:r w:rsidRPr="004D3E1A">
        <w:rPr>
          <w:lang w:val="fr-FR"/>
        </w:rPr>
        <w:t>:</w:t>
      </w:r>
    </w:p>
    <w:p w14:paraId="319C9955" w14:textId="5FE871A0" w:rsidR="00E46471" w:rsidRPr="004D3E1A" w:rsidRDefault="00E46471" w:rsidP="00E46471">
      <w:pPr>
        <w:pStyle w:val="SingleTxtG"/>
        <w:ind w:left="2268" w:hanging="1134"/>
        <w:rPr>
          <w:lang w:val="fr-FR"/>
        </w:rPr>
      </w:pPr>
      <w:r w:rsidRPr="004D3E1A">
        <w:rPr>
          <w:lang w:val="fr-FR"/>
        </w:rPr>
        <w:t>« 5.6.1.2.3</w:t>
      </w:r>
      <w:r w:rsidRPr="004D3E1A">
        <w:rPr>
          <w:lang w:val="fr-FR"/>
        </w:rPr>
        <w:tab/>
        <w:t>Dans le cas d</w:t>
      </w:r>
      <w:r>
        <w:rPr>
          <w:lang w:val="fr-FR"/>
        </w:rPr>
        <w:t>’</w:t>
      </w:r>
      <w:r w:rsidRPr="004D3E1A">
        <w:rPr>
          <w:lang w:val="fr-FR"/>
        </w:rPr>
        <w:t>un système reposant sur l</w:t>
      </w:r>
      <w:r>
        <w:rPr>
          <w:lang w:val="fr-FR"/>
        </w:rPr>
        <w:t>’</w:t>
      </w:r>
      <w:r w:rsidRPr="004D3E1A">
        <w:rPr>
          <w:lang w:val="fr-FR"/>
        </w:rPr>
        <w:t>actionnement continu de la télécommande, le véhicule doit s</w:t>
      </w:r>
      <w:r>
        <w:rPr>
          <w:lang w:val="fr-FR"/>
        </w:rPr>
        <w:t>’</w:t>
      </w:r>
      <w:r w:rsidRPr="004D3E1A">
        <w:rPr>
          <w:lang w:val="fr-FR"/>
        </w:rPr>
        <w:t>immobiliser immédiatement si</w:t>
      </w:r>
      <w:r>
        <w:rPr>
          <w:lang w:val="fr-FR"/>
        </w:rPr>
        <w:t> </w:t>
      </w:r>
      <w:r w:rsidRPr="004D3E1A">
        <w:rPr>
          <w:lang w:val="fr-FR"/>
        </w:rPr>
        <w:t>:</w:t>
      </w:r>
    </w:p>
    <w:p w14:paraId="5FB332D6" w14:textId="2B3622D6" w:rsidR="00E46471" w:rsidRPr="004D3E1A" w:rsidRDefault="00E46471" w:rsidP="00E46471">
      <w:pPr>
        <w:pStyle w:val="SingleTxtG"/>
        <w:ind w:left="2835" w:hanging="567"/>
        <w:rPr>
          <w:lang w:val="fr-FR"/>
        </w:rPr>
      </w:pPr>
      <w:r w:rsidRPr="004D3E1A">
        <w:rPr>
          <w:lang w:val="fr-FR"/>
        </w:rPr>
        <w:t>a)</w:t>
      </w:r>
      <w:r w:rsidRPr="004D3E1A">
        <w:rPr>
          <w:lang w:val="fr-FR"/>
        </w:rPr>
        <w:tab/>
        <w:t>L</w:t>
      </w:r>
      <w:r>
        <w:rPr>
          <w:lang w:val="fr-FR"/>
        </w:rPr>
        <w:t>’</w:t>
      </w:r>
      <w:r w:rsidRPr="004D3E1A">
        <w:rPr>
          <w:lang w:val="fr-FR"/>
        </w:rPr>
        <w:t>actionnement est interrompu</w:t>
      </w:r>
      <w:r>
        <w:rPr>
          <w:lang w:val="fr-FR"/>
        </w:rPr>
        <w:t> </w:t>
      </w:r>
      <w:r w:rsidRPr="004D3E1A">
        <w:rPr>
          <w:lang w:val="fr-FR"/>
        </w:rPr>
        <w:t>;</w:t>
      </w:r>
    </w:p>
    <w:p w14:paraId="78B2173A" w14:textId="67DFF793" w:rsidR="00E46471" w:rsidRPr="004D3E1A" w:rsidRDefault="00E46471" w:rsidP="00E46471">
      <w:pPr>
        <w:pStyle w:val="SingleTxtG"/>
        <w:ind w:left="2835" w:hanging="567"/>
        <w:rPr>
          <w:lang w:val="fr-FR"/>
        </w:rPr>
      </w:pPr>
      <w:r w:rsidRPr="004D3E1A">
        <w:rPr>
          <w:lang w:val="fr-FR"/>
        </w:rPr>
        <w:t>b)</w:t>
      </w:r>
      <w:r w:rsidRPr="004D3E1A">
        <w:rPr>
          <w:lang w:val="fr-FR"/>
        </w:rPr>
        <w:tab/>
        <w:t>La distance entre le véhicule et la télécommande dépasse la portée indiquée du système RCP (S</w:t>
      </w:r>
      <w:r w:rsidRPr="004D3E1A">
        <w:rPr>
          <w:vertAlign w:val="subscript"/>
          <w:lang w:val="fr-FR"/>
        </w:rPr>
        <w:t>RCPmax</w:t>
      </w:r>
      <w:r w:rsidRPr="004D3E1A">
        <w:rPr>
          <w:lang w:val="fr-FR"/>
        </w:rPr>
        <w:t>)</w:t>
      </w:r>
      <w:r>
        <w:rPr>
          <w:lang w:val="fr-FR"/>
        </w:rPr>
        <w:t> </w:t>
      </w:r>
      <w:r w:rsidRPr="004D3E1A">
        <w:rPr>
          <w:lang w:val="fr-FR"/>
        </w:rPr>
        <w:t>; ou</w:t>
      </w:r>
    </w:p>
    <w:p w14:paraId="633203F4" w14:textId="77777777" w:rsidR="00E46471" w:rsidRPr="004D3E1A" w:rsidRDefault="00E46471" w:rsidP="00E46471">
      <w:pPr>
        <w:pStyle w:val="SingleTxtG"/>
        <w:ind w:left="2835" w:hanging="567"/>
        <w:rPr>
          <w:lang w:val="fr-FR"/>
        </w:rPr>
      </w:pPr>
      <w:r w:rsidRPr="004D3E1A">
        <w:rPr>
          <w:lang w:val="fr-FR"/>
        </w:rPr>
        <w:t>c)</w:t>
      </w:r>
      <w:r w:rsidRPr="004D3E1A">
        <w:rPr>
          <w:lang w:val="fr-FR"/>
        </w:rPr>
        <w:tab/>
        <w:t>Le signal entre la télécommande et le véhicule s</w:t>
      </w:r>
      <w:r>
        <w:rPr>
          <w:lang w:val="fr-FR"/>
        </w:rPr>
        <w:t>’</w:t>
      </w:r>
      <w:r w:rsidRPr="004D3E1A">
        <w:rPr>
          <w:lang w:val="fr-FR"/>
        </w:rPr>
        <w:t xml:space="preserve">interrompt. </w:t>
      </w:r>
    </w:p>
    <w:p w14:paraId="10CE9976" w14:textId="77777777" w:rsidR="00E46471" w:rsidRPr="004D3E1A" w:rsidRDefault="00E46471" w:rsidP="00E46471">
      <w:pPr>
        <w:pStyle w:val="SingleTxtG"/>
        <w:ind w:left="2268"/>
        <w:rPr>
          <w:bCs/>
          <w:lang w:val="fr-FR"/>
        </w:rPr>
      </w:pPr>
      <w:r w:rsidRPr="004D3E1A">
        <w:rPr>
          <w:lang w:val="fr-FR"/>
        </w:rPr>
        <w:t>Dans le cas d</w:t>
      </w:r>
      <w:r>
        <w:rPr>
          <w:lang w:val="fr-FR"/>
        </w:rPr>
        <w:t>’</w:t>
      </w:r>
      <w:r w:rsidRPr="004D3E1A">
        <w:rPr>
          <w:lang w:val="fr-FR"/>
        </w:rPr>
        <w:t>un système reposant sur la détection de la position et des déplacements du conducteur, le véhicule doit s</w:t>
      </w:r>
      <w:r>
        <w:rPr>
          <w:lang w:val="fr-FR"/>
        </w:rPr>
        <w:t>’</w:t>
      </w:r>
      <w:r w:rsidRPr="004D3E1A">
        <w:rPr>
          <w:lang w:val="fr-FR"/>
        </w:rPr>
        <w:t>immobiliser immédiatement si :</w:t>
      </w:r>
    </w:p>
    <w:p w14:paraId="60E1F3F8" w14:textId="3C7D2750" w:rsidR="00E46471" w:rsidRPr="004D3E1A" w:rsidRDefault="00E46471" w:rsidP="00E46471">
      <w:pPr>
        <w:pStyle w:val="SingleTxtG"/>
        <w:ind w:left="2835" w:hanging="567"/>
        <w:rPr>
          <w:bCs/>
          <w:lang w:val="fr-FR"/>
        </w:rPr>
      </w:pPr>
      <w:r w:rsidRPr="004D3E1A">
        <w:rPr>
          <w:lang w:val="fr-FR"/>
        </w:rPr>
        <w:t>a)</w:t>
      </w:r>
      <w:r w:rsidRPr="004D3E1A">
        <w:rPr>
          <w:lang w:val="fr-FR"/>
        </w:rPr>
        <w:tab/>
        <w:t>Le déplacement continu du conducteur est interrompu</w:t>
      </w:r>
      <w:r w:rsidR="00087CF0">
        <w:rPr>
          <w:lang w:val="fr-FR"/>
        </w:rPr>
        <w:t> </w:t>
      </w:r>
      <w:r w:rsidRPr="004D3E1A">
        <w:rPr>
          <w:lang w:val="fr-FR"/>
        </w:rPr>
        <w:t>;</w:t>
      </w:r>
    </w:p>
    <w:p w14:paraId="57596276" w14:textId="77777777" w:rsidR="00E46471" w:rsidRPr="004D3E1A" w:rsidRDefault="00E46471" w:rsidP="00E46471">
      <w:pPr>
        <w:pStyle w:val="SingleTxtG"/>
        <w:ind w:left="2835" w:hanging="567"/>
        <w:rPr>
          <w:bCs/>
          <w:lang w:val="fr-FR"/>
        </w:rPr>
      </w:pPr>
      <w:r w:rsidRPr="004D3E1A">
        <w:rPr>
          <w:lang w:val="fr-FR"/>
        </w:rPr>
        <w:t>b)</w:t>
      </w:r>
      <w:r w:rsidRPr="004D3E1A">
        <w:rPr>
          <w:lang w:val="fr-FR"/>
        </w:rPr>
        <w:tab/>
        <w:t>La distance entre le véhicule et la télécommande ou le conducteur dépasse la portée indiquée du système RCP (S</w:t>
      </w:r>
      <w:r w:rsidRPr="004D3E1A">
        <w:rPr>
          <w:vertAlign w:val="subscript"/>
          <w:lang w:val="fr-FR"/>
        </w:rPr>
        <w:t>RCPmax</w:t>
      </w:r>
      <w:r w:rsidRPr="004D3E1A">
        <w:rPr>
          <w:lang w:val="fr-FR"/>
        </w:rPr>
        <w:t>) ;</w:t>
      </w:r>
    </w:p>
    <w:p w14:paraId="1B231BE4" w14:textId="1CCED1B5" w:rsidR="00E46471" w:rsidRPr="004D3E1A" w:rsidRDefault="00E46471" w:rsidP="00E46471">
      <w:pPr>
        <w:pStyle w:val="SingleTxtG"/>
        <w:ind w:left="2835" w:hanging="567"/>
        <w:rPr>
          <w:bCs/>
          <w:lang w:val="fr-FR"/>
        </w:rPr>
      </w:pPr>
      <w:r w:rsidRPr="004D3E1A">
        <w:rPr>
          <w:lang w:val="fr-FR"/>
        </w:rPr>
        <w:lastRenderedPageBreak/>
        <w:t>c)</w:t>
      </w:r>
      <w:r w:rsidRPr="004D3E1A">
        <w:rPr>
          <w:lang w:val="fr-FR"/>
        </w:rPr>
        <w:tab/>
        <w:t>Le conducteur n</w:t>
      </w:r>
      <w:r>
        <w:rPr>
          <w:lang w:val="fr-FR"/>
        </w:rPr>
        <w:t>’</w:t>
      </w:r>
      <w:r w:rsidRPr="004D3E1A">
        <w:rPr>
          <w:lang w:val="fr-FR"/>
        </w:rPr>
        <w:t>est plus détecté</w:t>
      </w:r>
      <w:r w:rsidR="00087CF0">
        <w:rPr>
          <w:lang w:val="fr-FR"/>
        </w:rPr>
        <w:t> </w:t>
      </w:r>
      <w:r w:rsidRPr="004D3E1A">
        <w:rPr>
          <w:lang w:val="fr-FR"/>
        </w:rPr>
        <w:t>; ou</w:t>
      </w:r>
    </w:p>
    <w:p w14:paraId="2CF1B732" w14:textId="77777777" w:rsidR="00E46471" w:rsidRPr="004D3E1A" w:rsidRDefault="00E46471" w:rsidP="00E46471">
      <w:pPr>
        <w:pStyle w:val="SingleTxtG"/>
        <w:ind w:left="2835" w:hanging="567"/>
        <w:rPr>
          <w:bCs/>
          <w:lang w:val="fr-FR"/>
        </w:rPr>
      </w:pPr>
      <w:r w:rsidRPr="004D3E1A">
        <w:rPr>
          <w:lang w:val="fr-FR"/>
        </w:rPr>
        <w:t>d)</w:t>
      </w:r>
      <w:r w:rsidRPr="004D3E1A">
        <w:rPr>
          <w:lang w:val="fr-FR"/>
        </w:rPr>
        <w:tab/>
        <w:t>La vitesse de déplacement du conducteur augmente rapidement. ».</w:t>
      </w:r>
    </w:p>
    <w:p w14:paraId="500DC9F0" w14:textId="2442D2EB" w:rsidR="00E46471" w:rsidRPr="004D3E1A" w:rsidRDefault="00E46471" w:rsidP="00E46471">
      <w:pPr>
        <w:pStyle w:val="SingleTxtG"/>
        <w:rPr>
          <w:bCs/>
          <w:lang w:val="fr-FR"/>
        </w:rPr>
      </w:pPr>
      <w:r w:rsidRPr="004D3E1A">
        <w:rPr>
          <w:i/>
          <w:iCs/>
          <w:lang w:val="fr-FR"/>
        </w:rPr>
        <w:t>Ajouter un nouveau paragraphe 5.6.1.2.9</w:t>
      </w:r>
      <w:r w:rsidRPr="004D3E1A">
        <w:rPr>
          <w:lang w:val="fr-FR"/>
        </w:rPr>
        <w:t>, libellé comme suit</w:t>
      </w:r>
      <w:r w:rsidR="00087CF0">
        <w:rPr>
          <w:lang w:val="fr-FR"/>
        </w:rPr>
        <w:t> </w:t>
      </w:r>
      <w:r w:rsidRPr="004D3E1A">
        <w:rPr>
          <w:lang w:val="fr-FR"/>
        </w:rPr>
        <w:t>:</w:t>
      </w:r>
    </w:p>
    <w:p w14:paraId="3C08CEAF" w14:textId="77777777" w:rsidR="00E46471" w:rsidRPr="004D3E1A" w:rsidRDefault="00E46471" w:rsidP="00E46471">
      <w:pPr>
        <w:pStyle w:val="SingleTxtG"/>
        <w:ind w:left="2268" w:hanging="1134"/>
        <w:rPr>
          <w:bCs/>
          <w:lang w:val="fr-FR"/>
        </w:rPr>
      </w:pPr>
      <w:r w:rsidRPr="004D3E1A">
        <w:rPr>
          <w:lang w:val="fr-FR"/>
        </w:rPr>
        <w:t>« 5.6.1.2.9</w:t>
      </w:r>
      <w:r w:rsidRPr="004D3E1A">
        <w:rPr>
          <w:lang w:val="fr-FR"/>
        </w:rPr>
        <w:tab/>
        <w:t>Pour les systèmes RCP reposant sur la détection de la position et des déplacements du conducteur, la désactivation visée au paragraphe 3.6.1.1.3 doit se faire au moyen d</w:t>
      </w:r>
      <w:r>
        <w:rPr>
          <w:lang w:val="fr-FR"/>
        </w:rPr>
        <w:t>’</w:t>
      </w:r>
      <w:r w:rsidRPr="004D3E1A">
        <w:rPr>
          <w:lang w:val="fr-FR"/>
        </w:rPr>
        <w:t>une action simple et évidente qui sera reconnue par le système. ».</w:t>
      </w:r>
    </w:p>
    <w:p w14:paraId="38EDE8E4" w14:textId="197259B7" w:rsidR="00E46471" w:rsidRPr="004D3E1A" w:rsidRDefault="00E46471" w:rsidP="00E46471">
      <w:pPr>
        <w:pStyle w:val="SingleTxtG"/>
        <w:rPr>
          <w:bCs/>
          <w:iCs/>
          <w:lang w:val="fr-FR"/>
        </w:rPr>
      </w:pPr>
      <w:r w:rsidRPr="004D3E1A">
        <w:rPr>
          <w:i/>
          <w:iCs/>
          <w:lang w:val="fr-FR"/>
        </w:rPr>
        <w:t>Ajouter un nouveau paragraphe 5.6.1.3.1.4</w:t>
      </w:r>
      <w:r w:rsidRPr="004D3E1A">
        <w:rPr>
          <w:lang w:val="fr-FR"/>
        </w:rPr>
        <w:t>, libellé comme suit</w:t>
      </w:r>
      <w:r w:rsidR="00087CF0">
        <w:rPr>
          <w:lang w:val="fr-FR"/>
        </w:rPr>
        <w:t> </w:t>
      </w:r>
      <w:r w:rsidRPr="004D3E1A">
        <w:rPr>
          <w:lang w:val="fr-FR"/>
        </w:rPr>
        <w:t>:</w:t>
      </w:r>
    </w:p>
    <w:p w14:paraId="1A0C3A16" w14:textId="77777777" w:rsidR="00E46471" w:rsidRPr="004D3E1A" w:rsidRDefault="00E46471" w:rsidP="00E46471">
      <w:pPr>
        <w:pStyle w:val="SingleTxtG"/>
        <w:ind w:left="2268" w:hanging="1134"/>
        <w:rPr>
          <w:bCs/>
          <w:lang w:val="fr-FR"/>
        </w:rPr>
      </w:pPr>
      <w:r w:rsidRPr="004D3E1A">
        <w:rPr>
          <w:lang w:val="fr-FR"/>
        </w:rPr>
        <w:t xml:space="preserve">« 5.6.1.3.1.4 </w:t>
      </w:r>
      <w:r w:rsidRPr="004D3E1A">
        <w:rPr>
          <w:lang w:val="fr-FR"/>
        </w:rPr>
        <w:tab/>
        <w:t>Pour les systèmes RCP reposant sur la détection de la position et des déplacements du conducteur, le constructeur, dans le cadre de l</w:t>
      </w:r>
      <w:r>
        <w:rPr>
          <w:lang w:val="fr-FR"/>
        </w:rPr>
        <w:t>’</w:t>
      </w:r>
      <w:r w:rsidRPr="004D3E1A">
        <w:rPr>
          <w:lang w:val="fr-FR"/>
        </w:rPr>
        <w:t>homologation de type, doit expliquer au service technique comment une personne est identifiée comme étant le conducteur, comment la position et les déplacements de cette personne sont suivis et comment le conducteur active et désactive la commande. Cette explication doit être approuvée par le service technique. ».</w:t>
      </w:r>
    </w:p>
    <w:p w14:paraId="621D2DDD" w14:textId="3BD5C16D" w:rsidR="00E46471" w:rsidRPr="004D3E1A" w:rsidRDefault="00E46471" w:rsidP="00E46471">
      <w:pPr>
        <w:pStyle w:val="SingleTxtG"/>
        <w:rPr>
          <w:b/>
          <w:bCs/>
          <w:lang w:val="fr-FR"/>
        </w:rPr>
      </w:pPr>
      <w:r w:rsidRPr="004D3E1A">
        <w:rPr>
          <w:i/>
          <w:iCs/>
          <w:lang w:val="fr-FR"/>
        </w:rPr>
        <w:t>Annexe 8, paragraphe 3.3.4</w:t>
      </w:r>
      <w:r w:rsidRPr="004D3E1A">
        <w:rPr>
          <w:lang w:val="fr-FR"/>
        </w:rPr>
        <w:t>, lire</w:t>
      </w:r>
      <w:r w:rsidR="00087CF0">
        <w:rPr>
          <w:lang w:val="fr-FR"/>
        </w:rPr>
        <w:t> </w:t>
      </w:r>
      <w:r w:rsidRPr="004D3E1A">
        <w:rPr>
          <w:lang w:val="fr-FR"/>
        </w:rPr>
        <w:t>:</w:t>
      </w:r>
    </w:p>
    <w:p w14:paraId="14756941" w14:textId="126A3EBA" w:rsidR="00E46471" w:rsidRPr="004D3E1A" w:rsidRDefault="00E46471" w:rsidP="00E46471">
      <w:pPr>
        <w:pStyle w:val="SingleTxtG"/>
        <w:ind w:left="2268" w:hanging="1134"/>
        <w:rPr>
          <w:lang w:val="fr-FR"/>
        </w:rPr>
      </w:pPr>
      <w:r w:rsidRPr="004D3E1A">
        <w:rPr>
          <w:lang w:val="fr-FR"/>
        </w:rPr>
        <w:t>« 3.3.4</w:t>
      </w:r>
      <w:r w:rsidRPr="004D3E1A">
        <w:rPr>
          <w:lang w:val="fr-FR"/>
        </w:rPr>
        <w:tab/>
        <w:t>Essais des systèmes pouvant fonctionner en l</w:t>
      </w:r>
      <w:r>
        <w:rPr>
          <w:lang w:val="fr-FR"/>
        </w:rPr>
        <w:t>’</w:t>
      </w:r>
      <w:r w:rsidRPr="004D3E1A">
        <w:rPr>
          <w:lang w:val="fr-FR"/>
        </w:rPr>
        <w:t>absence de marques routières</w:t>
      </w:r>
      <w:r w:rsidR="00087CF0">
        <w:rPr>
          <w:lang w:val="fr-FR"/>
        </w:rPr>
        <w:t>.</w:t>
      </w:r>
      <w:r w:rsidRPr="004D3E1A">
        <w:rPr>
          <w:lang w:val="fr-FR"/>
        </w:rPr>
        <w:t xml:space="preserve"> Dans le cas d</w:t>
      </w:r>
      <w:r>
        <w:rPr>
          <w:lang w:val="fr-FR"/>
        </w:rPr>
        <w:t>’</w:t>
      </w:r>
      <w:r w:rsidRPr="004D3E1A">
        <w:rPr>
          <w:lang w:val="fr-FR"/>
        </w:rPr>
        <w:t>un système pouvant fonctionner en l</w:t>
      </w:r>
      <w:r>
        <w:rPr>
          <w:lang w:val="fr-FR"/>
        </w:rPr>
        <w:t>’</w:t>
      </w:r>
      <w:r w:rsidRPr="004D3E1A">
        <w:rPr>
          <w:lang w:val="fr-FR"/>
        </w:rPr>
        <w:t>absence de marques routières, les essais correspondants visés aux paragraphes 3.3.1 à 3.3.3 doivent être répétés sur une piste d</w:t>
      </w:r>
      <w:r>
        <w:rPr>
          <w:lang w:val="fr-FR"/>
        </w:rPr>
        <w:t>’</w:t>
      </w:r>
      <w:r w:rsidRPr="004D3E1A">
        <w:rPr>
          <w:lang w:val="fr-FR"/>
        </w:rPr>
        <w:t>essai dépourvue de marques routières. Les prescriptions d</w:t>
      </w:r>
      <w:r>
        <w:rPr>
          <w:lang w:val="fr-FR"/>
        </w:rPr>
        <w:t>’</w:t>
      </w:r>
      <w:r w:rsidRPr="004D3E1A">
        <w:rPr>
          <w:lang w:val="fr-FR"/>
        </w:rPr>
        <w:t xml:space="preserve">essai sont satisfaites si : </w:t>
      </w:r>
    </w:p>
    <w:p w14:paraId="7753A0A7" w14:textId="28F38ED2" w:rsidR="00E46471" w:rsidRPr="004D3E1A" w:rsidRDefault="00E46471" w:rsidP="00E46471">
      <w:pPr>
        <w:pStyle w:val="SingleTxtG"/>
        <w:ind w:left="2835" w:hanging="567"/>
        <w:rPr>
          <w:lang w:val="fr-FR"/>
        </w:rPr>
      </w:pPr>
      <w:r w:rsidRPr="004D3E1A">
        <w:rPr>
          <w:lang w:val="fr-FR"/>
        </w:rPr>
        <w:t>a)</w:t>
      </w:r>
      <w:r w:rsidRPr="004D3E1A">
        <w:rPr>
          <w:lang w:val="fr-FR"/>
        </w:rPr>
        <w:tab/>
        <w:t>Une intervention de l</w:t>
      </w:r>
      <w:r>
        <w:rPr>
          <w:lang w:val="fr-FR"/>
        </w:rPr>
        <w:t>’</w:t>
      </w:r>
      <w:r w:rsidRPr="004D3E1A">
        <w:rPr>
          <w:lang w:val="fr-FR"/>
        </w:rPr>
        <w:t>ESF est déclenchée</w:t>
      </w:r>
      <w:r w:rsidR="00087CF0">
        <w:rPr>
          <w:lang w:val="fr-FR"/>
        </w:rPr>
        <w:t> </w:t>
      </w:r>
      <w:r w:rsidRPr="004D3E1A">
        <w:rPr>
          <w:lang w:val="fr-FR"/>
        </w:rPr>
        <w:t xml:space="preserve">;  </w:t>
      </w:r>
    </w:p>
    <w:p w14:paraId="5E470FCA" w14:textId="77777777" w:rsidR="00E46471" w:rsidRPr="004D3E1A" w:rsidRDefault="00E46471" w:rsidP="00E46471">
      <w:pPr>
        <w:pStyle w:val="SingleTxtG"/>
        <w:ind w:left="2835" w:hanging="567"/>
        <w:rPr>
          <w:lang w:val="fr-FR"/>
        </w:rPr>
      </w:pPr>
      <w:r w:rsidRPr="004D3E1A">
        <w:rPr>
          <w:lang w:val="fr-FR"/>
        </w:rPr>
        <w:t>b)</w:t>
      </w:r>
      <w:r w:rsidRPr="004D3E1A">
        <w:rPr>
          <w:lang w:val="fr-FR"/>
        </w:rPr>
        <w:tab/>
        <w:t>Les signaux d</w:t>
      </w:r>
      <w:r>
        <w:rPr>
          <w:lang w:val="fr-FR"/>
        </w:rPr>
        <w:t>’</w:t>
      </w:r>
      <w:r w:rsidRPr="004D3E1A">
        <w:rPr>
          <w:lang w:val="fr-FR"/>
        </w:rPr>
        <w:t>avertissement prescrits au paragraphe 5.1.6.2.6 du présent Règlement sont émis au plus tard au début de l</w:t>
      </w:r>
      <w:r>
        <w:rPr>
          <w:lang w:val="fr-FR"/>
        </w:rPr>
        <w:t>’</w:t>
      </w:r>
      <w:r w:rsidRPr="004D3E1A">
        <w:rPr>
          <w:lang w:val="fr-FR"/>
        </w:rPr>
        <w:t xml:space="preserve">intervention ;  </w:t>
      </w:r>
    </w:p>
    <w:p w14:paraId="6735B297" w14:textId="77777777" w:rsidR="00E46471" w:rsidRPr="004D3E1A" w:rsidRDefault="00E46471" w:rsidP="00E46471">
      <w:pPr>
        <w:pStyle w:val="SingleTxtG"/>
        <w:ind w:left="2835" w:hanging="567"/>
        <w:rPr>
          <w:rFonts w:eastAsia="Calibri"/>
          <w:lang w:val="fr-FR"/>
        </w:rPr>
      </w:pPr>
      <w:r w:rsidRPr="004D3E1A">
        <w:rPr>
          <w:lang w:val="fr-FR"/>
        </w:rPr>
        <w:t>c)</w:t>
      </w:r>
      <w:r w:rsidRPr="004D3E1A">
        <w:rPr>
          <w:lang w:val="fr-FR"/>
        </w:rPr>
        <w:tab/>
        <w:t>Comme indiqué au paragraphe 5.1.6.2.3.2, le déport latéral ne doit pas être supérieur à 0,75 m pendant la manœuvre ou, si cette valeur est dépassée en cas d</w:t>
      </w:r>
      <w:r>
        <w:rPr>
          <w:lang w:val="fr-FR"/>
        </w:rPr>
        <w:t>’</w:t>
      </w:r>
      <w:r w:rsidRPr="004D3E1A">
        <w:rPr>
          <w:lang w:val="fr-FR"/>
        </w:rPr>
        <w:t>intervention de l</w:t>
      </w:r>
      <w:r>
        <w:rPr>
          <w:lang w:val="fr-FR"/>
        </w:rPr>
        <w:t>’</w:t>
      </w:r>
      <w:r w:rsidRPr="004D3E1A">
        <w:rPr>
          <w:lang w:val="fr-FR"/>
        </w:rPr>
        <w:t>ESF sur le véhicule à moins de 20 km/h, le taux du déport latéral ne doit pas dépasser 2 m/s ;</w:t>
      </w:r>
    </w:p>
    <w:p w14:paraId="12112E83" w14:textId="77777777" w:rsidR="00E46471" w:rsidRPr="004D3E1A" w:rsidRDefault="00E46471" w:rsidP="00E46471">
      <w:pPr>
        <w:pStyle w:val="SingleTxtG"/>
        <w:ind w:left="2835" w:hanging="567"/>
        <w:rPr>
          <w:lang w:val="fr-FR"/>
        </w:rPr>
      </w:pPr>
      <w:r w:rsidRPr="004D3E1A">
        <w:rPr>
          <w:lang w:val="fr-FR"/>
        </w:rPr>
        <w:t>d)</w:t>
      </w:r>
      <w:r w:rsidRPr="004D3E1A">
        <w:rPr>
          <w:lang w:val="fr-FR"/>
        </w:rPr>
        <w:tab/>
        <w:t>Le véhicule n</w:t>
      </w:r>
      <w:r>
        <w:rPr>
          <w:lang w:val="fr-FR"/>
        </w:rPr>
        <w:t>’</w:t>
      </w:r>
      <w:r w:rsidRPr="004D3E1A">
        <w:rPr>
          <w:lang w:val="fr-FR"/>
        </w:rPr>
        <w:t>a pas quitté la chaussée en raison de l</w:t>
      </w:r>
      <w:r>
        <w:rPr>
          <w:lang w:val="fr-FR"/>
        </w:rPr>
        <w:t>’</w:t>
      </w:r>
      <w:r w:rsidRPr="004D3E1A">
        <w:rPr>
          <w:lang w:val="fr-FR"/>
        </w:rPr>
        <w:t>intervention de l</w:t>
      </w:r>
      <w:r>
        <w:rPr>
          <w:lang w:val="fr-FR"/>
        </w:rPr>
        <w:t>’</w:t>
      </w:r>
      <w:r w:rsidRPr="004D3E1A">
        <w:rPr>
          <w:lang w:val="fr-FR"/>
        </w:rPr>
        <w:t>ESF, si cette prescription est applicable au cas d</w:t>
      </w:r>
      <w:r>
        <w:rPr>
          <w:lang w:val="fr-FR"/>
        </w:rPr>
        <w:t>’</w:t>
      </w:r>
      <w:r w:rsidRPr="004D3E1A">
        <w:rPr>
          <w:lang w:val="fr-FR"/>
        </w:rPr>
        <w:t>utilisation indiqué. ».</w:t>
      </w:r>
    </w:p>
    <w:p w14:paraId="38322165" w14:textId="77777777" w:rsidR="00E46471" w:rsidRPr="004D3E1A" w:rsidRDefault="00E46471" w:rsidP="00E46471">
      <w:pPr>
        <w:spacing w:before="240"/>
        <w:jc w:val="center"/>
        <w:rPr>
          <w:u w:val="single"/>
          <w:lang w:val="fr-FR"/>
        </w:rPr>
      </w:pPr>
      <w:r w:rsidRPr="004D3E1A">
        <w:rPr>
          <w:u w:val="single"/>
          <w:lang w:val="fr-FR"/>
        </w:rPr>
        <w:tab/>
      </w:r>
      <w:r w:rsidRPr="004D3E1A">
        <w:rPr>
          <w:u w:val="single"/>
          <w:lang w:val="fr-FR"/>
        </w:rPr>
        <w:tab/>
      </w:r>
      <w:r w:rsidRPr="004D3E1A">
        <w:rPr>
          <w:u w:val="single"/>
          <w:lang w:val="fr-FR"/>
        </w:rPr>
        <w:tab/>
      </w:r>
    </w:p>
    <w:p w14:paraId="04845297" w14:textId="77777777" w:rsidR="00F9573C" w:rsidRPr="00E46471" w:rsidRDefault="00F9573C" w:rsidP="00E46471">
      <w:pPr>
        <w:spacing w:before="120" w:line="240" w:lineRule="exact"/>
        <w:rPr>
          <w:lang w:val="fr-FR"/>
        </w:rPr>
      </w:pPr>
    </w:p>
    <w:sectPr w:rsidR="00F9573C" w:rsidRPr="00E46471" w:rsidSect="00E4647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31884" w14:textId="77777777" w:rsidR="00BD4D44" w:rsidRDefault="00BD4D44" w:rsidP="00F95C08">
      <w:pPr>
        <w:spacing w:line="240" w:lineRule="auto"/>
      </w:pPr>
    </w:p>
  </w:endnote>
  <w:endnote w:type="continuationSeparator" w:id="0">
    <w:p w14:paraId="2AE2239B" w14:textId="77777777" w:rsidR="00BD4D44" w:rsidRPr="00AC3823" w:rsidRDefault="00BD4D44" w:rsidP="00AC3823">
      <w:pPr>
        <w:pStyle w:val="Pieddepage"/>
      </w:pPr>
    </w:p>
  </w:endnote>
  <w:endnote w:type="continuationNotice" w:id="1">
    <w:p w14:paraId="095FFDF8" w14:textId="77777777" w:rsidR="00BD4D44" w:rsidRDefault="00BD4D4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27665" w14:textId="7862B54D" w:rsidR="00E46471" w:rsidRPr="00E46471" w:rsidRDefault="00E46471" w:rsidP="00E46471">
    <w:pPr>
      <w:pStyle w:val="Pieddepage"/>
      <w:tabs>
        <w:tab w:val="right" w:pos="9638"/>
      </w:tabs>
    </w:pPr>
    <w:r w:rsidRPr="00E46471">
      <w:rPr>
        <w:b/>
        <w:sz w:val="18"/>
      </w:rPr>
      <w:fldChar w:fldCharType="begin"/>
    </w:r>
    <w:r w:rsidRPr="00E46471">
      <w:rPr>
        <w:b/>
        <w:sz w:val="18"/>
      </w:rPr>
      <w:instrText xml:space="preserve"> PAGE  \* MERGEFORMAT </w:instrText>
    </w:r>
    <w:r w:rsidRPr="00E46471">
      <w:rPr>
        <w:b/>
        <w:sz w:val="18"/>
      </w:rPr>
      <w:fldChar w:fldCharType="separate"/>
    </w:r>
    <w:r w:rsidRPr="00E46471">
      <w:rPr>
        <w:b/>
        <w:noProof/>
        <w:sz w:val="18"/>
      </w:rPr>
      <w:t>2</w:t>
    </w:r>
    <w:r w:rsidRPr="00E46471">
      <w:rPr>
        <w:b/>
        <w:sz w:val="18"/>
      </w:rPr>
      <w:fldChar w:fldCharType="end"/>
    </w:r>
    <w:r>
      <w:rPr>
        <w:b/>
        <w:sz w:val="18"/>
      </w:rPr>
      <w:tab/>
    </w:r>
    <w:r>
      <w:t>GE.21-12566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83F14" w14:textId="3FE2B546" w:rsidR="00E46471" w:rsidRPr="00E46471" w:rsidRDefault="00E46471" w:rsidP="00E46471">
    <w:pPr>
      <w:pStyle w:val="Pieddepage"/>
      <w:tabs>
        <w:tab w:val="right" w:pos="9638"/>
      </w:tabs>
      <w:rPr>
        <w:b/>
        <w:sz w:val="18"/>
      </w:rPr>
    </w:pPr>
    <w:r>
      <w:t>GE.21-12566</w:t>
    </w:r>
    <w:r>
      <w:tab/>
    </w:r>
    <w:r w:rsidRPr="00E46471">
      <w:rPr>
        <w:b/>
        <w:sz w:val="18"/>
      </w:rPr>
      <w:fldChar w:fldCharType="begin"/>
    </w:r>
    <w:r w:rsidRPr="00E46471">
      <w:rPr>
        <w:b/>
        <w:sz w:val="18"/>
      </w:rPr>
      <w:instrText xml:space="preserve"> PAGE  \* MERGEFORMAT </w:instrText>
    </w:r>
    <w:r w:rsidRPr="00E46471">
      <w:rPr>
        <w:b/>
        <w:sz w:val="18"/>
      </w:rPr>
      <w:fldChar w:fldCharType="separate"/>
    </w:r>
    <w:r w:rsidRPr="00E46471">
      <w:rPr>
        <w:b/>
        <w:noProof/>
        <w:sz w:val="18"/>
      </w:rPr>
      <w:t>3</w:t>
    </w:r>
    <w:r w:rsidRPr="00E4647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4C611" w14:textId="4A6DDFE1" w:rsidR="007F20FA" w:rsidRPr="00E46471" w:rsidRDefault="00E46471" w:rsidP="00E46471">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68677E9" wp14:editId="450BD21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21-12566  (F)</w:t>
    </w:r>
    <w:r>
      <w:rPr>
        <w:noProof/>
        <w:sz w:val="20"/>
      </w:rPr>
      <w:drawing>
        <wp:anchor distT="0" distB="0" distL="114300" distR="114300" simplePos="0" relativeHeight="251660288" behindDoc="0" locked="0" layoutInCell="1" allowOverlap="1" wp14:anchorId="5DDF8E70" wp14:editId="7A1DB996">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300921    011021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8DF96" w14:textId="77777777" w:rsidR="00BD4D44" w:rsidRPr="00AC3823" w:rsidRDefault="00BD4D44" w:rsidP="00AC3823">
      <w:pPr>
        <w:pStyle w:val="Pieddepage"/>
        <w:tabs>
          <w:tab w:val="right" w:pos="2155"/>
        </w:tabs>
        <w:spacing w:after="80" w:line="240" w:lineRule="atLeast"/>
        <w:ind w:left="680"/>
        <w:rPr>
          <w:u w:val="single"/>
        </w:rPr>
      </w:pPr>
      <w:r>
        <w:rPr>
          <w:u w:val="single"/>
        </w:rPr>
        <w:tab/>
      </w:r>
    </w:p>
  </w:footnote>
  <w:footnote w:type="continuationSeparator" w:id="0">
    <w:p w14:paraId="2F17CD3F" w14:textId="77777777" w:rsidR="00BD4D44" w:rsidRPr="00AC3823" w:rsidRDefault="00BD4D44" w:rsidP="00AC3823">
      <w:pPr>
        <w:pStyle w:val="Pieddepage"/>
        <w:tabs>
          <w:tab w:val="right" w:pos="2155"/>
        </w:tabs>
        <w:spacing w:after="80" w:line="240" w:lineRule="atLeast"/>
        <w:ind w:left="680"/>
        <w:rPr>
          <w:u w:val="single"/>
        </w:rPr>
      </w:pPr>
      <w:r>
        <w:rPr>
          <w:u w:val="single"/>
        </w:rPr>
        <w:tab/>
      </w:r>
    </w:p>
  </w:footnote>
  <w:footnote w:type="continuationNotice" w:id="1">
    <w:p w14:paraId="3E2FE04C" w14:textId="77777777" w:rsidR="00BD4D44" w:rsidRPr="00AC3823" w:rsidRDefault="00BD4D44">
      <w:pPr>
        <w:spacing w:line="240" w:lineRule="auto"/>
        <w:rPr>
          <w:sz w:val="2"/>
          <w:szCs w:val="2"/>
        </w:rPr>
      </w:pPr>
    </w:p>
  </w:footnote>
  <w:footnote w:id="2">
    <w:p w14:paraId="7637F64E" w14:textId="77777777" w:rsidR="00E46471" w:rsidRPr="004D3E1A" w:rsidRDefault="00E46471" w:rsidP="00E46471">
      <w:pPr>
        <w:pStyle w:val="Notedebasdepage"/>
        <w:rPr>
          <w:lang w:val="fr-FR"/>
        </w:rPr>
      </w:pPr>
      <w:r>
        <w:rPr>
          <w:lang w:val="fr-FR"/>
        </w:rPr>
        <w:tab/>
      </w:r>
      <w:r w:rsidRPr="00E46471">
        <w:rPr>
          <w:sz w:val="20"/>
          <w:lang w:val="fr-FR"/>
        </w:rPr>
        <w:t>*</w:t>
      </w:r>
      <w:r>
        <w:rPr>
          <w:lang w:val="fr-FR"/>
        </w:rPr>
        <w:tab/>
        <w:t>Conformément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75181" w14:textId="2AB58C53" w:rsidR="00E46471" w:rsidRPr="00E46471" w:rsidRDefault="00E46471">
    <w:pPr>
      <w:pStyle w:val="En-tte"/>
    </w:pPr>
    <w:fldSimple w:instr=" TITLE  \* MERGEFORMAT ">
      <w:r w:rsidR="00A011F6">
        <w:t>ECE/TRANS/WP.29/2021/137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39397" w14:textId="3858FBDF" w:rsidR="00E46471" w:rsidRPr="00E46471" w:rsidRDefault="00E46471" w:rsidP="00E46471">
    <w:pPr>
      <w:pStyle w:val="En-tte"/>
      <w:jc w:val="right"/>
    </w:pPr>
    <w:fldSimple w:instr=" TITLE  \* MERGEFORMAT ">
      <w:r w:rsidR="00A011F6">
        <w:t>ECE/TRANS/WP.29/2021/137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D44"/>
    <w:rsid w:val="00017F94"/>
    <w:rsid w:val="00023842"/>
    <w:rsid w:val="000334F9"/>
    <w:rsid w:val="00045FEB"/>
    <w:rsid w:val="0007796D"/>
    <w:rsid w:val="00087CF0"/>
    <w:rsid w:val="000B7790"/>
    <w:rsid w:val="000C5A3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9446C0"/>
    <w:rsid w:val="009705C8"/>
    <w:rsid w:val="009C1CF4"/>
    <w:rsid w:val="009F6B74"/>
    <w:rsid w:val="00A011F6"/>
    <w:rsid w:val="00A3029F"/>
    <w:rsid w:val="00A30353"/>
    <w:rsid w:val="00AC3823"/>
    <w:rsid w:val="00AE323C"/>
    <w:rsid w:val="00AF0CB5"/>
    <w:rsid w:val="00B00181"/>
    <w:rsid w:val="00B00B0D"/>
    <w:rsid w:val="00B45F2E"/>
    <w:rsid w:val="00B765F7"/>
    <w:rsid w:val="00B77993"/>
    <w:rsid w:val="00BA0CA9"/>
    <w:rsid w:val="00BD4D44"/>
    <w:rsid w:val="00C02897"/>
    <w:rsid w:val="00C97039"/>
    <w:rsid w:val="00D3439C"/>
    <w:rsid w:val="00D7622E"/>
    <w:rsid w:val="00DB1831"/>
    <w:rsid w:val="00DD3BFD"/>
    <w:rsid w:val="00DF6678"/>
    <w:rsid w:val="00E0299A"/>
    <w:rsid w:val="00E46471"/>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DAAB9D"/>
  <w15:docId w15:val="{D5A67A29-6AB2-412B-856A-AB05B437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E Fußnotentext,footnote text,Fußnotentext Ursprung,Footnote Text Char Char,Footnote Text Char Char Char Char,Footnote Text1,Footnote Text Char Char Char,Fußnotentext Char1,Fußnotentext Char Char,Fußn,5_GR"/>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E Fußnotentext Car,footnote text Car,Fußnotentext Ursprung Car,Footnote Text Char Char Car,Footnote Text Char Char Char Char Car,Footnote Text1 Car,Footnote Text Char Char Char Car,Fußnotentext Char1 Car"/>
    <w:basedOn w:val="Policepardfaut"/>
    <w:link w:val="Notedebasdepage"/>
    <w:uiPriority w:val="99"/>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basedOn w:val="Policepardfaut"/>
    <w:link w:val="SingleTxtG"/>
    <w:qFormat/>
    <w:rsid w:val="00E46471"/>
    <w:rPr>
      <w:rFonts w:ascii="Times New Roman" w:eastAsiaTheme="minorHAnsi" w:hAnsi="Times New Roman" w:cs="Times New Roman"/>
      <w:sz w:val="20"/>
      <w:szCs w:val="20"/>
      <w:lang w:eastAsia="en-US"/>
    </w:rPr>
  </w:style>
  <w:style w:type="character" w:customStyle="1" w:styleId="HChGChar">
    <w:name w:val="_ H _Ch_G Char"/>
    <w:link w:val="HChG"/>
    <w:rsid w:val="00E46471"/>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3</Pages>
  <Words>957</Words>
  <Characters>5129</Characters>
  <Application>Microsoft Office Word</Application>
  <DocSecurity>0</DocSecurity>
  <Lines>109</Lines>
  <Paragraphs>50</Paragraphs>
  <ScaleCrop>false</ScaleCrop>
  <HeadingPairs>
    <vt:vector size="2" baseType="variant">
      <vt:variant>
        <vt:lpstr>Titre</vt:lpstr>
      </vt:variant>
      <vt:variant>
        <vt:i4>1</vt:i4>
      </vt:variant>
    </vt:vector>
  </HeadingPairs>
  <TitlesOfParts>
    <vt:vector size="1" baseType="lpstr">
      <vt:lpstr>ECE/TRANS/WP.29/2021/137</vt:lpstr>
    </vt:vector>
  </TitlesOfParts>
  <Company>DCM</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ECE/TRANS/WP.29/2021/137</dc:title>
  <dc:subject/>
  <dc:creator>Sandrine CLERE</dc:creator>
  <cp:keywords/>
  <cp:lastModifiedBy>Sandrine Clere</cp:lastModifiedBy>
  <cp:revision>3</cp:revision>
  <cp:lastPrinted>2021-10-01T05:08:00Z</cp:lastPrinted>
  <dcterms:created xsi:type="dcterms:W3CDTF">2021-10-01T05:08:00Z</dcterms:created>
  <dcterms:modified xsi:type="dcterms:W3CDTF">2021-10-01T05:09:00Z</dcterms:modified>
</cp:coreProperties>
</file>