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12C914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C71F7B0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38045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0C2D23" w14:textId="1B535FF0" w:rsidR="00F35BAF" w:rsidRPr="00DB58B5" w:rsidRDefault="00DD4BF4" w:rsidP="00DD4BF4">
            <w:pPr>
              <w:jc w:val="right"/>
            </w:pPr>
            <w:r w:rsidRPr="00DD4BF4">
              <w:rPr>
                <w:sz w:val="40"/>
              </w:rPr>
              <w:t>ECE</w:t>
            </w:r>
            <w:r>
              <w:t>/TRANS/WP.29/2021/132</w:t>
            </w:r>
          </w:p>
        </w:tc>
      </w:tr>
      <w:tr w:rsidR="00F35BAF" w:rsidRPr="00DB58B5" w14:paraId="7A69A31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5CD0FB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1176F2" wp14:editId="020D0FF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E042D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DACB7A" w14:textId="77777777" w:rsidR="00F35BAF" w:rsidRDefault="00DD4BF4" w:rsidP="00C97039">
            <w:pPr>
              <w:spacing w:before="240"/>
            </w:pPr>
            <w:r>
              <w:t>Distr. générale</w:t>
            </w:r>
          </w:p>
          <w:p w14:paraId="605666A6" w14:textId="42BA2A28" w:rsidR="00DD4BF4" w:rsidRDefault="00DD4BF4" w:rsidP="00DD4BF4">
            <w:pPr>
              <w:spacing w:line="240" w:lineRule="exact"/>
            </w:pPr>
            <w:r>
              <w:t>13 septembre 2021</w:t>
            </w:r>
          </w:p>
          <w:p w14:paraId="455417C8" w14:textId="77777777" w:rsidR="00DD4BF4" w:rsidRDefault="00DD4BF4" w:rsidP="00DD4BF4">
            <w:pPr>
              <w:spacing w:line="240" w:lineRule="exact"/>
            </w:pPr>
            <w:r>
              <w:t>Français</w:t>
            </w:r>
          </w:p>
          <w:p w14:paraId="6471BCEC" w14:textId="65D4DB57" w:rsidR="00DD4BF4" w:rsidRPr="00DB58B5" w:rsidRDefault="00DD4BF4" w:rsidP="00DD4BF4">
            <w:pPr>
              <w:spacing w:line="240" w:lineRule="exact"/>
            </w:pPr>
            <w:r>
              <w:t>Original : anglais</w:t>
            </w:r>
          </w:p>
        </w:tc>
      </w:tr>
    </w:tbl>
    <w:p w14:paraId="41A399A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C49865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4987021" w14:textId="361C95E9" w:rsidR="00DD4BF4" w:rsidRDefault="00DD4BF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71276F5" w14:textId="30258FB4" w:rsidR="00DD4BF4" w:rsidRDefault="00DD4BF4" w:rsidP="00AF0CB5">
      <w:pPr>
        <w:spacing w:before="120" w:line="240" w:lineRule="exact"/>
        <w:rPr>
          <w:b/>
        </w:rPr>
      </w:pPr>
      <w:r>
        <w:rPr>
          <w:b/>
        </w:rPr>
        <w:t>185</w:t>
      </w:r>
      <w:r w:rsidRPr="00DD4BF4">
        <w:rPr>
          <w:b/>
          <w:vertAlign w:val="superscript"/>
        </w:rPr>
        <w:t>e</w:t>
      </w:r>
      <w:r>
        <w:rPr>
          <w:b/>
        </w:rPr>
        <w:t> session</w:t>
      </w:r>
    </w:p>
    <w:p w14:paraId="7A6A6E17" w14:textId="19BB1526" w:rsidR="00DD4BF4" w:rsidRDefault="00DD4BF4" w:rsidP="00AF0CB5">
      <w:pPr>
        <w:spacing w:line="240" w:lineRule="exact"/>
      </w:pPr>
      <w:r>
        <w:t>Genève, 23-25 novembre 2021</w:t>
      </w:r>
    </w:p>
    <w:p w14:paraId="600E676F" w14:textId="47831CF6" w:rsidR="00DD4BF4" w:rsidRDefault="00DD4BF4" w:rsidP="00AF0CB5">
      <w:pPr>
        <w:spacing w:line="240" w:lineRule="exact"/>
      </w:pPr>
      <w:r>
        <w:t>Point 4.9.5 de l’ordre du jour provisoire</w:t>
      </w:r>
    </w:p>
    <w:p w14:paraId="60EC7422" w14:textId="68DF696B" w:rsidR="00DD4BF4" w:rsidRPr="004B22BC" w:rsidRDefault="00DD4BF4" w:rsidP="00DD4BF4">
      <w:pPr>
        <w:rPr>
          <w:b/>
          <w:bCs/>
        </w:rPr>
      </w:pPr>
      <w:r>
        <w:rPr>
          <w:b/>
          <w:bCs/>
          <w:lang w:val="fr-FR"/>
        </w:rPr>
        <w:t>Accord de 1958 :</w:t>
      </w:r>
      <w:r>
        <w:rPr>
          <w:b/>
          <w:bCs/>
          <w:lang w:val="fr-FR"/>
        </w:rPr>
        <w:t xml:space="preserve"> </w:t>
      </w:r>
      <w:r w:rsidRPr="00F05345">
        <w:rPr>
          <w:b/>
          <w:bCs/>
        </w:rPr>
        <w:t>Examen de projets d</w:t>
      </w:r>
      <w:r>
        <w:rPr>
          <w:b/>
          <w:bCs/>
        </w:rPr>
        <w:t>’</w:t>
      </w:r>
      <w:r w:rsidRPr="00F05345">
        <w:rPr>
          <w:b/>
          <w:bCs/>
        </w:rPr>
        <w:t xml:space="preserve">amendements </w:t>
      </w:r>
      <w:r>
        <w:rPr>
          <w:b/>
          <w:bCs/>
        </w:rPr>
        <w:br/>
      </w:r>
      <w:r w:rsidRPr="00F05345">
        <w:rPr>
          <w:b/>
          <w:bCs/>
        </w:rPr>
        <w:t>à des Règlements ONU existants, soumis par le</w:t>
      </w:r>
      <w:r>
        <w:rPr>
          <w:b/>
          <w:bCs/>
        </w:rPr>
        <w:t xml:space="preserve"> GRPE</w:t>
      </w:r>
    </w:p>
    <w:p w14:paraId="6A3039A1" w14:textId="7C6258E4" w:rsidR="00DD4BF4" w:rsidRPr="00AA5389" w:rsidRDefault="00DD4BF4" w:rsidP="00DD4BF4">
      <w:pPr>
        <w:pStyle w:val="HChG"/>
        <w:rPr>
          <w:lang w:val="fr-FR"/>
        </w:rPr>
      </w:pPr>
      <w:r w:rsidRPr="00DD4BF4">
        <w:rPr>
          <w:spacing w:val="2"/>
          <w:lang w:val="fr-FR"/>
        </w:rPr>
        <w:tab/>
      </w:r>
      <w:r w:rsidRPr="00DD4BF4">
        <w:rPr>
          <w:spacing w:val="2"/>
          <w:lang w:val="fr-FR"/>
        </w:rPr>
        <w:tab/>
      </w:r>
      <w:r w:rsidRPr="00DD4BF4">
        <w:rPr>
          <w:spacing w:val="2"/>
          <w:lang w:val="fr-FR"/>
        </w:rPr>
        <w:tab/>
        <w:t>Proposition de complément</w:t>
      </w:r>
      <w:r w:rsidRPr="00DD4BF4">
        <w:rPr>
          <w:spacing w:val="2"/>
          <w:lang w:val="fr-FR"/>
        </w:rPr>
        <w:t> </w:t>
      </w:r>
      <w:r w:rsidRPr="00DD4BF4">
        <w:rPr>
          <w:spacing w:val="2"/>
          <w:lang w:val="fr-FR"/>
        </w:rPr>
        <w:t>17 à la série 06 d’amendements</w:t>
      </w:r>
      <w:r>
        <w:rPr>
          <w:lang w:val="fr-FR"/>
        </w:rPr>
        <w:t xml:space="preserve"> </w:t>
      </w:r>
      <w:r w:rsidRPr="00DD4BF4">
        <w:rPr>
          <w:spacing w:val="-2"/>
          <w:lang w:val="fr-FR"/>
        </w:rPr>
        <w:t>au Règlement ONU n</w:t>
      </w:r>
      <w:r w:rsidRPr="00DD4BF4">
        <w:rPr>
          <w:spacing w:val="-2"/>
          <w:vertAlign w:val="superscript"/>
          <w:lang w:val="fr-FR"/>
        </w:rPr>
        <w:t>o</w:t>
      </w:r>
      <w:r w:rsidRPr="00DD4BF4">
        <w:rPr>
          <w:spacing w:val="-2"/>
          <w:lang w:val="fr-FR"/>
        </w:rPr>
        <w:t> 83 (Émissions polluantes des véhicules</w:t>
      </w:r>
      <w:r>
        <w:rPr>
          <w:lang w:val="fr-FR"/>
        </w:rPr>
        <w:t xml:space="preserve"> des catégories M</w:t>
      </w:r>
      <w:r w:rsidRPr="00AA5389"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 w:rsidRPr="00AA5389">
        <w:rPr>
          <w:vertAlign w:val="subscript"/>
          <w:lang w:val="fr-FR"/>
        </w:rPr>
        <w:t>1</w:t>
      </w:r>
      <w:r>
        <w:rPr>
          <w:lang w:val="fr-FR"/>
        </w:rPr>
        <w:t>)</w:t>
      </w:r>
    </w:p>
    <w:p w14:paraId="571FCA4D" w14:textId="355E4317" w:rsidR="00DD4BF4" w:rsidRPr="00AA5389" w:rsidRDefault="00DD4BF4" w:rsidP="00DD4BF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6C73F1">
        <w:rPr>
          <w:lang w:val="fr-FR"/>
        </w:rPr>
        <w:t>Groupe de travail de la pollution et de l</w:t>
      </w:r>
      <w:r>
        <w:rPr>
          <w:lang w:val="fr-FR"/>
        </w:rPr>
        <w:t>’</w:t>
      </w:r>
      <w:r w:rsidRPr="006C73F1">
        <w:rPr>
          <w:lang w:val="fr-FR"/>
        </w:rPr>
        <w:t>énergie</w:t>
      </w:r>
      <w:r w:rsidRPr="00DD4BF4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BCD6F05" w14:textId="484646D8" w:rsidR="00F9573C" w:rsidRDefault="00DD4BF4" w:rsidP="00DD4BF4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 a été adopté par le </w:t>
      </w:r>
      <w:r w:rsidRPr="00445B14">
        <w:rPr>
          <w:lang w:val="fr-FR"/>
        </w:rPr>
        <w:t>Groupe de travail de la pollution et de l</w:t>
      </w:r>
      <w:r>
        <w:rPr>
          <w:lang w:val="fr-FR"/>
        </w:rPr>
        <w:t>’</w:t>
      </w:r>
      <w:r w:rsidRPr="00445B14">
        <w:rPr>
          <w:lang w:val="fr-FR"/>
        </w:rPr>
        <w:t>énergie</w:t>
      </w:r>
      <w:r>
        <w:rPr>
          <w:lang w:val="fr-FR"/>
        </w:rPr>
        <w:t xml:space="preserve"> (GRPE) à sa quatre-vingt-troisième session (ECE/TRANS/WP.29/GRPE/83, par.</w:t>
      </w:r>
      <w:r>
        <w:rPr>
          <w:lang w:val="fr-FR"/>
        </w:rPr>
        <w:t> </w:t>
      </w:r>
      <w:r>
        <w:rPr>
          <w:lang w:val="fr-FR"/>
        </w:rPr>
        <w:t xml:space="preserve">8). Il est fondé sur le document </w:t>
      </w:r>
      <w:r w:rsidRPr="007B0BBB">
        <w:rPr>
          <w:lang w:val="fr-FR"/>
        </w:rPr>
        <w:t>ECE/TRANS/WP.29/GRPE/2021/10</w:t>
      </w:r>
      <w:r>
        <w:rPr>
          <w:lang w:val="fr-FR"/>
        </w:rPr>
        <w:t xml:space="preserve"> et sur le document informel</w:t>
      </w:r>
      <w:r w:rsidRPr="007B0BBB">
        <w:rPr>
          <w:lang w:val="fr-FR"/>
        </w:rPr>
        <w:t xml:space="preserve"> GRPE-83-15</w:t>
      </w:r>
      <w:r>
        <w:rPr>
          <w:lang w:val="fr-FR"/>
        </w:rPr>
        <w:t>, tels que modifiés par l’annexe</w:t>
      </w:r>
      <w:r>
        <w:rPr>
          <w:lang w:val="fr-FR"/>
        </w:rPr>
        <w:t> </w:t>
      </w:r>
      <w:r>
        <w:rPr>
          <w:lang w:val="fr-FR"/>
        </w:rPr>
        <w:t xml:space="preserve">V du rapport. </w:t>
      </w:r>
      <w:r w:rsidRPr="005D0600">
        <w:rPr>
          <w:lang w:val="fr-FR"/>
        </w:rPr>
        <w:t>Il est soumis au Forum mondial de l</w:t>
      </w:r>
      <w:r>
        <w:rPr>
          <w:lang w:val="fr-FR"/>
        </w:rPr>
        <w:t>’</w:t>
      </w:r>
      <w:r w:rsidRPr="005D0600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5D0600">
        <w:rPr>
          <w:lang w:val="fr-FR"/>
        </w:rPr>
        <w:t>administration de l</w:t>
      </w:r>
      <w:r>
        <w:rPr>
          <w:lang w:val="fr-FR"/>
        </w:rPr>
        <w:t>’</w:t>
      </w:r>
      <w:r w:rsidRPr="005D0600">
        <w:rPr>
          <w:lang w:val="fr-FR"/>
        </w:rPr>
        <w:t>Accord de 1958 (AC.1) pour examen à leurs sessions de</w:t>
      </w:r>
      <w:r>
        <w:rPr>
          <w:lang w:val="fr-FR"/>
        </w:rPr>
        <w:t xml:space="preserve"> novembre 2021.</w:t>
      </w:r>
    </w:p>
    <w:p w14:paraId="4B18B4C5" w14:textId="41FE48CD" w:rsidR="00DD4BF4" w:rsidRDefault="00DD4BF4" w:rsidP="00DD4BF4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713F64E0" w14:textId="54D7CF90" w:rsidR="00DD4BF4" w:rsidRPr="00DD4BF4" w:rsidRDefault="00DD4BF4" w:rsidP="00DD4BF4">
      <w:pPr>
        <w:pStyle w:val="SingleTxtG"/>
        <w:rPr>
          <w:i/>
          <w:iCs/>
          <w:lang w:val="fr-FR"/>
        </w:rPr>
      </w:pPr>
      <w:r w:rsidRPr="00DD4BF4">
        <w:rPr>
          <w:i/>
          <w:iCs/>
          <w:lang w:val="fr-FR"/>
        </w:rPr>
        <w:lastRenderedPageBreak/>
        <w:t>Annexe</w:t>
      </w:r>
      <w:r w:rsidRPr="00DD4BF4">
        <w:rPr>
          <w:i/>
          <w:iCs/>
          <w:lang w:val="fr-FR"/>
        </w:rPr>
        <w:t> </w:t>
      </w:r>
      <w:r w:rsidRPr="00DD4BF4">
        <w:rPr>
          <w:i/>
          <w:iCs/>
          <w:lang w:val="fr-FR"/>
        </w:rPr>
        <w:t>4a</w:t>
      </w:r>
    </w:p>
    <w:p w14:paraId="280DD1F3" w14:textId="73AED80A" w:rsidR="00DD4BF4" w:rsidRDefault="00DD4BF4" w:rsidP="00DD4BF4">
      <w:pPr>
        <w:pStyle w:val="SingleTxtG"/>
        <w:rPr>
          <w:lang w:val="fr-FR"/>
        </w:rPr>
      </w:pPr>
      <w:r w:rsidRPr="00DD4BF4">
        <w:rPr>
          <w:i/>
          <w:iCs/>
          <w:lang w:val="fr-FR"/>
        </w:rPr>
        <w:t>Paragraphe</w:t>
      </w:r>
      <w:r w:rsidRPr="00DD4BF4">
        <w:rPr>
          <w:i/>
          <w:iCs/>
          <w:lang w:val="fr-FR"/>
        </w:rPr>
        <w:t> </w:t>
      </w:r>
      <w:r w:rsidRPr="00DD4BF4">
        <w:rPr>
          <w:i/>
          <w:iCs/>
          <w:lang w:val="fr-FR"/>
        </w:rPr>
        <w:t>5.1</w:t>
      </w:r>
      <w:r>
        <w:rPr>
          <w:lang w:val="fr-FR"/>
        </w:rPr>
        <w:t>, lire :</w:t>
      </w:r>
    </w:p>
    <w:p w14:paraId="353C1266" w14:textId="77777777" w:rsidR="00DD4BF4" w:rsidRPr="00AA5389" w:rsidRDefault="00DD4BF4" w:rsidP="00DD4BF4">
      <w:pPr>
        <w:pStyle w:val="SingleTxtG"/>
        <w:ind w:left="2268" w:hanging="1134"/>
        <w:rPr>
          <w:rFonts w:eastAsia="MS Mincho"/>
          <w:lang w:val="fr-FR"/>
        </w:rPr>
      </w:pPr>
      <w:r>
        <w:rPr>
          <w:lang w:val="fr-FR"/>
        </w:rPr>
        <w:t>« 5.1</w:t>
      </w:r>
      <w:r>
        <w:rPr>
          <w:lang w:val="fr-FR"/>
        </w:rPr>
        <w:tab/>
        <w:t>Procédure d’essai</w:t>
      </w:r>
    </w:p>
    <w:p w14:paraId="5C9A9298" w14:textId="77777777" w:rsidR="00DD4BF4" w:rsidRPr="00AA5389" w:rsidRDefault="00DD4BF4" w:rsidP="00DD4BF4">
      <w:pPr>
        <w:pStyle w:val="SingleTxtG"/>
        <w:ind w:left="2268"/>
        <w:rPr>
          <w:rFonts w:eastAsia="MS Mincho"/>
          <w:lang w:val="fr-FR"/>
        </w:rPr>
      </w:pPr>
      <w:r>
        <w:rPr>
          <w:lang w:val="fr-FR"/>
        </w:rPr>
        <w:t xml:space="preserve">La méthode utilisée pour mesurer la résistance à l’avancement sur route du véhicule est décrite à </w:t>
      </w:r>
      <w:r w:rsidRPr="00FB794F">
        <w:rPr>
          <w:rFonts w:eastAsia="MS Mincho"/>
          <w:lang w:val="fr-FR"/>
        </w:rPr>
        <w:t>l</w:t>
      </w:r>
      <w:r>
        <w:rPr>
          <w:rFonts w:eastAsia="MS Mincho"/>
          <w:lang w:val="fr-FR"/>
        </w:rPr>
        <w:t>’</w:t>
      </w:r>
      <w:r w:rsidRPr="00FB794F">
        <w:rPr>
          <w:rFonts w:eastAsia="MS Mincho"/>
          <w:lang w:val="fr-FR"/>
        </w:rPr>
        <w:t>appendice</w:t>
      </w:r>
      <w:r>
        <w:rPr>
          <w:lang w:val="fr-FR"/>
        </w:rPr>
        <w:t> 7a de la présente annexe.</w:t>
      </w:r>
    </w:p>
    <w:p w14:paraId="30F6AC42" w14:textId="77777777" w:rsidR="00DD4BF4" w:rsidRPr="00D243B2" w:rsidRDefault="00DD4BF4" w:rsidP="00DD4BF4">
      <w:pPr>
        <w:pStyle w:val="SingleTxtG"/>
        <w:ind w:left="2268"/>
        <w:rPr>
          <w:rFonts w:eastAsia="MS Mincho"/>
          <w:lang w:val="fr-FR"/>
        </w:rPr>
      </w:pPr>
      <w:r w:rsidRPr="00D243B2">
        <w:rPr>
          <w:rFonts w:eastAsia="MS Mincho"/>
          <w:lang w:val="fr-FR"/>
        </w:rPr>
        <w:t xml:space="preserve">Les méthodes </w:t>
      </w:r>
      <w:r w:rsidRPr="00DD4BF4">
        <w:rPr>
          <w:lang w:val="fr-FR"/>
        </w:rPr>
        <w:t>suivantes</w:t>
      </w:r>
      <w:r w:rsidRPr="00D243B2">
        <w:rPr>
          <w:rFonts w:eastAsia="MS Mincho"/>
          <w:lang w:val="fr-FR"/>
        </w:rPr>
        <w:t xml:space="preserve"> peuvent également être utilisées :</w:t>
      </w:r>
    </w:p>
    <w:p w14:paraId="023B2E0E" w14:textId="77777777" w:rsidR="00DD4BF4" w:rsidRPr="00D243B2" w:rsidRDefault="00DD4BF4" w:rsidP="00DD4BF4">
      <w:pPr>
        <w:pStyle w:val="SingleTxtG"/>
        <w:ind w:left="2835" w:hanging="567"/>
        <w:rPr>
          <w:rFonts w:eastAsia="MS Mincho"/>
          <w:lang w:val="fr-FR"/>
        </w:rPr>
      </w:pPr>
      <w:r w:rsidRPr="00D243B2">
        <w:rPr>
          <w:lang w:val="fr-FR"/>
        </w:rPr>
        <w:t>a)</w:t>
      </w:r>
      <w:r w:rsidRPr="00D243B2">
        <w:rPr>
          <w:lang w:val="fr-FR"/>
        </w:rPr>
        <w:tab/>
        <w:t>Dans le cas où la résistance à l</w:t>
      </w:r>
      <w:r>
        <w:rPr>
          <w:lang w:val="fr-FR"/>
        </w:rPr>
        <w:t>’</w:t>
      </w:r>
      <w:r w:rsidRPr="00D243B2">
        <w:rPr>
          <w:lang w:val="fr-FR"/>
        </w:rPr>
        <w:t xml:space="preserve">avancement sur route du véhicule a déjà été déterminée </w:t>
      </w:r>
      <w:r w:rsidRPr="00D243B2">
        <w:rPr>
          <w:rFonts w:eastAsia="MS Mincho"/>
          <w:lang w:val="fr-FR"/>
        </w:rPr>
        <w:t>conformément</w:t>
      </w:r>
      <w:r w:rsidRPr="00D243B2">
        <w:rPr>
          <w:lang w:val="fr-FR"/>
        </w:rPr>
        <w:t xml:space="preserve"> à la procédure WLTP telle qu</w:t>
      </w:r>
      <w:r>
        <w:rPr>
          <w:lang w:val="fr-FR"/>
        </w:rPr>
        <w:t>’</w:t>
      </w:r>
      <w:r w:rsidRPr="00D243B2">
        <w:rPr>
          <w:lang w:val="fr-FR"/>
        </w:rPr>
        <w:t>elle est définie dans le RTM ONU n</w:t>
      </w:r>
      <w:r w:rsidRPr="00D243B2">
        <w:rPr>
          <w:vertAlign w:val="superscript"/>
          <w:lang w:val="fr-FR"/>
        </w:rPr>
        <w:t>o</w:t>
      </w:r>
      <w:r w:rsidRPr="00D243B2">
        <w:rPr>
          <w:lang w:val="fr-FR"/>
        </w:rPr>
        <w:t> 15, la méthode décrite à l</w:t>
      </w:r>
      <w:r>
        <w:rPr>
          <w:lang w:val="fr-FR"/>
        </w:rPr>
        <w:t>’</w:t>
      </w:r>
      <w:r w:rsidRPr="00D243B2">
        <w:rPr>
          <w:lang w:val="fr-FR"/>
        </w:rPr>
        <w:t>appendice 7b peut être utilisée ;</w:t>
      </w:r>
    </w:p>
    <w:p w14:paraId="33628CE7" w14:textId="77777777" w:rsidR="00DD4BF4" w:rsidRPr="00D243B2" w:rsidRDefault="00DD4BF4" w:rsidP="00DD4BF4">
      <w:pPr>
        <w:pStyle w:val="SingleTxtG"/>
        <w:ind w:left="2835" w:hanging="567"/>
        <w:rPr>
          <w:rFonts w:eastAsia="MS Mincho"/>
          <w:lang w:val="fr-FR"/>
        </w:rPr>
      </w:pPr>
      <w:r w:rsidRPr="00D243B2">
        <w:rPr>
          <w:lang w:val="fr-FR"/>
        </w:rPr>
        <w:t>b)</w:t>
      </w:r>
      <w:r w:rsidRPr="00D243B2">
        <w:rPr>
          <w:lang w:val="fr-FR"/>
        </w:rPr>
        <w:tab/>
        <w:t>Dans le cas où la résistance à l</w:t>
      </w:r>
      <w:r>
        <w:rPr>
          <w:lang w:val="fr-FR"/>
        </w:rPr>
        <w:t>’</w:t>
      </w:r>
      <w:r w:rsidRPr="00D243B2">
        <w:rPr>
          <w:lang w:val="fr-FR"/>
        </w:rPr>
        <w:t xml:space="preserve">avancement sur route du véhicule a déjà été déterminée </w:t>
      </w:r>
      <w:r w:rsidRPr="00D243B2">
        <w:rPr>
          <w:rFonts w:eastAsia="MS Mincho"/>
          <w:lang w:val="fr-FR"/>
        </w:rPr>
        <w:t>conformément</w:t>
      </w:r>
      <w:r w:rsidRPr="00D243B2">
        <w:rPr>
          <w:lang w:val="fr-FR"/>
        </w:rPr>
        <w:t xml:space="preserve"> à l</w:t>
      </w:r>
      <w:r>
        <w:rPr>
          <w:lang w:val="fr-FR"/>
        </w:rPr>
        <w:t>’</w:t>
      </w:r>
      <w:r w:rsidRPr="00D243B2">
        <w:rPr>
          <w:lang w:val="fr-FR"/>
        </w:rPr>
        <w:t xml:space="preserve">appendice 7a de la présente annexe, on peut faire une simulation des autres configurations du véhicule présentant la même forme de carrosserie ou la même transmission, </w:t>
      </w:r>
      <w:r>
        <w:rPr>
          <w:lang w:val="fr-FR"/>
        </w:rPr>
        <w:t>sous réserve que l’autorité d’homologation de type approuve la méthode de simulation proposée</w:t>
      </w:r>
      <w:r w:rsidRPr="00D243B2">
        <w:rPr>
          <w:lang w:val="fr-FR"/>
        </w:rPr>
        <w:t>.</w:t>
      </w:r>
    </w:p>
    <w:p w14:paraId="66C44E23" w14:textId="77777777" w:rsidR="00DD4BF4" w:rsidRPr="00AA5389" w:rsidRDefault="00DD4BF4" w:rsidP="00DD4BF4">
      <w:pPr>
        <w:pStyle w:val="SingleTxtG"/>
        <w:ind w:left="2268"/>
        <w:rPr>
          <w:rFonts w:eastAsia="MS Mincho"/>
          <w:lang w:val="fr-FR"/>
        </w:rPr>
      </w:pPr>
      <w:r w:rsidRPr="00D243B2">
        <w:rPr>
          <w:lang w:val="fr-FR"/>
        </w:rPr>
        <w:t>Ces méthodes ne sont pas requises</w:t>
      </w:r>
      <w:r>
        <w:rPr>
          <w:lang w:val="fr-FR"/>
        </w:rPr>
        <w:t xml:space="preserve"> si le réglage du banc doit être effectué en fonction de la masse de référence du véhicule. ».</w:t>
      </w:r>
    </w:p>
    <w:p w14:paraId="13F68BDB" w14:textId="52A4AEDC" w:rsidR="00DD4BF4" w:rsidRPr="00DD4BF4" w:rsidRDefault="00DD4BF4" w:rsidP="00DD4BF4">
      <w:pPr>
        <w:pStyle w:val="SingleTxtG"/>
        <w:rPr>
          <w:i/>
          <w:iCs/>
          <w:lang w:val="fr-FR"/>
        </w:rPr>
      </w:pPr>
      <w:r w:rsidRPr="00DD4BF4">
        <w:rPr>
          <w:i/>
          <w:iCs/>
          <w:lang w:val="fr-FR"/>
        </w:rPr>
        <w:t>Annexe</w:t>
      </w:r>
      <w:r w:rsidRPr="00DD4BF4">
        <w:rPr>
          <w:i/>
          <w:iCs/>
          <w:lang w:val="fr-FR"/>
        </w:rPr>
        <w:t> </w:t>
      </w:r>
      <w:r w:rsidRPr="00DD4BF4">
        <w:rPr>
          <w:i/>
          <w:iCs/>
          <w:lang w:val="fr-FR"/>
        </w:rPr>
        <w:t>6</w:t>
      </w:r>
    </w:p>
    <w:p w14:paraId="745FFCB0" w14:textId="156049EF" w:rsidR="00DD4BF4" w:rsidRDefault="00DD4BF4" w:rsidP="00DD4BF4">
      <w:pPr>
        <w:pStyle w:val="SingleTxtG"/>
        <w:rPr>
          <w:lang w:val="fr-FR"/>
        </w:rPr>
      </w:pPr>
      <w:r w:rsidRPr="00DD4BF4">
        <w:rPr>
          <w:i/>
          <w:iCs/>
          <w:lang w:val="fr-FR"/>
        </w:rPr>
        <w:t>Paragraphe</w:t>
      </w:r>
      <w:r w:rsidRPr="00DD4BF4">
        <w:rPr>
          <w:i/>
          <w:iCs/>
          <w:lang w:val="fr-FR"/>
        </w:rPr>
        <w:t> </w:t>
      </w:r>
      <w:r w:rsidRPr="00DD4BF4">
        <w:rPr>
          <w:i/>
          <w:iCs/>
          <w:lang w:val="fr-FR"/>
        </w:rPr>
        <w:t>5.2</w:t>
      </w:r>
      <w:r>
        <w:rPr>
          <w:lang w:val="fr-FR"/>
        </w:rPr>
        <w:t>, lire :</w:t>
      </w:r>
    </w:p>
    <w:p w14:paraId="216DEB9E" w14:textId="77777777" w:rsidR="00DD4BF4" w:rsidRPr="00597B4F" w:rsidRDefault="00DD4BF4" w:rsidP="00DD4BF4">
      <w:pPr>
        <w:pStyle w:val="SingleTxtG"/>
        <w:ind w:left="2268" w:hanging="1134"/>
        <w:rPr>
          <w:lang w:val="fr-FR"/>
        </w:rPr>
      </w:pPr>
      <w:r w:rsidRPr="00597B4F">
        <w:rPr>
          <w:lang w:val="fr-FR"/>
        </w:rPr>
        <w:t>« 5.2</w:t>
      </w:r>
      <w:r w:rsidRPr="00597B4F">
        <w:rPr>
          <w:lang w:val="fr-FR"/>
        </w:rPr>
        <w:tab/>
      </w:r>
      <w:r w:rsidRPr="007D551D">
        <w:rPr>
          <w:lang w:val="fr-FR"/>
        </w:rPr>
        <w:t>La</w:t>
      </w:r>
      <w:r>
        <w:rPr>
          <w:lang w:val="fr-FR"/>
        </w:rPr>
        <w:t xml:space="preserve"> </w:t>
      </w:r>
      <w:r w:rsidRPr="007D551D">
        <w:rPr>
          <w:lang w:val="fr-FR"/>
        </w:rPr>
        <w:t>pression</w:t>
      </w:r>
      <w:r>
        <w:rPr>
          <w:lang w:val="fr-FR"/>
        </w:rPr>
        <w:t xml:space="preserve"> </w:t>
      </w:r>
      <w:r w:rsidRPr="007D551D">
        <w:rPr>
          <w:lang w:val="fr-FR"/>
        </w:rPr>
        <w:t>dans</w:t>
      </w:r>
      <w:r>
        <w:rPr>
          <w:lang w:val="fr-FR"/>
        </w:rPr>
        <w:t xml:space="preserve"> </w:t>
      </w:r>
      <w:r w:rsidRPr="007D551D">
        <w:rPr>
          <w:lang w:val="fr-FR"/>
        </w:rPr>
        <w:t>le</w:t>
      </w:r>
      <w:r>
        <w:rPr>
          <w:lang w:val="fr-FR"/>
        </w:rPr>
        <w:t xml:space="preserve"> </w:t>
      </w:r>
      <w:r w:rsidRPr="007D551D">
        <w:rPr>
          <w:lang w:val="fr-FR"/>
        </w:rPr>
        <w:t>carter</w:t>
      </w:r>
      <w:r>
        <w:rPr>
          <w:lang w:val="fr-FR"/>
        </w:rPr>
        <w:t xml:space="preserve"> </w:t>
      </w:r>
      <w:r w:rsidRPr="007D551D">
        <w:rPr>
          <w:lang w:val="fr-FR"/>
        </w:rPr>
        <w:t>est mesurée</w:t>
      </w:r>
      <w:r>
        <w:rPr>
          <w:lang w:val="fr-FR"/>
        </w:rPr>
        <w:t xml:space="preserve"> </w:t>
      </w:r>
      <w:r w:rsidRPr="007D551D">
        <w:rPr>
          <w:lang w:val="fr-FR"/>
        </w:rPr>
        <w:t>en</w:t>
      </w:r>
      <w:r>
        <w:rPr>
          <w:lang w:val="fr-FR"/>
        </w:rPr>
        <w:t xml:space="preserve"> </w:t>
      </w:r>
      <w:r w:rsidRPr="007D551D">
        <w:rPr>
          <w:lang w:val="fr-FR"/>
        </w:rPr>
        <w:t>un</w:t>
      </w:r>
      <w:r>
        <w:rPr>
          <w:lang w:val="fr-FR"/>
        </w:rPr>
        <w:t xml:space="preserve"> </w:t>
      </w:r>
      <w:r w:rsidRPr="007D551D">
        <w:rPr>
          <w:lang w:val="fr-FR"/>
        </w:rPr>
        <w:t>point</w:t>
      </w:r>
      <w:r>
        <w:rPr>
          <w:lang w:val="fr-FR"/>
        </w:rPr>
        <w:t xml:space="preserve"> </w:t>
      </w:r>
      <w:r w:rsidRPr="007D551D">
        <w:rPr>
          <w:lang w:val="fr-FR"/>
        </w:rPr>
        <w:t xml:space="preserve">approprié. </w:t>
      </w:r>
      <w:r>
        <w:rPr>
          <w:lang w:val="fr-FR"/>
        </w:rPr>
        <w:t xml:space="preserve">Il est recommandé de </w:t>
      </w:r>
      <w:r w:rsidRPr="007D551D">
        <w:rPr>
          <w:lang w:val="fr-FR"/>
        </w:rPr>
        <w:t>la</w:t>
      </w:r>
      <w:r>
        <w:rPr>
          <w:lang w:val="fr-FR"/>
        </w:rPr>
        <w:t xml:space="preserve"> </w:t>
      </w:r>
      <w:r w:rsidRPr="007D551D">
        <w:rPr>
          <w:lang w:val="fr-FR"/>
        </w:rPr>
        <w:t>mesure</w:t>
      </w:r>
      <w:r>
        <w:rPr>
          <w:lang w:val="fr-FR"/>
        </w:rPr>
        <w:t>r</w:t>
      </w:r>
      <w:r w:rsidRPr="007D551D">
        <w:rPr>
          <w:lang w:val="fr-FR"/>
        </w:rPr>
        <w:t xml:space="preserve"> par le</w:t>
      </w:r>
      <w:r>
        <w:rPr>
          <w:lang w:val="fr-FR"/>
        </w:rPr>
        <w:t xml:space="preserve"> </w:t>
      </w:r>
      <w:r w:rsidRPr="007D551D">
        <w:rPr>
          <w:lang w:val="fr-FR"/>
        </w:rPr>
        <w:t>trou de jauge</w:t>
      </w:r>
      <w:r>
        <w:rPr>
          <w:lang w:val="fr-FR"/>
        </w:rPr>
        <w:t>, si possible. ».</w:t>
      </w:r>
    </w:p>
    <w:p w14:paraId="10F4D3A9" w14:textId="03954EBF" w:rsidR="00DD4BF4" w:rsidRPr="00DD4BF4" w:rsidRDefault="00DD4BF4" w:rsidP="00DD4BF4">
      <w:pPr>
        <w:pStyle w:val="SingleTxtG"/>
        <w:rPr>
          <w:i/>
          <w:iCs/>
          <w:lang w:val="fr-FR"/>
        </w:rPr>
      </w:pPr>
      <w:r w:rsidRPr="00DD4BF4">
        <w:rPr>
          <w:i/>
          <w:iCs/>
          <w:lang w:val="fr-FR"/>
        </w:rPr>
        <w:t>Annexe</w:t>
      </w:r>
      <w:r w:rsidRPr="00DD4BF4">
        <w:rPr>
          <w:i/>
          <w:iCs/>
          <w:lang w:val="fr-FR"/>
        </w:rPr>
        <w:t> </w:t>
      </w:r>
      <w:r w:rsidRPr="00DD4BF4">
        <w:rPr>
          <w:i/>
          <w:iCs/>
          <w:lang w:val="fr-FR"/>
        </w:rPr>
        <w:t>7</w:t>
      </w:r>
    </w:p>
    <w:p w14:paraId="1B68A3E8" w14:textId="77777777" w:rsidR="00DD4BF4" w:rsidRPr="00AA5389" w:rsidRDefault="00DD4BF4" w:rsidP="00DD4BF4">
      <w:pPr>
        <w:pStyle w:val="SingleTxtG"/>
        <w:rPr>
          <w:rFonts w:eastAsia="MS Mincho"/>
          <w:lang w:val="fr-FR"/>
        </w:rPr>
      </w:pPr>
      <w:r w:rsidRPr="00DD4BF4">
        <w:rPr>
          <w:i/>
          <w:iCs/>
          <w:lang w:val="fr-FR"/>
        </w:rPr>
        <w:t>Paragraphe 3.2.1</w:t>
      </w:r>
      <w:r>
        <w:rPr>
          <w:lang w:val="fr-FR"/>
        </w:rPr>
        <w:t>, lire :</w:t>
      </w:r>
    </w:p>
    <w:p w14:paraId="1864C6E3" w14:textId="77777777" w:rsidR="00DD4BF4" w:rsidRPr="00AA5389" w:rsidRDefault="00DD4BF4" w:rsidP="00DD4BF4">
      <w:pPr>
        <w:pStyle w:val="SingleTxtG"/>
        <w:ind w:left="2268" w:hanging="1134"/>
        <w:rPr>
          <w:rFonts w:eastAsia="MS Mincho"/>
          <w:lang w:val="fr-FR"/>
        </w:rPr>
      </w:pPr>
      <w:r>
        <w:rPr>
          <w:lang w:val="fr-FR"/>
        </w:rPr>
        <w:t>« 3.2.1</w:t>
      </w:r>
      <w:r>
        <w:rPr>
          <w:lang w:val="fr-FR"/>
        </w:rPr>
        <w:tab/>
        <w:t>Le carburant de référence approprié, tel qu’indiqué à l’annexe 10 du présent Règlement, doit être utilisé.</w:t>
      </w:r>
    </w:p>
    <w:p w14:paraId="6D2EB081" w14:textId="566F6C00" w:rsidR="00DD4BF4" w:rsidRPr="003B2DB4" w:rsidRDefault="00DD4BF4" w:rsidP="00DD4BF4">
      <w:pPr>
        <w:pStyle w:val="SingleTxtG"/>
        <w:ind w:left="2268"/>
        <w:rPr>
          <w:rFonts w:eastAsia="MS Mincho"/>
          <w:lang w:val="fr-FR"/>
        </w:rPr>
      </w:pPr>
      <w:r w:rsidRPr="00D926FE">
        <w:rPr>
          <w:rFonts w:eastAsia="MS Mincho"/>
          <w:lang w:val="fr-FR"/>
        </w:rPr>
        <w:t>Au choix du constructeur, lorsque le carburant</w:t>
      </w:r>
      <w:r>
        <w:rPr>
          <w:rFonts w:eastAsia="MS Mincho"/>
          <w:lang w:val="fr-FR"/>
        </w:rPr>
        <w:t> </w:t>
      </w:r>
      <w:r w:rsidRPr="00D926FE">
        <w:rPr>
          <w:rFonts w:eastAsia="MS Mincho"/>
          <w:lang w:val="fr-FR"/>
        </w:rPr>
        <w:t>E5 a été utilisé pour l</w:t>
      </w:r>
      <w:r>
        <w:rPr>
          <w:rFonts w:eastAsia="MS Mincho"/>
          <w:lang w:val="fr-FR"/>
        </w:rPr>
        <w:t>’</w:t>
      </w:r>
      <w:r w:rsidRPr="00D926FE">
        <w:rPr>
          <w:rFonts w:eastAsia="MS Mincho"/>
          <w:lang w:val="fr-FR"/>
        </w:rPr>
        <w:t xml:space="preserve">essai du type I, le </w:t>
      </w:r>
      <w:r w:rsidRPr="00DD4BF4">
        <w:rPr>
          <w:lang w:val="fr-FR"/>
        </w:rPr>
        <w:t>carburant</w:t>
      </w:r>
      <w:r w:rsidRPr="00D926FE">
        <w:rPr>
          <w:rFonts w:eastAsia="MS Mincho"/>
          <w:lang w:val="fr-FR"/>
        </w:rPr>
        <w:t xml:space="preserve"> E10 peut être utilisé pour l</w:t>
      </w:r>
      <w:r>
        <w:rPr>
          <w:rFonts w:eastAsia="MS Mincho"/>
          <w:lang w:val="fr-FR"/>
        </w:rPr>
        <w:t>’</w:t>
      </w:r>
      <w:r w:rsidRPr="00D926FE">
        <w:rPr>
          <w:rFonts w:eastAsia="MS Mincho"/>
          <w:lang w:val="fr-FR"/>
        </w:rPr>
        <w:t>essai du type IV</w:t>
      </w:r>
      <w:r w:rsidRPr="00597B4F">
        <w:rPr>
          <w:rFonts w:eastAsia="MS Mincho"/>
          <w:lang w:val="fr-FR"/>
        </w:rPr>
        <w:t>.</w:t>
      </w:r>
      <w:r>
        <w:rPr>
          <w:rFonts w:eastAsia="MS Mincho"/>
          <w:lang w:val="fr-FR"/>
        </w:rPr>
        <w:t> </w:t>
      </w:r>
      <w:r w:rsidRPr="003B2DB4">
        <w:rPr>
          <w:rFonts w:eastAsia="MS Mincho"/>
          <w:lang w:val="fr-FR"/>
        </w:rPr>
        <w:t>».</w:t>
      </w:r>
    </w:p>
    <w:p w14:paraId="33362DFD" w14:textId="0EF1A07E" w:rsidR="00DD4BF4" w:rsidRPr="00DD4BF4" w:rsidRDefault="00DD4BF4" w:rsidP="00DD4BF4">
      <w:pPr>
        <w:pStyle w:val="SingleTxtG"/>
        <w:rPr>
          <w:i/>
          <w:iCs/>
          <w:lang w:val="fr-FR"/>
        </w:rPr>
      </w:pPr>
      <w:r w:rsidRPr="00DD4BF4">
        <w:rPr>
          <w:i/>
          <w:iCs/>
          <w:lang w:val="fr-FR"/>
        </w:rPr>
        <w:t>Annexe</w:t>
      </w:r>
      <w:r w:rsidRPr="00DD4BF4">
        <w:rPr>
          <w:i/>
          <w:iCs/>
          <w:lang w:val="fr-FR"/>
        </w:rPr>
        <w:t> </w:t>
      </w:r>
      <w:r w:rsidRPr="00DD4BF4">
        <w:rPr>
          <w:i/>
          <w:iCs/>
          <w:lang w:val="fr-FR"/>
        </w:rPr>
        <w:t>8</w:t>
      </w:r>
    </w:p>
    <w:p w14:paraId="408F16C1" w14:textId="23B8131B" w:rsidR="00DD4BF4" w:rsidRDefault="00DD4BF4" w:rsidP="00DD4BF4">
      <w:pPr>
        <w:pStyle w:val="SingleTxtG"/>
        <w:rPr>
          <w:lang w:val="fr-FR"/>
        </w:rPr>
      </w:pPr>
      <w:r w:rsidRPr="00DD4BF4">
        <w:rPr>
          <w:i/>
          <w:iCs/>
          <w:lang w:val="fr-FR"/>
        </w:rPr>
        <w:t>Paragraphe</w:t>
      </w:r>
      <w:r w:rsidRPr="00DD4BF4">
        <w:rPr>
          <w:i/>
          <w:iCs/>
          <w:lang w:val="fr-FR"/>
        </w:rPr>
        <w:t> </w:t>
      </w:r>
      <w:r w:rsidRPr="00DD4BF4">
        <w:rPr>
          <w:i/>
          <w:iCs/>
          <w:lang w:val="fr-FR"/>
        </w:rPr>
        <w:t>5.2.11</w:t>
      </w:r>
      <w:r>
        <w:rPr>
          <w:lang w:val="fr-FR"/>
        </w:rPr>
        <w:t>, lire :</w:t>
      </w:r>
    </w:p>
    <w:p w14:paraId="533BAA47" w14:textId="1E7819A9" w:rsidR="00DD4BF4" w:rsidRDefault="00DD4BF4" w:rsidP="00DD4BF4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5.2.11</w:t>
      </w:r>
      <w:r>
        <w:rPr>
          <w:lang w:val="fr-FR"/>
        </w:rPr>
        <w:tab/>
      </w:r>
      <w:r w:rsidRPr="0012405D">
        <w:rPr>
          <w:lang w:val="fr-FR"/>
        </w:rPr>
        <w:t>Les véhicules à quatre roues motrices doivent être soumis à l</w:t>
      </w:r>
      <w:r>
        <w:rPr>
          <w:lang w:val="fr-FR"/>
        </w:rPr>
        <w:t>’</w:t>
      </w:r>
      <w:r w:rsidRPr="0012405D">
        <w:rPr>
          <w:lang w:val="fr-FR"/>
        </w:rPr>
        <w:t>essai avec deux roues motrices</w:t>
      </w:r>
      <w:r>
        <w:rPr>
          <w:lang w:val="fr-FR"/>
        </w:rPr>
        <w:t xml:space="preserve">. </w:t>
      </w:r>
      <w:r w:rsidRPr="00B1339D">
        <w:rPr>
          <w:lang w:val="fr-FR"/>
        </w:rPr>
        <w:t>La résistance totale pour le réglage du banc d</w:t>
      </w:r>
      <w:r>
        <w:rPr>
          <w:lang w:val="fr-FR"/>
        </w:rPr>
        <w:t>’</w:t>
      </w:r>
      <w:r w:rsidRPr="00B1339D">
        <w:rPr>
          <w:lang w:val="fr-FR"/>
        </w:rPr>
        <w:t xml:space="preserve">essai est déterminée lorsque le véhicule se trouve dans son </w:t>
      </w:r>
      <w:r>
        <w:rPr>
          <w:lang w:val="fr-FR"/>
        </w:rPr>
        <w:t>mode</w:t>
      </w:r>
      <w:r w:rsidRPr="00B1339D">
        <w:rPr>
          <w:lang w:val="fr-FR"/>
        </w:rPr>
        <w:t xml:space="preserve"> de fonctionnement </w:t>
      </w:r>
      <w:r>
        <w:rPr>
          <w:lang w:val="fr-FR"/>
        </w:rPr>
        <w:t>principal. À la demande du constructeur, un véhicule à quatre roues motrices doit être soumis à l’essai dans son mode de fonctionnement principal. ».</w:t>
      </w:r>
    </w:p>
    <w:p w14:paraId="007D24A4" w14:textId="2232772D" w:rsidR="00DD4BF4" w:rsidRPr="00DD4BF4" w:rsidRDefault="00DD4BF4" w:rsidP="00DD4B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4BF4" w:rsidRPr="00DD4BF4" w:rsidSect="00DD4B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85AF5" w14:textId="77777777" w:rsidR="00C47F07" w:rsidRDefault="00C47F07" w:rsidP="00F95C08">
      <w:pPr>
        <w:spacing w:line="240" w:lineRule="auto"/>
      </w:pPr>
    </w:p>
  </w:endnote>
  <w:endnote w:type="continuationSeparator" w:id="0">
    <w:p w14:paraId="331534AD" w14:textId="77777777" w:rsidR="00C47F07" w:rsidRPr="00AC3823" w:rsidRDefault="00C47F07" w:rsidP="00AC3823">
      <w:pPr>
        <w:pStyle w:val="Pieddepage"/>
      </w:pPr>
    </w:p>
  </w:endnote>
  <w:endnote w:type="continuationNotice" w:id="1">
    <w:p w14:paraId="46ED67A8" w14:textId="77777777" w:rsidR="00C47F07" w:rsidRDefault="00C47F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2756" w14:textId="4B87F8BF" w:rsidR="00DD4BF4" w:rsidRPr="00DD4BF4" w:rsidRDefault="00DD4BF4" w:rsidP="00DD4BF4">
    <w:pPr>
      <w:pStyle w:val="Pieddepage"/>
      <w:tabs>
        <w:tab w:val="right" w:pos="9638"/>
      </w:tabs>
    </w:pPr>
    <w:r w:rsidRPr="00DD4BF4">
      <w:rPr>
        <w:b/>
        <w:sz w:val="18"/>
      </w:rPr>
      <w:fldChar w:fldCharType="begin"/>
    </w:r>
    <w:r w:rsidRPr="00DD4BF4">
      <w:rPr>
        <w:b/>
        <w:sz w:val="18"/>
      </w:rPr>
      <w:instrText xml:space="preserve"> PAGE  \* MERGEFORMAT </w:instrText>
    </w:r>
    <w:r w:rsidRPr="00DD4BF4">
      <w:rPr>
        <w:b/>
        <w:sz w:val="18"/>
      </w:rPr>
      <w:fldChar w:fldCharType="separate"/>
    </w:r>
    <w:r w:rsidRPr="00DD4BF4">
      <w:rPr>
        <w:b/>
        <w:noProof/>
        <w:sz w:val="18"/>
      </w:rPr>
      <w:t>2</w:t>
    </w:r>
    <w:r w:rsidRPr="00DD4BF4">
      <w:rPr>
        <w:b/>
        <w:sz w:val="18"/>
      </w:rPr>
      <w:fldChar w:fldCharType="end"/>
    </w:r>
    <w:r>
      <w:rPr>
        <w:b/>
        <w:sz w:val="18"/>
      </w:rPr>
      <w:tab/>
    </w:r>
    <w:r>
      <w:t>GE.21-12764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3822" w14:textId="597252A0" w:rsidR="00DD4BF4" w:rsidRPr="00DD4BF4" w:rsidRDefault="00DD4BF4" w:rsidP="00DD4BF4">
    <w:pPr>
      <w:pStyle w:val="Pieddepage"/>
      <w:tabs>
        <w:tab w:val="right" w:pos="9638"/>
      </w:tabs>
      <w:rPr>
        <w:b/>
        <w:sz w:val="18"/>
      </w:rPr>
    </w:pPr>
    <w:r>
      <w:t>GE.21-12764</w:t>
    </w:r>
    <w:r>
      <w:tab/>
    </w:r>
    <w:r w:rsidRPr="00DD4BF4">
      <w:rPr>
        <w:b/>
        <w:sz w:val="18"/>
      </w:rPr>
      <w:fldChar w:fldCharType="begin"/>
    </w:r>
    <w:r w:rsidRPr="00DD4BF4">
      <w:rPr>
        <w:b/>
        <w:sz w:val="18"/>
      </w:rPr>
      <w:instrText xml:space="preserve"> PAGE  \* MERGEFORMAT </w:instrText>
    </w:r>
    <w:r w:rsidRPr="00DD4BF4">
      <w:rPr>
        <w:b/>
        <w:sz w:val="18"/>
      </w:rPr>
      <w:fldChar w:fldCharType="separate"/>
    </w:r>
    <w:r w:rsidRPr="00DD4BF4">
      <w:rPr>
        <w:b/>
        <w:noProof/>
        <w:sz w:val="18"/>
      </w:rPr>
      <w:t>3</w:t>
    </w:r>
    <w:r w:rsidRPr="00DD4B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819B" w14:textId="011EEF78" w:rsidR="007F20FA" w:rsidRPr="00DD4BF4" w:rsidRDefault="00DD4BF4" w:rsidP="00DD4BF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3B45B7F" wp14:editId="5D0A8B8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21-12764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F495391" wp14:editId="1647702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170921    170921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B09DE" w14:textId="77777777" w:rsidR="00C47F07" w:rsidRPr="00AC3823" w:rsidRDefault="00C47F0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AC9C20" w14:textId="77777777" w:rsidR="00C47F07" w:rsidRPr="00AC3823" w:rsidRDefault="00C47F0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BF2FBA" w14:textId="77777777" w:rsidR="00C47F07" w:rsidRPr="00AC3823" w:rsidRDefault="00C47F07">
      <w:pPr>
        <w:spacing w:line="240" w:lineRule="auto"/>
        <w:rPr>
          <w:sz w:val="2"/>
          <w:szCs w:val="2"/>
        </w:rPr>
      </w:pPr>
    </w:p>
  </w:footnote>
  <w:footnote w:id="2">
    <w:p w14:paraId="7C409900" w14:textId="1DF131DD" w:rsidR="00DD4BF4" w:rsidRPr="00DD4BF4" w:rsidRDefault="00DD4BF4">
      <w:pPr>
        <w:pStyle w:val="Notedebasdepage"/>
      </w:pPr>
      <w:r>
        <w:rPr>
          <w:rStyle w:val="Appelnotedebasdep"/>
        </w:rPr>
        <w:tab/>
      </w:r>
      <w:r w:rsidRPr="00DD4BF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 20), par. 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A9B7" w14:textId="2050524F" w:rsidR="00DD4BF4" w:rsidRPr="00DD4BF4" w:rsidRDefault="00DD4BF4">
    <w:pPr>
      <w:pStyle w:val="En-tte"/>
    </w:pPr>
    <w:fldSimple w:instr=" TITLE  \* MERGEFORMAT ">
      <w:r>
        <w:t>ECE/TRANS/WP.29/2021/132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A509" w14:textId="66A171AE" w:rsidR="00DD4BF4" w:rsidRPr="00DD4BF4" w:rsidRDefault="00DD4BF4" w:rsidP="00DD4BF4">
    <w:pPr>
      <w:pStyle w:val="En-tte"/>
      <w:jc w:val="right"/>
    </w:pPr>
    <w:fldSimple w:instr=" TITLE  \* MERGEFORMAT ">
      <w:r>
        <w:t>ECE/TRANS/WP.29/2021/132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07"/>
    <w:rsid w:val="00017F94"/>
    <w:rsid w:val="00023842"/>
    <w:rsid w:val="000334F9"/>
    <w:rsid w:val="00045FEB"/>
    <w:rsid w:val="0007796D"/>
    <w:rsid w:val="00096119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848D5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2FEF"/>
    <w:rsid w:val="00C02897"/>
    <w:rsid w:val="00C47F07"/>
    <w:rsid w:val="00C97039"/>
    <w:rsid w:val="00D3439C"/>
    <w:rsid w:val="00D7622E"/>
    <w:rsid w:val="00DB1831"/>
    <w:rsid w:val="00DD3BFD"/>
    <w:rsid w:val="00DD4BF4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8F5EEC"/>
  <w15:docId w15:val="{A6C504F4-D233-4AC4-814E-925640AD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491</Words>
  <Characters>2552</Characters>
  <Application>Microsoft Office Word</Application>
  <DocSecurity>0</DocSecurity>
  <Lines>66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ECE/TRANS/WP.29/2021/132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2021-09-17T11:59:00Z</dcterms:created>
  <dcterms:modified xsi:type="dcterms:W3CDTF">2021-09-17T11:59:00Z</dcterms:modified>
</cp:coreProperties>
</file>