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041DFBE8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8551A04" w14:textId="77777777" w:rsidR="00F35BAF" w:rsidRPr="00DB58B5" w:rsidRDefault="00F35BAF" w:rsidP="00C97039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3D3E690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3411DB8" w14:textId="549CA0DB" w:rsidR="00F35BAF" w:rsidRPr="00DB58B5" w:rsidRDefault="009E325D" w:rsidP="009E325D">
            <w:pPr>
              <w:jc w:val="right"/>
            </w:pPr>
            <w:r w:rsidRPr="009E325D">
              <w:rPr>
                <w:sz w:val="40"/>
              </w:rPr>
              <w:t>ECE</w:t>
            </w:r>
            <w:r>
              <w:t>/TRANS/WP.29/2021/131</w:t>
            </w:r>
          </w:p>
        </w:tc>
      </w:tr>
      <w:tr w:rsidR="00F35BAF" w:rsidRPr="00DB58B5" w14:paraId="26291F33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D55A184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D2370B4" wp14:editId="63A77E9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921FB34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827D2CA" w14:textId="77777777" w:rsidR="00F35BAF" w:rsidRDefault="009E325D" w:rsidP="00C97039">
            <w:pPr>
              <w:spacing w:before="240"/>
            </w:pPr>
            <w:r>
              <w:t>Distr. générale</w:t>
            </w:r>
          </w:p>
          <w:p w14:paraId="306F5005" w14:textId="0DBEBEB9" w:rsidR="009E325D" w:rsidRDefault="009E325D" w:rsidP="009E325D">
            <w:pPr>
              <w:spacing w:line="240" w:lineRule="exact"/>
            </w:pPr>
            <w:r>
              <w:t>13 septembre 2021</w:t>
            </w:r>
          </w:p>
          <w:p w14:paraId="5F491EC2" w14:textId="77777777" w:rsidR="009E325D" w:rsidRDefault="009E325D" w:rsidP="009E325D">
            <w:pPr>
              <w:spacing w:line="240" w:lineRule="exact"/>
            </w:pPr>
            <w:r>
              <w:t>Français</w:t>
            </w:r>
          </w:p>
          <w:p w14:paraId="17AEC0DA" w14:textId="57CD9669" w:rsidR="009E325D" w:rsidRPr="00DB58B5" w:rsidRDefault="009E325D" w:rsidP="009E325D">
            <w:pPr>
              <w:spacing w:line="240" w:lineRule="exact"/>
            </w:pPr>
            <w:r>
              <w:t>Original : anglais</w:t>
            </w:r>
          </w:p>
        </w:tc>
      </w:tr>
    </w:tbl>
    <w:p w14:paraId="129E9D41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6A038327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6C622EF" w14:textId="14221618" w:rsidR="009E325D" w:rsidRDefault="009E325D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0A37178C" w14:textId="2D52A396" w:rsidR="009E325D" w:rsidRDefault="009E325D" w:rsidP="00AF0CB5">
      <w:pPr>
        <w:spacing w:before="120" w:line="240" w:lineRule="exact"/>
        <w:rPr>
          <w:b/>
        </w:rPr>
      </w:pPr>
      <w:r>
        <w:rPr>
          <w:b/>
        </w:rPr>
        <w:t>185</w:t>
      </w:r>
      <w:r w:rsidRPr="009E325D">
        <w:rPr>
          <w:b/>
          <w:vertAlign w:val="superscript"/>
        </w:rPr>
        <w:t>e</w:t>
      </w:r>
      <w:r>
        <w:rPr>
          <w:b/>
        </w:rPr>
        <w:t> session</w:t>
      </w:r>
    </w:p>
    <w:p w14:paraId="7E8F1ED6" w14:textId="53FD621A" w:rsidR="009E325D" w:rsidRDefault="009E325D" w:rsidP="00AF0CB5">
      <w:pPr>
        <w:spacing w:line="240" w:lineRule="exact"/>
      </w:pPr>
      <w:r>
        <w:t>Genève, 23-25 novembre 2021</w:t>
      </w:r>
    </w:p>
    <w:p w14:paraId="539EF4CC" w14:textId="067248D9" w:rsidR="009E325D" w:rsidRPr="009E325D" w:rsidRDefault="009E325D" w:rsidP="00AF0CB5">
      <w:pPr>
        <w:spacing w:line="240" w:lineRule="exact"/>
      </w:pPr>
      <w:r w:rsidRPr="009E325D">
        <w:t>Point 4.9.4 de l’ordre du jour provisoire</w:t>
      </w:r>
    </w:p>
    <w:p w14:paraId="0506E3E1" w14:textId="6F9B3B2A" w:rsidR="009E325D" w:rsidRPr="004B22BC" w:rsidRDefault="009E325D" w:rsidP="009E325D">
      <w:pPr>
        <w:rPr>
          <w:b/>
          <w:bCs/>
        </w:rPr>
      </w:pPr>
      <w:r>
        <w:rPr>
          <w:b/>
          <w:bCs/>
          <w:lang w:val="fr-FR"/>
        </w:rPr>
        <w:t>Accord de 1958 :</w:t>
      </w:r>
      <w:r>
        <w:rPr>
          <w:b/>
          <w:bCs/>
          <w:lang w:val="fr-FR"/>
        </w:rPr>
        <w:t xml:space="preserve"> </w:t>
      </w:r>
      <w:r w:rsidRPr="00F05345">
        <w:rPr>
          <w:b/>
          <w:bCs/>
        </w:rPr>
        <w:t>Examen de projets d</w:t>
      </w:r>
      <w:r>
        <w:rPr>
          <w:b/>
          <w:bCs/>
        </w:rPr>
        <w:t>’</w:t>
      </w:r>
      <w:r w:rsidRPr="00F05345">
        <w:rPr>
          <w:b/>
          <w:bCs/>
        </w:rPr>
        <w:t xml:space="preserve">amendements </w:t>
      </w:r>
      <w:r>
        <w:rPr>
          <w:b/>
          <w:bCs/>
        </w:rPr>
        <w:br/>
      </w:r>
      <w:r w:rsidRPr="00F05345">
        <w:rPr>
          <w:b/>
          <w:bCs/>
        </w:rPr>
        <w:t>à des Règlements ONU existants, soumis par le</w:t>
      </w:r>
      <w:r>
        <w:rPr>
          <w:b/>
          <w:bCs/>
        </w:rPr>
        <w:t xml:space="preserve"> GRPE</w:t>
      </w:r>
    </w:p>
    <w:p w14:paraId="7460E3A3" w14:textId="16D4BA1F" w:rsidR="009E325D" w:rsidRPr="00AA5389" w:rsidRDefault="009E325D" w:rsidP="009E325D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E325D">
        <w:rPr>
          <w:spacing w:val="2"/>
          <w:lang w:val="fr-FR"/>
        </w:rPr>
        <w:t>Proposition de complément</w:t>
      </w:r>
      <w:r w:rsidRPr="009E325D">
        <w:rPr>
          <w:spacing w:val="2"/>
          <w:lang w:val="fr-FR"/>
        </w:rPr>
        <w:t> </w:t>
      </w:r>
      <w:r w:rsidRPr="009E325D">
        <w:rPr>
          <w:spacing w:val="2"/>
          <w:lang w:val="fr-FR"/>
        </w:rPr>
        <w:t>15 à la série 05 d’amendements</w:t>
      </w:r>
      <w:r>
        <w:rPr>
          <w:lang w:val="fr-FR"/>
        </w:rPr>
        <w:t xml:space="preserve"> </w:t>
      </w:r>
      <w:r w:rsidRPr="009E325D">
        <w:rPr>
          <w:spacing w:val="-2"/>
          <w:lang w:val="fr-FR"/>
        </w:rPr>
        <w:t>au Règlement ONU n</w:t>
      </w:r>
      <w:r w:rsidRPr="009E325D">
        <w:rPr>
          <w:spacing w:val="-2"/>
          <w:vertAlign w:val="superscript"/>
          <w:lang w:val="fr-FR"/>
        </w:rPr>
        <w:t>o</w:t>
      </w:r>
      <w:r w:rsidRPr="009E325D">
        <w:rPr>
          <w:spacing w:val="-2"/>
          <w:lang w:val="fr-FR"/>
        </w:rPr>
        <w:t> 83 (Émissions polluantes des véhicules</w:t>
      </w:r>
      <w:r>
        <w:rPr>
          <w:lang w:val="fr-FR"/>
        </w:rPr>
        <w:t xml:space="preserve"> des catégories M</w:t>
      </w:r>
      <w:r w:rsidRPr="00AA5389">
        <w:rPr>
          <w:vertAlign w:val="subscript"/>
          <w:lang w:val="fr-FR"/>
        </w:rPr>
        <w:t>1</w:t>
      </w:r>
      <w:r>
        <w:rPr>
          <w:lang w:val="fr-FR"/>
        </w:rPr>
        <w:t xml:space="preserve"> et N</w:t>
      </w:r>
      <w:r w:rsidRPr="00AA5389">
        <w:rPr>
          <w:vertAlign w:val="subscript"/>
          <w:lang w:val="fr-FR"/>
        </w:rPr>
        <w:t>1</w:t>
      </w:r>
      <w:r>
        <w:rPr>
          <w:lang w:val="fr-FR"/>
        </w:rPr>
        <w:t>)</w:t>
      </w:r>
    </w:p>
    <w:p w14:paraId="4409C732" w14:textId="459C3688" w:rsidR="009E325D" w:rsidRPr="00AA5389" w:rsidRDefault="009E325D" w:rsidP="009E325D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Communication du </w:t>
      </w:r>
      <w:r w:rsidRPr="006C73F1">
        <w:rPr>
          <w:lang w:val="fr-FR"/>
        </w:rPr>
        <w:t>Groupe de travail de la pollution et de l</w:t>
      </w:r>
      <w:r>
        <w:rPr>
          <w:lang w:val="fr-FR"/>
        </w:rPr>
        <w:t>’</w:t>
      </w:r>
      <w:r w:rsidRPr="006C73F1">
        <w:rPr>
          <w:lang w:val="fr-FR"/>
        </w:rPr>
        <w:t>énergie</w:t>
      </w:r>
      <w:r w:rsidRPr="009E325D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7EF404D2" w14:textId="3C627832" w:rsidR="00F9573C" w:rsidRDefault="009E325D" w:rsidP="009E325D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Le texte ci-après a été adopté par le </w:t>
      </w:r>
      <w:r w:rsidRPr="00445B14">
        <w:rPr>
          <w:lang w:val="fr-FR"/>
        </w:rPr>
        <w:t>Groupe de travail de la pollution et de l</w:t>
      </w:r>
      <w:r>
        <w:rPr>
          <w:lang w:val="fr-FR"/>
        </w:rPr>
        <w:t>’</w:t>
      </w:r>
      <w:r w:rsidRPr="00445B14">
        <w:rPr>
          <w:lang w:val="fr-FR"/>
        </w:rPr>
        <w:t>énergie</w:t>
      </w:r>
      <w:r>
        <w:rPr>
          <w:lang w:val="fr-FR"/>
        </w:rPr>
        <w:t xml:space="preserve"> (GRPE) à sa quatre-vingt-troisième session (ECE/TRANS/WP.29/GRPE/83, par.</w:t>
      </w:r>
      <w:r>
        <w:rPr>
          <w:lang w:val="fr-FR"/>
        </w:rPr>
        <w:t> </w:t>
      </w:r>
      <w:r>
        <w:rPr>
          <w:lang w:val="fr-FR"/>
        </w:rPr>
        <w:t xml:space="preserve">8). Il est fondé sur le document </w:t>
      </w:r>
      <w:r w:rsidRPr="007B0BBB">
        <w:rPr>
          <w:lang w:val="fr-FR"/>
        </w:rPr>
        <w:t>ECE/TRANS/WP.29/GRPE/2021/10</w:t>
      </w:r>
      <w:r>
        <w:rPr>
          <w:lang w:val="fr-FR"/>
        </w:rPr>
        <w:t xml:space="preserve"> et sur le document informel</w:t>
      </w:r>
      <w:r w:rsidRPr="007B0BBB">
        <w:rPr>
          <w:lang w:val="fr-FR"/>
        </w:rPr>
        <w:t xml:space="preserve"> GRPE-83-15</w:t>
      </w:r>
      <w:r>
        <w:rPr>
          <w:lang w:val="fr-FR"/>
        </w:rPr>
        <w:t>, tels que modifiés par l’annexe</w:t>
      </w:r>
      <w:r>
        <w:rPr>
          <w:lang w:val="fr-FR"/>
        </w:rPr>
        <w:t> </w:t>
      </w:r>
      <w:r>
        <w:rPr>
          <w:lang w:val="fr-FR"/>
        </w:rPr>
        <w:t xml:space="preserve">IV du rapport. </w:t>
      </w:r>
      <w:r w:rsidRPr="005D0600">
        <w:rPr>
          <w:lang w:val="fr-FR"/>
        </w:rPr>
        <w:t>Il est soumis au Forum mondial de l</w:t>
      </w:r>
      <w:r>
        <w:rPr>
          <w:lang w:val="fr-FR"/>
        </w:rPr>
        <w:t>’</w:t>
      </w:r>
      <w:r w:rsidRPr="005D0600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5D0600">
        <w:rPr>
          <w:lang w:val="fr-FR"/>
        </w:rPr>
        <w:t>administration de l</w:t>
      </w:r>
      <w:r>
        <w:rPr>
          <w:lang w:val="fr-FR"/>
        </w:rPr>
        <w:t>’</w:t>
      </w:r>
      <w:r w:rsidRPr="005D0600">
        <w:rPr>
          <w:lang w:val="fr-FR"/>
        </w:rPr>
        <w:t>Accord de 1958 (AC.1) pour examen à leurs sessions de</w:t>
      </w:r>
      <w:r>
        <w:rPr>
          <w:lang w:val="fr-FR"/>
        </w:rPr>
        <w:t xml:space="preserve"> novembre 2021.</w:t>
      </w:r>
    </w:p>
    <w:p w14:paraId="6D4F74C8" w14:textId="5E89A4BE" w:rsidR="009E325D" w:rsidRDefault="009E325D" w:rsidP="009E325D">
      <w:pPr>
        <w:pStyle w:val="SingleTxtG"/>
        <w:ind w:firstLine="567"/>
        <w:rPr>
          <w:lang w:val="fr-FR"/>
        </w:rPr>
      </w:pPr>
      <w:r>
        <w:rPr>
          <w:lang w:val="fr-FR"/>
        </w:rPr>
        <w:br w:type="page"/>
      </w:r>
    </w:p>
    <w:p w14:paraId="4EF0528C" w14:textId="0C3BBB3E" w:rsidR="009E325D" w:rsidRPr="009E325D" w:rsidRDefault="009E325D" w:rsidP="009E325D">
      <w:pPr>
        <w:pStyle w:val="SingleTxtG"/>
        <w:rPr>
          <w:i/>
          <w:iCs/>
          <w:lang w:val="fr-FR"/>
        </w:rPr>
      </w:pPr>
      <w:r w:rsidRPr="009E325D">
        <w:rPr>
          <w:i/>
          <w:iCs/>
          <w:lang w:val="fr-FR"/>
        </w:rPr>
        <w:lastRenderedPageBreak/>
        <w:t>Annexe</w:t>
      </w:r>
      <w:r w:rsidRPr="009E325D">
        <w:rPr>
          <w:i/>
          <w:iCs/>
          <w:lang w:val="fr-FR"/>
        </w:rPr>
        <w:t> </w:t>
      </w:r>
      <w:r w:rsidRPr="009E325D">
        <w:rPr>
          <w:i/>
          <w:iCs/>
          <w:lang w:val="fr-FR"/>
        </w:rPr>
        <w:t>6</w:t>
      </w:r>
    </w:p>
    <w:p w14:paraId="749BAB49" w14:textId="719B692C" w:rsidR="009E325D" w:rsidRDefault="009E325D" w:rsidP="009E325D">
      <w:pPr>
        <w:pStyle w:val="SingleTxtG"/>
        <w:rPr>
          <w:lang w:val="fr-FR"/>
        </w:rPr>
      </w:pPr>
      <w:r w:rsidRPr="009E325D">
        <w:rPr>
          <w:i/>
          <w:iCs/>
          <w:lang w:val="fr-FR"/>
        </w:rPr>
        <w:t>Paragraphe</w:t>
      </w:r>
      <w:r w:rsidRPr="009E325D">
        <w:rPr>
          <w:i/>
          <w:iCs/>
          <w:lang w:val="fr-FR"/>
        </w:rPr>
        <w:t> </w:t>
      </w:r>
      <w:r w:rsidRPr="009E325D">
        <w:rPr>
          <w:i/>
          <w:iCs/>
          <w:lang w:val="fr-FR"/>
        </w:rPr>
        <w:t>5.2</w:t>
      </w:r>
      <w:r>
        <w:rPr>
          <w:lang w:val="fr-FR"/>
        </w:rPr>
        <w:t>, lire :</w:t>
      </w:r>
    </w:p>
    <w:p w14:paraId="1306F4FA" w14:textId="77777777" w:rsidR="009E325D" w:rsidRPr="00597B4F" w:rsidRDefault="009E325D" w:rsidP="009E325D">
      <w:pPr>
        <w:pStyle w:val="SingleTxtG"/>
        <w:tabs>
          <w:tab w:val="left" w:pos="2268"/>
        </w:tabs>
        <w:ind w:left="2268" w:hanging="1134"/>
        <w:rPr>
          <w:lang w:val="fr-FR"/>
        </w:rPr>
      </w:pPr>
      <w:r w:rsidRPr="00597B4F">
        <w:rPr>
          <w:lang w:val="fr-FR"/>
        </w:rPr>
        <w:t>« 5.2</w:t>
      </w:r>
      <w:r w:rsidRPr="00597B4F">
        <w:rPr>
          <w:lang w:val="fr-FR"/>
        </w:rPr>
        <w:tab/>
      </w:r>
      <w:r w:rsidRPr="007D551D">
        <w:rPr>
          <w:lang w:val="fr-FR"/>
        </w:rPr>
        <w:t>La</w:t>
      </w:r>
      <w:r>
        <w:rPr>
          <w:lang w:val="fr-FR"/>
        </w:rPr>
        <w:t xml:space="preserve"> </w:t>
      </w:r>
      <w:r w:rsidRPr="007D551D">
        <w:rPr>
          <w:lang w:val="fr-FR"/>
        </w:rPr>
        <w:t>pression</w:t>
      </w:r>
      <w:r>
        <w:rPr>
          <w:lang w:val="fr-FR"/>
        </w:rPr>
        <w:t xml:space="preserve"> </w:t>
      </w:r>
      <w:r w:rsidRPr="007D551D">
        <w:rPr>
          <w:lang w:val="fr-FR"/>
        </w:rPr>
        <w:t>dans</w:t>
      </w:r>
      <w:r>
        <w:rPr>
          <w:lang w:val="fr-FR"/>
        </w:rPr>
        <w:t xml:space="preserve"> </w:t>
      </w:r>
      <w:r w:rsidRPr="007D551D">
        <w:rPr>
          <w:lang w:val="fr-FR"/>
        </w:rPr>
        <w:t>le</w:t>
      </w:r>
      <w:r>
        <w:rPr>
          <w:lang w:val="fr-FR"/>
        </w:rPr>
        <w:t xml:space="preserve"> </w:t>
      </w:r>
      <w:r w:rsidRPr="007D551D">
        <w:rPr>
          <w:lang w:val="fr-FR"/>
        </w:rPr>
        <w:t>carter</w:t>
      </w:r>
      <w:r>
        <w:rPr>
          <w:lang w:val="fr-FR"/>
        </w:rPr>
        <w:t xml:space="preserve"> </w:t>
      </w:r>
      <w:r w:rsidRPr="007D551D">
        <w:rPr>
          <w:lang w:val="fr-FR"/>
        </w:rPr>
        <w:t>est mesurée</w:t>
      </w:r>
      <w:r>
        <w:rPr>
          <w:lang w:val="fr-FR"/>
        </w:rPr>
        <w:t xml:space="preserve"> </w:t>
      </w:r>
      <w:r w:rsidRPr="007D551D">
        <w:rPr>
          <w:lang w:val="fr-FR"/>
        </w:rPr>
        <w:t>en</w:t>
      </w:r>
      <w:r>
        <w:rPr>
          <w:lang w:val="fr-FR"/>
        </w:rPr>
        <w:t xml:space="preserve"> </w:t>
      </w:r>
      <w:r w:rsidRPr="007D551D">
        <w:rPr>
          <w:lang w:val="fr-FR"/>
        </w:rPr>
        <w:t>un</w:t>
      </w:r>
      <w:r>
        <w:rPr>
          <w:lang w:val="fr-FR"/>
        </w:rPr>
        <w:t xml:space="preserve"> </w:t>
      </w:r>
      <w:r w:rsidRPr="007D551D">
        <w:rPr>
          <w:lang w:val="fr-FR"/>
        </w:rPr>
        <w:t>point</w:t>
      </w:r>
      <w:r>
        <w:rPr>
          <w:lang w:val="fr-FR"/>
        </w:rPr>
        <w:t xml:space="preserve"> </w:t>
      </w:r>
      <w:r w:rsidRPr="007D551D">
        <w:rPr>
          <w:lang w:val="fr-FR"/>
        </w:rPr>
        <w:t xml:space="preserve">approprié. </w:t>
      </w:r>
      <w:r>
        <w:rPr>
          <w:lang w:val="fr-FR"/>
        </w:rPr>
        <w:t xml:space="preserve">Il est recommandé de </w:t>
      </w:r>
      <w:r w:rsidRPr="007D551D">
        <w:rPr>
          <w:lang w:val="fr-FR"/>
        </w:rPr>
        <w:t>la</w:t>
      </w:r>
      <w:r>
        <w:rPr>
          <w:lang w:val="fr-FR"/>
        </w:rPr>
        <w:t xml:space="preserve"> </w:t>
      </w:r>
      <w:r w:rsidRPr="007D551D">
        <w:rPr>
          <w:lang w:val="fr-FR"/>
        </w:rPr>
        <w:t>mesure</w:t>
      </w:r>
      <w:r>
        <w:rPr>
          <w:lang w:val="fr-FR"/>
        </w:rPr>
        <w:t>r</w:t>
      </w:r>
      <w:r w:rsidRPr="007D551D">
        <w:rPr>
          <w:lang w:val="fr-FR"/>
        </w:rPr>
        <w:t xml:space="preserve"> par le</w:t>
      </w:r>
      <w:r>
        <w:rPr>
          <w:lang w:val="fr-FR"/>
        </w:rPr>
        <w:t xml:space="preserve"> </w:t>
      </w:r>
      <w:r w:rsidRPr="007D551D">
        <w:rPr>
          <w:lang w:val="fr-FR"/>
        </w:rPr>
        <w:t>trou de jauge</w:t>
      </w:r>
      <w:r>
        <w:rPr>
          <w:lang w:val="fr-FR"/>
        </w:rPr>
        <w:t>, si possible. ».</w:t>
      </w:r>
    </w:p>
    <w:p w14:paraId="0CF0CC34" w14:textId="2141011E" w:rsidR="009E325D" w:rsidRPr="009E325D" w:rsidRDefault="009E325D" w:rsidP="009E325D">
      <w:pPr>
        <w:pStyle w:val="SingleTxtG"/>
        <w:rPr>
          <w:i/>
          <w:iCs/>
          <w:lang w:val="fr-FR"/>
        </w:rPr>
      </w:pPr>
      <w:r w:rsidRPr="009E325D">
        <w:rPr>
          <w:i/>
          <w:iCs/>
          <w:lang w:val="fr-FR"/>
        </w:rPr>
        <w:t>Annexe</w:t>
      </w:r>
      <w:r w:rsidRPr="009E325D">
        <w:rPr>
          <w:i/>
          <w:iCs/>
          <w:lang w:val="fr-FR"/>
        </w:rPr>
        <w:t> </w:t>
      </w:r>
      <w:r w:rsidRPr="009E325D">
        <w:rPr>
          <w:i/>
          <w:iCs/>
          <w:lang w:val="fr-FR"/>
        </w:rPr>
        <w:t>7</w:t>
      </w:r>
    </w:p>
    <w:p w14:paraId="0CD68EE8" w14:textId="77777777" w:rsidR="009E325D" w:rsidRPr="00AA5389" w:rsidRDefault="009E325D" w:rsidP="009E325D">
      <w:pPr>
        <w:pStyle w:val="SingleTxtG"/>
        <w:rPr>
          <w:rFonts w:eastAsia="MS Mincho"/>
          <w:lang w:val="fr-FR"/>
        </w:rPr>
      </w:pPr>
      <w:r w:rsidRPr="009E325D">
        <w:rPr>
          <w:i/>
          <w:iCs/>
          <w:lang w:val="fr-FR"/>
        </w:rPr>
        <w:t>Paragraphe 3.2.1</w:t>
      </w:r>
      <w:r>
        <w:rPr>
          <w:lang w:val="fr-FR"/>
        </w:rPr>
        <w:t>, lire :</w:t>
      </w:r>
    </w:p>
    <w:p w14:paraId="1E350D9C" w14:textId="77777777" w:rsidR="009E325D" w:rsidRPr="00AA5389" w:rsidRDefault="009E325D" w:rsidP="009E325D">
      <w:pPr>
        <w:pStyle w:val="SingleTxtG"/>
        <w:tabs>
          <w:tab w:val="left" w:pos="2268"/>
        </w:tabs>
        <w:ind w:left="2268" w:hanging="1134"/>
        <w:rPr>
          <w:rFonts w:eastAsia="MS Mincho"/>
          <w:lang w:val="fr-FR"/>
        </w:rPr>
      </w:pPr>
      <w:r>
        <w:rPr>
          <w:lang w:val="fr-FR"/>
        </w:rPr>
        <w:t>« 3.2.1</w:t>
      </w:r>
      <w:r>
        <w:rPr>
          <w:lang w:val="fr-FR"/>
        </w:rPr>
        <w:tab/>
        <w:t>Le carburant de référence approprié, tel qu’indiqué à l’annexe 10 du présent Règlement, doit être utilisé.</w:t>
      </w:r>
    </w:p>
    <w:p w14:paraId="7457DD67" w14:textId="77777777" w:rsidR="009E325D" w:rsidRPr="003B2DB4" w:rsidRDefault="009E325D" w:rsidP="009E325D">
      <w:pPr>
        <w:pStyle w:val="SingleTxtG"/>
        <w:ind w:left="2268"/>
        <w:rPr>
          <w:rFonts w:eastAsia="MS Mincho"/>
          <w:lang w:val="fr-FR"/>
        </w:rPr>
      </w:pPr>
      <w:r w:rsidRPr="00597B4F">
        <w:rPr>
          <w:rFonts w:eastAsia="MS Mincho"/>
          <w:lang w:val="fr-FR"/>
        </w:rPr>
        <w:t>Le constructeur peut également choisir d</w:t>
      </w:r>
      <w:r>
        <w:rPr>
          <w:rFonts w:eastAsia="MS Mincho"/>
          <w:lang w:val="fr-FR"/>
        </w:rPr>
        <w:t>’</w:t>
      </w:r>
      <w:r w:rsidRPr="00597B4F">
        <w:rPr>
          <w:rFonts w:eastAsia="MS Mincho"/>
          <w:lang w:val="fr-FR"/>
        </w:rPr>
        <w:t>utiliser le carburant de référence approprié tel qu</w:t>
      </w:r>
      <w:r>
        <w:rPr>
          <w:rFonts w:eastAsia="MS Mincho"/>
          <w:lang w:val="fr-FR"/>
        </w:rPr>
        <w:t>’</w:t>
      </w:r>
      <w:r w:rsidRPr="00597B4F">
        <w:rPr>
          <w:rFonts w:eastAsia="MS Mincho"/>
          <w:lang w:val="fr-FR"/>
        </w:rPr>
        <w:t>indiqué à l</w:t>
      </w:r>
      <w:r>
        <w:rPr>
          <w:rFonts w:eastAsia="MS Mincho"/>
          <w:lang w:val="fr-FR"/>
        </w:rPr>
        <w:t>’</w:t>
      </w:r>
      <w:r w:rsidRPr="00597B4F">
        <w:rPr>
          <w:rFonts w:eastAsia="MS Mincho"/>
          <w:lang w:val="fr-FR"/>
        </w:rPr>
        <w:t>annexe 10 dans la série 06 ou 07 d</w:t>
      </w:r>
      <w:r>
        <w:rPr>
          <w:rFonts w:eastAsia="MS Mincho"/>
          <w:lang w:val="fr-FR"/>
        </w:rPr>
        <w:t>’</w:t>
      </w:r>
      <w:r w:rsidRPr="00597B4F">
        <w:rPr>
          <w:rFonts w:eastAsia="MS Mincho"/>
          <w:lang w:val="fr-FR"/>
        </w:rPr>
        <w:t>amendements au présent Règlement.</w:t>
      </w:r>
      <w:r>
        <w:rPr>
          <w:rFonts w:eastAsia="MS Mincho"/>
          <w:lang w:val="fr-FR"/>
        </w:rPr>
        <w:t> </w:t>
      </w:r>
      <w:r w:rsidRPr="003B2DB4">
        <w:rPr>
          <w:rFonts w:eastAsia="MS Mincho"/>
          <w:lang w:val="fr-FR"/>
        </w:rPr>
        <w:t>».</w:t>
      </w:r>
    </w:p>
    <w:p w14:paraId="69D5C069" w14:textId="5B7DEEA4" w:rsidR="009E325D" w:rsidRPr="009E325D" w:rsidRDefault="009E325D" w:rsidP="009E325D">
      <w:pPr>
        <w:pStyle w:val="SingleTxtG"/>
        <w:rPr>
          <w:i/>
          <w:iCs/>
          <w:lang w:val="fr-FR"/>
        </w:rPr>
      </w:pPr>
      <w:r w:rsidRPr="009E325D">
        <w:rPr>
          <w:i/>
          <w:iCs/>
          <w:lang w:val="fr-FR"/>
        </w:rPr>
        <w:t>Annexe</w:t>
      </w:r>
      <w:r w:rsidRPr="009E325D">
        <w:rPr>
          <w:i/>
          <w:iCs/>
          <w:lang w:val="fr-FR"/>
        </w:rPr>
        <w:t> </w:t>
      </w:r>
      <w:r w:rsidRPr="009E325D">
        <w:rPr>
          <w:i/>
          <w:iCs/>
          <w:lang w:val="fr-FR"/>
        </w:rPr>
        <w:t>8</w:t>
      </w:r>
    </w:p>
    <w:p w14:paraId="4843700F" w14:textId="6AA0E1B1" w:rsidR="009E325D" w:rsidRDefault="009E325D" w:rsidP="009E325D">
      <w:pPr>
        <w:pStyle w:val="SingleTxtG"/>
        <w:rPr>
          <w:lang w:val="fr-FR"/>
        </w:rPr>
      </w:pPr>
      <w:r w:rsidRPr="009E325D">
        <w:rPr>
          <w:i/>
          <w:iCs/>
          <w:lang w:val="fr-FR"/>
        </w:rPr>
        <w:t>Paragraphe</w:t>
      </w:r>
      <w:r w:rsidRPr="009E325D">
        <w:rPr>
          <w:i/>
          <w:iCs/>
          <w:lang w:val="fr-FR"/>
        </w:rPr>
        <w:t> </w:t>
      </w:r>
      <w:r w:rsidRPr="009E325D">
        <w:rPr>
          <w:i/>
          <w:iCs/>
          <w:lang w:val="fr-FR"/>
        </w:rPr>
        <w:t>5.2.11</w:t>
      </w:r>
      <w:r>
        <w:rPr>
          <w:lang w:val="fr-FR"/>
        </w:rPr>
        <w:t>, lire :</w:t>
      </w:r>
    </w:p>
    <w:p w14:paraId="6181F147" w14:textId="5FF5F5C3" w:rsidR="009E325D" w:rsidRDefault="009E325D" w:rsidP="009E325D">
      <w:pPr>
        <w:pStyle w:val="SingleTxtG"/>
        <w:tabs>
          <w:tab w:val="left" w:pos="2268"/>
        </w:tabs>
        <w:ind w:left="2268" w:hanging="1134"/>
        <w:rPr>
          <w:lang w:val="fr-FR"/>
        </w:rPr>
      </w:pPr>
      <w:r>
        <w:rPr>
          <w:lang w:val="fr-FR"/>
        </w:rPr>
        <w:t>« 5.2.11</w:t>
      </w:r>
      <w:r>
        <w:rPr>
          <w:lang w:val="fr-FR"/>
        </w:rPr>
        <w:tab/>
      </w:r>
      <w:r w:rsidRPr="0012405D">
        <w:rPr>
          <w:lang w:val="fr-FR"/>
        </w:rPr>
        <w:t>Les véhicules à quatre roues motrices doivent être soumis à l</w:t>
      </w:r>
      <w:r>
        <w:rPr>
          <w:lang w:val="fr-FR"/>
        </w:rPr>
        <w:t>’</w:t>
      </w:r>
      <w:r w:rsidRPr="0012405D">
        <w:rPr>
          <w:lang w:val="fr-FR"/>
        </w:rPr>
        <w:t>essai avec deux roues motrices</w:t>
      </w:r>
      <w:r>
        <w:rPr>
          <w:lang w:val="fr-FR"/>
        </w:rPr>
        <w:t xml:space="preserve">. </w:t>
      </w:r>
      <w:r w:rsidRPr="00B1339D">
        <w:rPr>
          <w:lang w:val="fr-FR"/>
        </w:rPr>
        <w:t>La résistance totale pour le réglage du banc d</w:t>
      </w:r>
      <w:r>
        <w:rPr>
          <w:lang w:val="fr-FR"/>
        </w:rPr>
        <w:t>’</w:t>
      </w:r>
      <w:r w:rsidRPr="00B1339D">
        <w:rPr>
          <w:lang w:val="fr-FR"/>
        </w:rPr>
        <w:t xml:space="preserve">essai est déterminée lorsque le véhicule se trouve dans son </w:t>
      </w:r>
      <w:r>
        <w:rPr>
          <w:lang w:val="fr-FR"/>
        </w:rPr>
        <w:t>mode</w:t>
      </w:r>
      <w:r w:rsidRPr="00B1339D">
        <w:rPr>
          <w:lang w:val="fr-FR"/>
        </w:rPr>
        <w:t xml:space="preserve"> de fonctionnement </w:t>
      </w:r>
      <w:r>
        <w:rPr>
          <w:lang w:val="fr-FR"/>
        </w:rPr>
        <w:t>principal. À la demande du constructeur, un véhicule à quatre roues motrices doit être soumis à l’essai dans son mode de fonctionnement principal. ».</w:t>
      </w:r>
    </w:p>
    <w:p w14:paraId="79E21E64" w14:textId="1F049CEF" w:rsidR="009E325D" w:rsidRPr="009E325D" w:rsidRDefault="009E325D" w:rsidP="009E325D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E325D" w:rsidRPr="009E325D" w:rsidSect="009E325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4504" w14:textId="77777777" w:rsidR="006A62BD" w:rsidRDefault="006A62BD" w:rsidP="00F95C08">
      <w:pPr>
        <w:spacing w:line="240" w:lineRule="auto"/>
      </w:pPr>
    </w:p>
  </w:endnote>
  <w:endnote w:type="continuationSeparator" w:id="0">
    <w:p w14:paraId="5061EB02" w14:textId="77777777" w:rsidR="006A62BD" w:rsidRPr="00AC3823" w:rsidRDefault="006A62BD" w:rsidP="00AC3823">
      <w:pPr>
        <w:pStyle w:val="Pieddepage"/>
      </w:pPr>
    </w:p>
  </w:endnote>
  <w:endnote w:type="continuationNotice" w:id="1">
    <w:p w14:paraId="20974A36" w14:textId="77777777" w:rsidR="006A62BD" w:rsidRDefault="006A62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ECCBD" w14:textId="3CF70D78" w:rsidR="009E325D" w:rsidRPr="009E325D" w:rsidRDefault="009E325D" w:rsidP="009E325D">
    <w:pPr>
      <w:pStyle w:val="Pieddepage"/>
      <w:tabs>
        <w:tab w:val="right" w:pos="9638"/>
      </w:tabs>
    </w:pPr>
    <w:r w:rsidRPr="009E325D">
      <w:rPr>
        <w:b/>
        <w:sz w:val="18"/>
      </w:rPr>
      <w:fldChar w:fldCharType="begin"/>
    </w:r>
    <w:r w:rsidRPr="009E325D">
      <w:rPr>
        <w:b/>
        <w:sz w:val="18"/>
      </w:rPr>
      <w:instrText xml:space="preserve"> PAGE  \* MERGEFORMAT </w:instrText>
    </w:r>
    <w:r w:rsidRPr="009E325D">
      <w:rPr>
        <w:b/>
        <w:sz w:val="18"/>
      </w:rPr>
      <w:fldChar w:fldCharType="separate"/>
    </w:r>
    <w:r w:rsidRPr="009E325D">
      <w:rPr>
        <w:b/>
        <w:noProof/>
        <w:sz w:val="18"/>
      </w:rPr>
      <w:t>2</w:t>
    </w:r>
    <w:r w:rsidRPr="009E325D">
      <w:rPr>
        <w:b/>
        <w:sz w:val="18"/>
      </w:rPr>
      <w:fldChar w:fldCharType="end"/>
    </w:r>
    <w:r>
      <w:rPr>
        <w:b/>
        <w:sz w:val="18"/>
      </w:rPr>
      <w:tab/>
    </w:r>
    <w:r>
      <w:t>GE.21-12759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1CF5" w14:textId="345B5C87" w:rsidR="009E325D" w:rsidRPr="009E325D" w:rsidRDefault="009E325D" w:rsidP="009E325D">
    <w:pPr>
      <w:pStyle w:val="Pieddepage"/>
      <w:tabs>
        <w:tab w:val="right" w:pos="9638"/>
      </w:tabs>
      <w:rPr>
        <w:b/>
        <w:sz w:val="18"/>
      </w:rPr>
    </w:pPr>
    <w:r>
      <w:t>GE.21-12759</w:t>
    </w:r>
    <w:r>
      <w:tab/>
    </w:r>
    <w:r w:rsidRPr="009E325D">
      <w:rPr>
        <w:b/>
        <w:sz w:val="18"/>
      </w:rPr>
      <w:fldChar w:fldCharType="begin"/>
    </w:r>
    <w:r w:rsidRPr="009E325D">
      <w:rPr>
        <w:b/>
        <w:sz w:val="18"/>
      </w:rPr>
      <w:instrText xml:space="preserve"> PAGE  \* MERGEFORMAT </w:instrText>
    </w:r>
    <w:r w:rsidRPr="009E325D">
      <w:rPr>
        <w:b/>
        <w:sz w:val="18"/>
      </w:rPr>
      <w:fldChar w:fldCharType="separate"/>
    </w:r>
    <w:r w:rsidRPr="009E325D">
      <w:rPr>
        <w:b/>
        <w:noProof/>
        <w:sz w:val="18"/>
      </w:rPr>
      <w:t>3</w:t>
    </w:r>
    <w:r w:rsidRPr="009E325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F7D72" w14:textId="647DB893" w:rsidR="007F20FA" w:rsidRPr="009E325D" w:rsidRDefault="009E325D" w:rsidP="009E325D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C52FA45" wp14:editId="06B454C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21-12759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5750E54" wp14:editId="5AE775BC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170921    170921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00820" w14:textId="77777777" w:rsidR="006A62BD" w:rsidRPr="00AC3823" w:rsidRDefault="006A62B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81E772E" w14:textId="77777777" w:rsidR="006A62BD" w:rsidRPr="00AC3823" w:rsidRDefault="006A62B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825926D" w14:textId="77777777" w:rsidR="006A62BD" w:rsidRPr="00AC3823" w:rsidRDefault="006A62BD">
      <w:pPr>
        <w:spacing w:line="240" w:lineRule="auto"/>
        <w:rPr>
          <w:sz w:val="2"/>
          <w:szCs w:val="2"/>
        </w:rPr>
      </w:pPr>
    </w:p>
  </w:footnote>
  <w:footnote w:id="2">
    <w:p w14:paraId="14E4C76A" w14:textId="27AF7E4A" w:rsidR="009E325D" w:rsidRPr="009E325D" w:rsidRDefault="009E325D">
      <w:pPr>
        <w:pStyle w:val="Notedebasdepage"/>
      </w:pPr>
      <w:r>
        <w:rPr>
          <w:rStyle w:val="Appelnotedebasdep"/>
        </w:rPr>
        <w:tab/>
      </w:r>
      <w:r w:rsidRPr="009E325D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2021 tel qu’il figure dans le projet de budget-programme pour 2021 (A/75/6 (Sect. 20), par. 20.51),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36C5" w14:textId="7BC4E6F9" w:rsidR="009E325D" w:rsidRPr="009E325D" w:rsidRDefault="009E325D">
    <w:pPr>
      <w:pStyle w:val="En-tte"/>
    </w:pPr>
    <w:fldSimple w:instr=" TITLE  \* MERGEFORMAT ">
      <w:r>
        <w:t>ECE/TRANS/WP.29/2021/131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203B1" w14:textId="28DA8244" w:rsidR="009E325D" w:rsidRPr="009E325D" w:rsidRDefault="009E325D" w:rsidP="009E325D">
    <w:pPr>
      <w:pStyle w:val="En-tte"/>
      <w:jc w:val="right"/>
    </w:pPr>
    <w:fldSimple w:instr=" TITLE  \* MERGEFORMAT ">
      <w:r>
        <w:t>ECE/TRANS/WP.29/2021/131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BD"/>
    <w:rsid w:val="00017F94"/>
    <w:rsid w:val="00023842"/>
    <w:rsid w:val="000334F9"/>
    <w:rsid w:val="00045FEB"/>
    <w:rsid w:val="0007796D"/>
    <w:rsid w:val="000B7790"/>
    <w:rsid w:val="00111F2F"/>
    <w:rsid w:val="00116ECD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1EB1"/>
    <w:rsid w:val="00573BE5"/>
    <w:rsid w:val="00586ED3"/>
    <w:rsid w:val="00596AA9"/>
    <w:rsid w:val="006A62BD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E325D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FE44BB"/>
  <w15:docId w15:val="{2C2E5A41-894A-4443-A291-C60B2C7B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326</Words>
  <Characters>1764</Characters>
  <Application>Microsoft Office Word</Application>
  <DocSecurity>0</DocSecurity>
  <Lines>49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ECE/TRANS/WP.29/2021/131</dc:title>
  <dc:subject/>
  <dc:creator>Marie DESCHAMPS</dc:creator>
  <cp:keywords/>
  <cp:lastModifiedBy>Marie DESCHAMPS</cp:lastModifiedBy>
  <cp:revision>2</cp:revision>
  <cp:lastPrinted>2014-05-14T10:59:00Z</cp:lastPrinted>
  <dcterms:created xsi:type="dcterms:W3CDTF">2021-09-17T10:40:00Z</dcterms:created>
  <dcterms:modified xsi:type="dcterms:W3CDTF">2021-09-17T10:40:00Z</dcterms:modified>
</cp:coreProperties>
</file>