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450A7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13FDE2" w14:textId="77777777" w:rsidR="002D5AAC" w:rsidRDefault="002D5AAC" w:rsidP="00C433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FFA43C" w14:textId="77777777" w:rsidR="002D5AAC" w:rsidRPr="00BD33EE" w:rsidRDefault="00DF71B9" w:rsidP="00C4334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4C8989" w14:textId="7675B7B5" w:rsidR="002D5AAC" w:rsidRDefault="003F516D" w:rsidP="00C4334E">
            <w:pPr>
              <w:jc w:val="right"/>
            </w:pPr>
            <w:r w:rsidRPr="003F516D">
              <w:rPr>
                <w:sz w:val="40"/>
              </w:rPr>
              <w:t>ECE</w:t>
            </w:r>
            <w:r>
              <w:t>/TRANS/WP.29/2021/100</w:t>
            </w:r>
          </w:p>
        </w:tc>
      </w:tr>
      <w:tr w:rsidR="002D5AAC" w:rsidRPr="003F516D" w14:paraId="459545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AE30F8" w14:textId="77777777" w:rsidR="002D5AAC" w:rsidRDefault="002E5067" w:rsidP="00C4334E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80811E" wp14:editId="1EE6288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98277" w14:textId="77777777" w:rsidR="002D5AAC" w:rsidRPr="00033EE1" w:rsidRDefault="008A37C8" w:rsidP="00C4334E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B24687" w14:textId="77777777" w:rsidR="002D5AAC" w:rsidRDefault="003F516D" w:rsidP="00C4334E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D10AFA" w14:textId="0ACF0D48" w:rsidR="003F516D" w:rsidRDefault="003F516D" w:rsidP="00C4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56963F0A" w14:textId="77777777" w:rsidR="003F516D" w:rsidRDefault="003F516D" w:rsidP="00C4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2F1068" w14:textId="7A6A5B19" w:rsidR="003F516D" w:rsidRPr="008D53B6" w:rsidRDefault="003F516D" w:rsidP="00C4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90FE9C" w14:textId="77777777" w:rsidR="008A37C8" w:rsidRDefault="008A37C8" w:rsidP="00C4334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24503F" w14:textId="77777777" w:rsidR="003F516D" w:rsidRPr="005561DF" w:rsidRDefault="003F516D" w:rsidP="00C4334E">
      <w:pPr>
        <w:spacing w:before="120"/>
        <w:rPr>
          <w:sz w:val="28"/>
          <w:szCs w:val="28"/>
        </w:rPr>
      </w:pPr>
      <w:r w:rsidRPr="005561DF">
        <w:rPr>
          <w:sz w:val="28"/>
          <w:szCs w:val="28"/>
        </w:rPr>
        <w:t>Комитет по внутреннему транспорту</w:t>
      </w:r>
    </w:p>
    <w:p w14:paraId="62276D3B" w14:textId="438C4DAE" w:rsidR="003F516D" w:rsidRPr="005561DF" w:rsidRDefault="003F516D" w:rsidP="00C4334E">
      <w:pPr>
        <w:spacing w:before="120"/>
        <w:rPr>
          <w:b/>
          <w:sz w:val="24"/>
          <w:szCs w:val="24"/>
        </w:rPr>
      </w:pPr>
      <w:r w:rsidRPr="005561D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5561DF">
        <w:rPr>
          <w:b/>
          <w:bCs/>
          <w:sz w:val="24"/>
          <w:szCs w:val="24"/>
        </w:rPr>
        <w:br/>
      </w:r>
      <w:r w:rsidRPr="005561DF">
        <w:rPr>
          <w:b/>
          <w:bCs/>
          <w:sz w:val="24"/>
          <w:szCs w:val="24"/>
        </w:rPr>
        <w:t>в области транспортных средств</w:t>
      </w:r>
    </w:p>
    <w:p w14:paraId="1D96634D" w14:textId="77777777" w:rsidR="003F516D" w:rsidRPr="00884E7A" w:rsidRDefault="003F516D" w:rsidP="00C4334E">
      <w:pPr>
        <w:tabs>
          <w:tab w:val="center" w:pos="4819"/>
        </w:tabs>
        <w:spacing w:before="120"/>
        <w:rPr>
          <w:b/>
        </w:rPr>
      </w:pPr>
      <w:r w:rsidRPr="00884E7A">
        <w:rPr>
          <w:b/>
          <w:bCs/>
        </w:rPr>
        <w:t>Сто восемьдесят пятая сессия</w:t>
      </w:r>
    </w:p>
    <w:p w14:paraId="2D6C45E8" w14:textId="50345477" w:rsidR="003F516D" w:rsidRPr="00884E7A" w:rsidRDefault="003F516D" w:rsidP="00C4334E">
      <w:r w:rsidRPr="00884E7A">
        <w:t>Женева, 23</w:t>
      </w:r>
      <w:r w:rsidR="005561DF">
        <w:rPr>
          <w:lang w:val="en-US"/>
        </w:rPr>
        <w:t>–</w:t>
      </w:r>
      <w:r w:rsidRPr="00884E7A">
        <w:t>25 ноября 2021 года</w:t>
      </w:r>
    </w:p>
    <w:p w14:paraId="2DC2B351" w14:textId="77777777" w:rsidR="003F516D" w:rsidRPr="00884E7A" w:rsidRDefault="003F516D" w:rsidP="00C4334E">
      <w:r w:rsidRPr="00884E7A">
        <w:t>Пункт 4.7.4 предварительной повестки дня</w:t>
      </w:r>
    </w:p>
    <w:p w14:paraId="216602B2" w14:textId="33B70AA6" w:rsidR="003F516D" w:rsidRPr="00884E7A" w:rsidRDefault="003F516D" w:rsidP="00C4334E">
      <w:pPr>
        <w:rPr>
          <w:b/>
        </w:rPr>
      </w:pPr>
      <w:r w:rsidRPr="00884E7A">
        <w:rPr>
          <w:b/>
          <w:bCs/>
        </w:rPr>
        <w:t xml:space="preserve">Соглашение 1958 года: рассмотрение проектов поправок </w:t>
      </w:r>
      <w:r w:rsidR="005561DF">
        <w:rPr>
          <w:b/>
          <w:bCs/>
        </w:rPr>
        <w:br/>
      </w:r>
      <w:r w:rsidRPr="00884E7A">
        <w:rPr>
          <w:b/>
          <w:bCs/>
        </w:rPr>
        <w:t>к существующим правилам ООН, представленных GRSG</w:t>
      </w:r>
    </w:p>
    <w:p w14:paraId="61821917" w14:textId="77777777" w:rsidR="003F516D" w:rsidRPr="00884E7A" w:rsidRDefault="003F516D" w:rsidP="00C4334E">
      <w:pPr>
        <w:pStyle w:val="HChG"/>
      </w:pPr>
      <w:r w:rsidRPr="00884E7A">
        <w:tab/>
      </w:r>
      <w:r w:rsidRPr="00884E7A">
        <w:tab/>
      </w:r>
      <w:r w:rsidRPr="00884E7A">
        <w:rPr>
          <w:bCs/>
        </w:rPr>
        <w:t>Предложение по поправкам серии 02 к Правилам № 125 ООН (поле обзора водителя спереди)</w:t>
      </w:r>
    </w:p>
    <w:p w14:paraId="57096A8F" w14:textId="77777777" w:rsidR="003F516D" w:rsidRPr="00884E7A" w:rsidRDefault="003F516D" w:rsidP="00C4334E">
      <w:pPr>
        <w:pStyle w:val="H1G"/>
        <w:rPr>
          <w:szCs w:val="24"/>
        </w:rPr>
      </w:pPr>
      <w:r w:rsidRPr="00884E7A">
        <w:tab/>
      </w:r>
      <w:r w:rsidRPr="00884E7A">
        <w:tab/>
      </w:r>
      <w:r w:rsidRPr="00884E7A">
        <w:rPr>
          <w:bCs/>
        </w:rPr>
        <w:t>Представлено Рабочей группой по общим предписаниям, касающимся безопасности</w:t>
      </w:r>
      <w:r w:rsidRPr="005561D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84E7A">
        <w:t xml:space="preserve"> </w:t>
      </w:r>
    </w:p>
    <w:p w14:paraId="1F49DCAC" w14:textId="77777777" w:rsidR="003F516D" w:rsidRPr="00884E7A" w:rsidRDefault="003F516D" w:rsidP="00C4334E">
      <w:pPr>
        <w:pStyle w:val="SingleTxtG"/>
        <w:ind w:firstLine="567"/>
      </w:pPr>
      <w:r w:rsidRPr="00884E7A"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п. 80). В его основу положен документ ECE/TRANS/WP.29/GRSG/2021/12 с поправками, содержащимися в документе GRSG-121-15.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проведения голосования на их сессиях в ноябре 2021 года.</w:t>
      </w:r>
    </w:p>
    <w:p w14:paraId="6FA37B76" w14:textId="77777777" w:rsidR="003F516D" w:rsidRPr="00884E7A" w:rsidRDefault="003F516D" w:rsidP="00C4334E">
      <w:pPr>
        <w:spacing w:line="240" w:lineRule="auto"/>
      </w:pPr>
      <w:r w:rsidRPr="00884E7A">
        <w:br w:type="page"/>
      </w:r>
    </w:p>
    <w:p w14:paraId="6DC45AEC" w14:textId="77777777" w:rsidR="003F516D" w:rsidRPr="00884E7A" w:rsidRDefault="003F516D" w:rsidP="00C4334E">
      <w:r w:rsidRPr="00884E7A">
        <w:tab/>
      </w:r>
      <w:r w:rsidRPr="00884E7A">
        <w:tab/>
      </w:r>
      <w:r w:rsidRPr="00884E7A">
        <w:rPr>
          <w:i/>
          <w:iCs/>
        </w:rPr>
        <w:t>Включить новые пункты 2.19 и 2.20</w:t>
      </w:r>
      <w:r w:rsidRPr="00884E7A">
        <w:t xml:space="preserve"> следующего содержания:</w:t>
      </w:r>
    </w:p>
    <w:p w14:paraId="20E0EFB8" w14:textId="77777777" w:rsidR="003F516D" w:rsidRPr="00884E7A" w:rsidRDefault="003F516D" w:rsidP="00C4334E">
      <w:pPr>
        <w:rPr>
          <w:bCs/>
        </w:rPr>
      </w:pPr>
    </w:p>
    <w:p w14:paraId="7059338B" w14:textId="77777777" w:rsidR="003F516D" w:rsidRPr="00884E7A" w:rsidRDefault="003F516D" w:rsidP="00C32F4A">
      <w:pPr>
        <w:pStyle w:val="Para"/>
        <w:suppressAutoHyphens/>
        <w:rPr>
          <w:lang w:val="ru-RU"/>
        </w:rPr>
      </w:pPr>
      <w:r w:rsidRPr="00884E7A">
        <w:rPr>
          <w:lang w:val="ru-RU"/>
        </w:rPr>
        <w:t>«2.19</w:t>
      </w:r>
      <w:r w:rsidRPr="00884E7A">
        <w:rPr>
          <w:lang w:val="ru-RU"/>
        </w:rPr>
        <w:tab/>
        <w:t>Помеха: означает наличие в поле обзора физических элементов или препятствий, ухудшающих восприятие пропускаемого света, к числу которых не относится рассеянный свет (например, свет, отраженный из салона транспортного средства, или блики солнечного света).</w:t>
      </w:r>
    </w:p>
    <w:p w14:paraId="291B4333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2.20</w:t>
      </w:r>
      <w:r w:rsidRPr="00884E7A">
        <w:rPr>
          <w:lang w:val="ru-RU"/>
        </w:rPr>
        <w:tab/>
        <w:t>Виртуальный ассистент по полю обзора (АПО): означает визуальную информацию, отображаемую на ветровом стекле транспортного средства или на другой стеклянной поверхности для поддержания информированности водителя».</w:t>
      </w:r>
    </w:p>
    <w:p w14:paraId="15EDBDFE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i/>
          <w:iCs/>
          <w:lang w:val="ru-RU"/>
        </w:rPr>
        <w:t>Пункт 5.1.3</w:t>
      </w:r>
      <w:r w:rsidRPr="00884E7A">
        <w:rPr>
          <w:lang w:val="ru-RU"/>
        </w:rPr>
        <w:t xml:space="preserve"> изменить следующим образом:</w:t>
      </w:r>
    </w:p>
    <w:p w14:paraId="5C9E712B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«5.1.3</w:t>
      </w:r>
      <w:r w:rsidRPr="00884E7A">
        <w:rPr>
          <w:lang w:val="ru-RU"/>
        </w:rPr>
        <w:tab/>
        <w:t>За исключением предусмотренного в пунктах 5.1.3.3, 5.1.3.4 или 5.1.3.5</w:t>
      </w:r>
      <w:r w:rsidRPr="00884E7A">
        <w:rPr>
          <w:b/>
          <w:bCs/>
          <w:lang w:val="ru-RU"/>
        </w:rPr>
        <w:t xml:space="preserve"> </w:t>
      </w:r>
      <w:r w:rsidRPr="00884E7A">
        <w:rPr>
          <w:lang w:val="ru-RU"/>
        </w:rPr>
        <w:t xml:space="preserve">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устройствами непрямого обзора, охватывающими обязательное поле непрямого обзора,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 V1, и выше трех плоскостей, проходящих через точку V2, одна из которых перпендикулярна плоскости X–Z и отклоняется от горизонтали на 4° вниз в направлении вперед, а две другие перпендикулярны плоскости Y–Z и отклоняются от горизонтали на 4° вниз (см. рис. 4 добавления к приложению 4). </w:t>
      </w:r>
    </w:p>
    <w:p w14:paraId="45686BCB" w14:textId="77777777" w:rsidR="003F516D" w:rsidRPr="00884E7A" w:rsidRDefault="003F516D" w:rsidP="00C4334E">
      <w:pPr>
        <w:pStyle w:val="Para"/>
        <w:suppressAutoHyphens/>
        <w:ind w:left="3402"/>
        <w:rPr>
          <w:lang w:val="ru-RU"/>
        </w:rPr>
      </w:pPr>
      <w:r w:rsidRPr="00884E7A">
        <w:rPr>
          <w:lang w:val="ru-RU"/>
        </w:rPr>
        <w:t xml:space="preserve">Помехами для поля обзора не считаются следующие элементы: </w:t>
      </w:r>
    </w:p>
    <w:p w14:paraId="51FC172C" w14:textId="77777777" w:rsidR="003F516D" w:rsidRPr="00884E7A" w:rsidRDefault="003F516D" w:rsidP="00C4334E">
      <w:pPr>
        <w:pStyle w:val="Para"/>
        <w:suppressAutoHyphens/>
        <w:ind w:left="2835" w:hanging="567"/>
        <w:rPr>
          <w:lang w:val="ru-RU"/>
        </w:rPr>
      </w:pPr>
      <w:r w:rsidRPr="00884E7A">
        <w:rPr>
          <w:lang w:val="ru-RU"/>
        </w:rPr>
        <w:t>а)</w:t>
      </w:r>
      <w:r w:rsidRPr="00884E7A">
        <w:rPr>
          <w:lang w:val="ru-RU"/>
        </w:rPr>
        <w:tab/>
        <w:t xml:space="preserve">вмонтированные или запрессованные проводники “радиоантенны” толщиной не более: </w:t>
      </w:r>
    </w:p>
    <w:p w14:paraId="4F11D750" w14:textId="77777777" w:rsidR="003F516D" w:rsidRPr="00884E7A" w:rsidRDefault="003F516D" w:rsidP="00C4334E">
      <w:pPr>
        <w:pStyle w:val="Para"/>
        <w:suppressAutoHyphens/>
        <w:ind w:left="3402" w:hanging="567"/>
        <w:rPr>
          <w:lang w:val="ru-RU"/>
        </w:rPr>
      </w:pPr>
      <w:r w:rsidRPr="00884E7A">
        <w:rPr>
          <w:lang w:val="ru-RU"/>
        </w:rPr>
        <w:t>i)</w:t>
      </w:r>
      <w:r w:rsidRPr="00884E7A">
        <w:rPr>
          <w:lang w:val="ru-RU"/>
        </w:rPr>
        <w:tab/>
        <w:t xml:space="preserve">вмонтированные проводники: 0,5 мм, </w:t>
      </w:r>
    </w:p>
    <w:p w14:paraId="7A7DFA37" w14:textId="77777777" w:rsidR="003F516D" w:rsidRPr="00884E7A" w:rsidRDefault="003F516D" w:rsidP="00C4334E">
      <w:pPr>
        <w:pStyle w:val="Para"/>
        <w:suppressAutoHyphens/>
        <w:ind w:left="3402" w:hanging="567"/>
        <w:rPr>
          <w:lang w:val="ru-RU"/>
        </w:rPr>
      </w:pPr>
      <w:r w:rsidRPr="00884E7A">
        <w:rPr>
          <w:lang w:val="ru-RU"/>
        </w:rPr>
        <w:t>ii)</w:t>
      </w:r>
      <w:r w:rsidRPr="00884E7A">
        <w:rPr>
          <w:lang w:val="ru-RU"/>
        </w:rPr>
        <w:tab/>
        <w:t>запрессованные проводники: 1,0 мм. Эти проводники “радиоантенны” не должны пересекать зону A</w:t>
      </w:r>
      <w:r w:rsidRPr="00884E7A">
        <w:rPr>
          <w:vertAlign w:val="superscript"/>
          <w:lang w:val="ru-RU"/>
        </w:rPr>
        <w:t>5</w:t>
      </w:r>
      <w:r w:rsidRPr="00884E7A">
        <w:rPr>
          <w:lang w:val="ru-RU"/>
        </w:rPr>
        <w:t xml:space="preserve">. Однако зону А могут пересекать три проводника “радиоантенны”, если их толщина не превышает 0,5 мм; </w:t>
      </w:r>
    </w:p>
    <w:p w14:paraId="4DF50E3C" w14:textId="77777777" w:rsidR="003F516D" w:rsidRPr="00884E7A" w:rsidRDefault="003F516D" w:rsidP="00C4334E">
      <w:pPr>
        <w:pStyle w:val="Para"/>
        <w:suppressAutoHyphens/>
        <w:ind w:left="2835" w:hanging="567"/>
        <w:rPr>
          <w:lang w:val="ru-RU"/>
        </w:rPr>
      </w:pPr>
      <w:r w:rsidRPr="00884E7A">
        <w:rPr>
          <w:lang w:val="ru-RU"/>
        </w:rPr>
        <w:t>b)</w:t>
      </w:r>
      <w:r w:rsidRPr="00884E7A">
        <w:rPr>
          <w:lang w:val="ru-RU"/>
        </w:rPr>
        <w:tab/>
        <w:t xml:space="preserve">находящиеся в зоне А проводники системы “антиобледенения/антизапотевания”, как правило, зигзагообразной или синусоидальной формы, имеющие следующие размеры: </w:t>
      </w:r>
    </w:p>
    <w:p w14:paraId="4D2FF02F" w14:textId="77777777" w:rsidR="003F516D" w:rsidRPr="00884E7A" w:rsidRDefault="003F516D" w:rsidP="00C4334E">
      <w:pPr>
        <w:pStyle w:val="Para"/>
        <w:suppressAutoHyphens/>
        <w:ind w:left="2977" w:hanging="142"/>
        <w:rPr>
          <w:lang w:val="ru-RU"/>
        </w:rPr>
      </w:pPr>
      <w:r w:rsidRPr="00884E7A">
        <w:rPr>
          <w:lang w:val="ru-RU"/>
        </w:rPr>
        <w:t>i)</w:t>
      </w:r>
      <w:r w:rsidRPr="00884E7A">
        <w:rPr>
          <w:lang w:val="ru-RU"/>
        </w:rPr>
        <w:tab/>
      </w:r>
      <w:r w:rsidRPr="00884E7A">
        <w:rPr>
          <w:lang w:val="ru-RU"/>
        </w:rPr>
        <w:tab/>
        <w:t xml:space="preserve">максимальная видимая толщина: 0,030 мм; </w:t>
      </w:r>
    </w:p>
    <w:p w14:paraId="431E137D" w14:textId="77777777" w:rsidR="003F516D" w:rsidRPr="00884E7A" w:rsidRDefault="003F516D" w:rsidP="00C4334E">
      <w:pPr>
        <w:pStyle w:val="Para"/>
        <w:suppressAutoHyphens/>
        <w:ind w:left="2977" w:hanging="142"/>
        <w:rPr>
          <w:lang w:val="ru-RU"/>
        </w:rPr>
      </w:pPr>
      <w:r w:rsidRPr="00884E7A">
        <w:rPr>
          <w:lang w:val="ru-RU"/>
        </w:rPr>
        <w:t>ii)</w:t>
      </w:r>
      <w:r w:rsidRPr="00884E7A">
        <w:rPr>
          <w:lang w:val="ru-RU"/>
        </w:rPr>
        <w:tab/>
        <w:t xml:space="preserve">максимальная плотность расположения проводников: </w:t>
      </w:r>
    </w:p>
    <w:p w14:paraId="73DE8922" w14:textId="77777777" w:rsidR="003F516D" w:rsidRPr="00884E7A" w:rsidRDefault="003F516D" w:rsidP="00C4334E">
      <w:pPr>
        <w:pStyle w:val="Para"/>
        <w:suppressAutoHyphens/>
        <w:ind w:left="3969" w:hanging="567"/>
        <w:rPr>
          <w:lang w:val="ru-RU"/>
        </w:rPr>
      </w:pPr>
      <w:r w:rsidRPr="00884E7A">
        <w:rPr>
          <w:lang w:val="ru-RU"/>
        </w:rPr>
        <w:t>a.</w:t>
      </w:r>
      <w:r w:rsidRPr="00884E7A">
        <w:rPr>
          <w:lang w:val="ru-RU"/>
        </w:rPr>
        <w:tab/>
        <w:t xml:space="preserve">для вертикальных проводников: 8/см; </w:t>
      </w:r>
    </w:p>
    <w:p w14:paraId="3B3FDEAE" w14:textId="77777777" w:rsidR="003F516D" w:rsidRPr="00884E7A" w:rsidRDefault="003F516D" w:rsidP="00C4334E">
      <w:pPr>
        <w:pStyle w:val="Para"/>
        <w:suppressAutoHyphens/>
        <w:ind w:left="3969" w:hanging="567"/>
        <w:rPr>
          <w:lang w:val="ru-RU"/>
        </w:rPr>
      </w:pPr>
      <w:r w:rsidRPr="00884E7A">
        <w:rPr>
          <w:lang w:val="ru-RU"/>
        </w:rPr>
        <w:t>b.</w:t>
      </w:r>
      <w:r w:rsidRPr="00884E7A">
        <w:rPr>
          <w:lang w:val="ru-RU"/>
        </w:rPr>
        <w:tab/>
        <w:t>для горизонтальных проводников: 5/см».</w:t>
      </w:r>
    </w:p>
    <w:p w14:paraId="1C4E8078" w14:textId="77777777" w:rsidR="003F516D" w:rsidRPr="00884E7A" w:rsidRDefault="003F516D" w:rsidP="00C4334E">
      <w:pPr>
        <w:pStyle w:val="Para"/>
        <w:suppressAutoHyphens/>
        <w:spacing w:line="220" w:lineRule="exact"/>
        <w:rPr>
          <w:lang w:val="ru-RU"/>
        </w:rPr>
      </w:pPr>
      <w:r w:rsidRPr="00884E7A">
        <w:rPr>
          <w:i/>
          <w:iCs/>
          <w:lang w:val="ru-RU"/>
        </w:rPr>
        <w:t xml:space="preserve">Пункт 5.1.3.4 </w:t>
      </w:r>
      <w:r w:rsidRPr="00884E7A">
        <w:rPr>
          <w:lang w:val="ru-RU"/>
        </w:rPr>
        <w:t>изменить следующим образом:</w:t>
      </w:r>
    </w:p>
    <w:p w14:paraId="0AA34B79" w14:textId="105B038D" w:rsidR="003F516D" w:rsidRPr="00884E7A" w:rsidRDefault="003F516D" w:rsidP="00C4334E">
      <w:pPr>
        <w:pStyle w:val="SingleTxtG"/>
        <w:spacing w:line="220" w:lineRule="exact"/>
        <w:ind w:left="2268" w:hanging="1134"/>
      </w:pPr>
      <w:r w:rsidRPr="00884E7A">
        <w:t>«5.1.3.4</w:t>
      </w:r>
      <w:r w:rsidRPr="00884E7A">
        <w:tab/>
        <w:t>Помеха между плоскостью, проходящей через точку V2 и отклоняющейся от горизонтали по меньшей мере на 1° вниз, и плоскостью, проходящей через точку V2 и отклоняющейся от горизонтали на 4° вниз, допускается, если коническая проекция этой помехи, исходящая из точки V2, на зону “S”, как она определена в пункте</w:t>
      </w:r>
      <w:r w:rsidR="00C4334E">
        <w:rPr>
          <w:lang w:val="en-US"/>
        </w:rPr>
        <w:t> </w:t>
      </w:r>
      <w:r w:rsidRPr="00884E7A">
        <w:t>5.1.3.2.1 ниже, не превышает 20 % этой зоны».</w:t>
      </w:r>
    </w:p>
    <w:p w14:paraId="35930633" w14:textId="77777777" w:rsidR="003F516D" w:rsidRPr="00884E7A" w:rsidRDefault="003F516D" w:rsidP="00C4334E">
      <w:pPr>
        <w:pStyle w:val="SingleTxtG"/>
        <w:spacing w:line="220" w:lineRule="exact"/>
        <w:ind w:left="1287" w:hanging="153"/>
        <w:rPr>
          <w:bCs/>
        </w:rPr>
      </w:pPr>
      <w:r w:rsidRPr="00884E7A">
        <w:rPr>
          <w:i/>
          <w:iCs/>
        </w:rPr>
        <w:t xml:space="preserve">Включить новые пункты 5.1.3.5 и 5.1.3.6 </w:t>
      </w:r>
      <w:r w:rsidRPr="00884E7A">
        <w:t>следующего содержания:</w:t>
      </w:r>
    </w:p>
    <w:p w14:paraId="64619091" w14:textId="77777777" w:rsidR="003F516D" w:rsidRPr="00884E7A" w:rsidRDefault="003F516D" w:rsidP="00C4334E">
      <w:pPr>
        <w:pStyle w:val="Para"/>
        <w:suppressAutoHyphens/>
        <w:spacing w:line="220" w:lineRule="exact"/>
        <w:rPr>
          <w:lang w:val="ru-RU"/>
        </w:rPr>
      </w:pPr>
      <w:r w:rsidRPr="00884E7A">
        <w:rPr>
          <w:lang w:val="ru-RU"/>
        </w:rPr>
        <w:t>«5.1.3.5</w:t>
      </w:r>
      <w:r w:rsidRPr="00884E7A">
        <w:rPr>
          <w:lang w:val="ru-RU"/>
        </w:rPr>
        <w:tab/>
        <w:t>На прозрачное поле обзора, определенное в пункте 5.1.1, может накладываться информация виртуального ассистента по полю обзора. Положения пунктов 5.1.3.5.1‒5.1.3.5.5 и пункта 5.1.3.6 применяются к информации АПО, если она накладывается на прозрачное поле обзора и за пределами зоны “S”.</w:t>
      </w:r>
    </w:p>
    <w:p w14:paraId="0DF3F3CE" w14:textId="20519038" w:rsidR="003F516D" w:rsidRPr="00884E7A" w:rsidRDefault="003F516D" w:rsidP="00C4334E">
      <w:pPr>
        <w:pStyle w:val="Para"/>
        <w:suppressAutoHyphens/>
        <w:ind w:firstLine="0"/>
        <w:rPr>
          <w:lang w:val="ru-RU"/>
        </w:rPr>
      </w:pPr>
      <w:r w:rsidRPr="00884E7A">
        <w:rPr>
          <w:lang w:val="ru-RU"/>
        </w:rPr>
        <w:t>Информация, отображаемая АПО, может не касаться управления транспортным средством и, следовательно, отлича</w:t>
      </w:r>
      <w:r w:rsidRPr="00884E7A">
        <w:rPr>
          <w:rFonts w:eastAsiaTheme="minorEastAsia"/>
          <w:lang w:val="ru-RU" w:eastAsia="zh-CN" w:bidi="ar-TN"/>
        </w:rPr>
        <w:t xml:space="preserve">ться </w:t>
      </w:r>
      <w:r w:rsidRPr="00884E7A">
        <w:rPr>
          <w:lang w:val="ru-RU"/>
        </w:rPr>
        <w:t>от информации, указанной в пункте 5.1.3.5.1, и не подпадать под действие пунктов</w:t>
      </w:r>
      <w:r w:rsidR="00C4334E">
        <w:t> </w:t>
      </w:r>
      <w:r w:rsidRPr="00884E7A">
        <w:rPr>
          <w:lang w:val="ru-RU"/>
        </w:rPr>
        <w:t xml:space="preserve">5.1.3.5.1‒5.1.3.5.5, при условии что она подается до отключения парковочной передачи/стояночного тормоза в первый раз после включения центрального управления транспортным средством. </w:t>
      </w:r>
    </w:p>
    <w:p w14:paraId="62DCD33E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5.1.3.5.1</w:t>
      </w:r>
      <w:r w:rsidRPr="00884E7A">
        <w:rPr>
          <w:lang w:val="ru-RU"/>
        </w:rPr>
        <w:tab/>
        <w:t xml:space="preserve">При включенном зажигании или приведенном в действие переключателе управления транспортным средством (в зависимости от того, что применимо) информация АПО должна касаться только управления транспортным средством и ограничиваться: </w:t>
      </w:r>
    </w:p>
    <w:p w14:paraId="4CA0CE36" w14:textId="77777777" w:rsidR="003F516D" w:rsidRPr="00884E7A" w:rsidRDefault="003F516D" w:rsidP="00C4334E">
      <w:pPr>
        <w:pStyle w:val="Para"/>
        <w:suppressAutoHyphens/>
        <w:ind w:left="2790" w:hanging="540"/>
        <w:rPr>
          <w:lang w:val="ru-RU"/>
        </w:rPr>
      </w:pPr>
      <w:r w:rsidRPr="00884E7A">
        <w:rPr>
          <w:lang w:val="ru-RU"/>
        </w:rPr>
        <w:t>a)</w:t>
      </w:r>
      <w:r w:rsidRPr="00884E7A">
        <w:rPr>
          <w:lang w:val="ru-RU"/>
        </w:rPr>
        <w:tab/>
        <w:t>предупреждениями/указаниями, касающимися опасной ситуации на дороге;</w:t>
      </w:r>
    </w:p>
    <w:p w14:paraId="5013BB8B" w14:textId="77777777" w:rsidR="003F516D" w:rsidRPr="00884E7A" w:rsidRDefault="003F516D" w:rsidP="00C4334E">
      <w:pPr>
        <w:pStyle w:val="Para"/>
        <w:suppressAutoHyphens/>
        <w:ind w:left="2790" w:hanging="540"/>
        <w:rPr>
          <w:lang w:val="ru-RU"/>
        </w:rPr>
      </w:pPr>
      <w:r w:rsidRPr="00884E7A">
        <w:rPr>
          <w:lang w:val="ru-RU"/>
        </w:rPr>
        <w:t>b)</w:t>
      </w:r>
      <w:r w:rsidRPr="00884E7A">
        <w:rPr>
          <w:lang w:val="ru-RU"/>
        </w:rPr>
        <w:tab/>
        <w:t>предупреждениями/указаниями, касающимися присутствия уязвимых участников дорожного движения или других участников дорожного движения, которых можно не заметить;</w:t>
      </w:r>
    </w:p>
    <w:p w14:paraId="200E99BE" w14:textId="77777777" w:rsidR="003F516D" w:rsidRPr="00884E7A" w:rsidRDefault="003F516D" w:rsidP="00C4334E">
      <w:pPr>
        <w:pStyle w:val="Para"/>
        <w:suppressAutoHyphens/>
        <w:ind w:left="2790" w:hanging="540"/>
        <w:rPr>
          <w:lang w:val="ru-RU"/>
        </w:rPr>
      </w:pPr>
      <w:r w:rsidRPr="00884E7A">
        <w:rPr>
          <w:lang w:val="ru-RU"/>
        </w:rPr>
        <w:t>c)</w:t>
      </w:r>
      <w:r w:rsidRPr="00884E7A">
        <w:rPr>
          <w:lang w:val="ru-RU"/>
        </w:rPr>
        <w:tab/>
        <w:t xml:space="preserve">информацией, необходимой для сохранения дистанции до ближайших участников дорожного движения; </w:t>
      </w:r>
    </w:p>
    <w:p w14:paraId="6B2CC41F" w14:textId="77777777" w:rsidR="003F516D" w:rsidRPr="00884E7A" w:rsidRDefault="003F516D" w:rsidP="00C4334E">
      <w:pPr>
        <w:pStyle w:val="Para"/>
        <w:suppressAutoHyphens/>
        <w:ind w:left="2790" w:hanging="540"/>
        <w:rPr>
          <w:lang w:val="ru-RU"/>
        </w:rPr>
      </w:pPr>
      <w:r w:rsidRPr="00884E7A">
        <w:rPr>
          <w:lang w:val="ru-RU"/>
        </w:rPr>
        <w:t>d)</w:t>
      </w:r>
      <w:r w:rsidRPr="00884E7A">
        <w:rPr>
          <w:lang w:val="ru-RU"/>
        </w:rPr>
        <w:tab/>
        <w:t>информацией, помогающей определять правильную проезжую часть и придерживаться ее.</w:t>
      </w:r>
    </w:p>
    <w:p w14:paraId="2F6CB8A6" w14:textId="77777777" w:rsidR="003F516D" w:rsidRPr="00884E7A" w:rsidRDefault="003F516D" w:rsidP="00C4334E">
      <w:pPr>
        <w:pStyle w:val="Para"/>
        <w:suppressAutoHyphens/>
        <w:ind w:left="2250" w:firstLine="0"/>
        <w:rPr>
          <w:lang w:val="ru-RU"/>
        </w:rPr>
      </w:pPr>
      <w:r w:rsidRPr="00884E7A">
        <w:rPr>
          <w:lang w:val="ru-RU"/>
        </w:rPr>
        <w:t>Примеры перечисленных выше предупреждений/указаний/ информационных сообщений приведены в приложении 5.</w:t>
      </w:r>
    </w:p>
    <w:p w14:paraId="78F4749E" w14:textId="74167E99" w:rsidR="003F516D" w:rsidRPr="00884E7A" w:rsidRDefault="003F516D" w:rsidP="00C4334E">
      <w:pPr>
        <w:pStyle w:val="Para"/>
        <w:suppressAutoHyphens/>
        <w:ind w:firstLine="0"/>
        <w:rPr>
          <w:lang w:val="ru-RU"/>
        </w:rPr>
      </w:pPr>
      <w:r w:rsidRPr="00884E7A">
        <w:rPr>
          <w:lang w:val="ru-RU"/>
        </w:rPr>
        <w:t xml:space="preserve">Если АПО отображает информацию, полученную из внешних источников, не охватываемых официальным утверждением типа в отношении АПО (например, от внешнего портативного устройства ГНСС), то она должна отображаться с учетом заданного содержания </w:t>
      </w:r>
      <w:r w:rsidR="00C4334E">
        <w:rPr>
          <w:lang w:val="ru-RU"/>
        </w:rPr>
        <w:br/>
      </w:r>
      <w:r w:rsidRPr="00884E7A">
        <w:rPr>
          <w:lang w:val="ru-RU"/>
        </w:rPr>
        <w:t>(в частности, применительно к типу, времени, внешнему виду, размеру и цвету), указанного изготовителем в документации, касающейся официального утверждения типа. Изготовитель должен продемонстрировать технической службе выполнение положений настоящего пункта в ходе проверки подхода к обеспечению безопасности.</w:t>
      </w:r>
    </w:p>
    <w:p w14:paraId="552ADA11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 xml:space="preserve">5.1.3.5.2 </w:t>
      </w:r>
      <w:r w:rsidRPr="00884E7A">
        <w:rPr>
          <w:lang w:val="ru-RU"/>
        </w:rPr>
        <w:tab/>
        <w:t>Символы и графические данные, отображаемые АПО, должны исчезать после прекращения действия базового условия для их отображения.</w:t>
      </w:r>
    </w:p>
    <w:p w14:paraId="67FCA400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5.1.3.5.3</w:t>
      </w:r>
      <w:r w:rsidRPr="00884E7A">
        <w:rPr>
          <w:lang w:val="ru-RU"/>
        </w:rPr>
        <w:tab/>
        <w:t>АПО должен минимизировать маскировку объектов.</w:t>
      </w:r>
    </w:p>
    <w:p w14:paraId="622C8E6E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5.1.3.5.4</w:t>
      </w:r>
      <w:r w:rsidRPr="00884E7A">
        <w:rPr>
          <w:lang w:val="ru-RU"/>
        </w:rPr>
        <w:tab/>
        <w:t>Водитель должен иметь возможность регулировать силу света АПО.</w:t>
      </w:r>
    </w:p>
    <w:p w14:paraId="62610A85" w14:textId="77777777" w:rsidR="003F516D" w:rsidRPr="00884E7A" w:rsidRDefault="003F516D" w:rsidP="00C4334E">
      <w:pPr>
        <w:pStyle w:val="Para"/>
        <w:suppressAutoHyphens/>
        <w:rPr>
          <w:bCs/>
          <w:lang w:val="ru-RU"/>
        </w:rPr>
      </w:pPr>
      <w:r w:rsidRPr="00884E7A">
        <w:rPr>
          <w:lang w:val="ru-RU"/>
        </w:rPr>
        <w:t>5.1.3.5.5</w:t>
      </w:r>
      <w:r w:rsidRPr="00884E7A">
        <w:rPr>
          <w:lang w:val="ru-RU"/>
        </w:rPr>
        <w:tab/>
        <w:t>Водитель должен иметь возможность отключить систему АПО с помощью преднамеренного действия, по крайней мере одним из вариантов которого должна быть ручная регулировка с не более чем двумя последовательными шагами. Интуитивное действие (например, двойное нажатие, проведение пальцем (свайп) и нажатие) считается одним шагом.</w:t>
      </w:r>
    </w:p>
    <w:p w14:paraId="3FDD741F" w14:textId="77777777" w:rsidR="003F516D" w:rsidRPr="00884E7A" w:rsidRDefault="003F516D" w:rsidP="00C4334E">
      <w:pPr>
        <w:pStyle w:val="Para"/>
        <w:suppressAutoHyphens/>
        <w:rPr>
          <w:bCs/>
          <w:strike/>
          <w:lang w:val="ru-RU"/>
        </w:rPr>
      </w:pPr>
      <w:r w:rsidRPr="00884E7A">
        <w:rPr>
          <w:lang w:val="ru-RU"/>
        </w:rPr>
        <w:t>5.1.3.6</w:t>
      </w:r>
      <w:r w:rsidRPr="00884E7A">
        <w:rPr>
          <w:lang w:val="ru-RU"/>
        </w:rPr>
        <w:tab/>
        <w:t xml:space="preserve">АПО должен автоматически выключаться в случае обнаруживаемого электронным способом сбоя в его работе, влияющего на визуальную информацию, поскольку речь идет о выявленном факторе риска, принятом во внимание в рамках подхода к обеспечению безопасности». </w:t>
      </w:r>
    </w:p>
    <w:p w14:paraId="2DBCA101" w14:textId="77777777" w:rsidR="003F516D" w:rsidRPr="00884E7A" w:rsidRDefault="003F516D" w:rsidP="00C4334E">
      <w:pPr>
        <w:pStyle w:val="SingleTxtG"/>
        <w:ind w:left="1287" w:hanging="153"/>
        <w:rPr>
          <w:bCs/>
        </w:rPr>
      </w:pPr>
      <w:bookmarkStart w:id="0" w:name="_Hlk80622120"/>
      <w:r w:rsidRPr="00884E7A">
        <w:rPr>
          <w:i/>
          <w:iCs/>
        </w:rPr>
        <w:t xml:space="preserve">Включить новые пункты 6.2.1 и 6.2.2 </w:t>
      </w:r>
      <w:r w:rsidRPr="00884E7A">
        <w:t>в следующего содержания:</w:t>
      </w:r>
      <w:bookmarkEnd w:id="0"/>
    </w:p>
    <w:p w14:paraId="387971BD" w14:textId="77777777" w:rsidR="003F516D" w:rsidRPr="00884E7A" w:rsidRDefault="003F516D" w:rsidP="00C4334E">
      <w:pPr>
        <w:pStyle w:val="Para"/>
        <w:suppressAutoHyphens/>
        <w:rPr>
          <w:i/>
          <w:iCs/>
          <w:lang w:val="ru-RU"/>
        </w:rPr>
      </w:pPr>
      <w:r w:rsidRPr="00884E7A">
        <w:rPr>
          <w:lang w:val="ru-RU"/>
        </w:rPr>
        <w:t xml:space="preserve">«6.2.1 </w:t>
      </w:r>
      <w:r w:rsidRPr="00884E7A">
        <w:rPr>
          <w:lang w:val="ru-RU"/>
        </w:rPr>
        <w:tab/>
        <w:t xml:space="preserve">Рулевое колесо, если оно регулируется, должно быть установлено в нормальное положение, указанное изготовителем, или же в среднее положение между пределами диапазона(ов) регулировки. </w:t>
      </w:r>
    </w:p>
    <w:p w14:paraId="260D395A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 xml:space="preserve">6.2.2 </w:t>
      </w:r>
      <w:r w:rsidRPr="00884E7A">
        <w:rPr>
          <w:lang w:val="ru-RU"/>
        </w:rPr>
        <w:tab/>
        <w:t>В случае если положение АПО регулируется, он должен быть установлен в нормальное положение, указанное изготовителем, или же в среднее положение между пределами диапазона(ов) регулировки».</w:t>
      </w:r>
    </w:p>
    <w:p w14:paraId="645DF56E" w14:textId="77777777" w:rsidR="003F516D" w:rsidRPr="00884E7A" w:rsidRDefault="003F516D" w:rsidP="00C4334E">
      <w:pPr>
        <w:pStyle w:val="SingleTxtG"/>
        <w:rPr>
          <w:bCs/>
        </w:rPr>
      </w:pPr>
      <w:r w:rsidRPr="00884E7A">
        <w:rPr>
          <w:i/>
          <w:iCs/>
        </w:rPr>
        <w:t>Включить новые пункты 12.6–12.13</w:t>
      </w:r>
      <w:r w:rsidRPr="00884E7A">
        <w:t xml:space="preserve"> следующего содержания:</w:t>
      </w:r>
    </w:p>
    <w:p w14:paraId="039D5E99" w14:textId="0FA87E80" w:rsidR="003F516D" w:rsidRPr="00884E7A" w:rsidRDefault="00C4334E" w:rsidP="00C4334E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="003F516D" w:rsidRPr="00884E7A">
        <w:rPr>
          <w:lang w:val="ru-RU"/>
        </w:rPr>
        <w:t>12.6</w:t>
      </w:r>
      <w:r w:rsidR="003F516D" w:rsidRPr="00884E7A">
        <w:rPr>
          <w:lang w:val="ru-RU"/>
        </w:rPr>
        <w:tab/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02.</w:t>
      </w:r>
    </w:p>
    <w:p w14:paraId="4742BAB2" w14:textId="77777777" w:rsidR="003F516D" w:rsidRPr="00884E7A" w:rsidRDefault="003F516D" w:rsidP="00C4334E">
      <w:pPr>
        <w:pStyle w:val="Para"/>
        <w:suppressAutoHyphens/>
        <w:rPr>
          <w:rFonts w:eastAsia="MS Mincho"/>
          <w:lang w:val="ru-RU"/>
        </w:rPr>
      </w:pPr>
      <w:r w:rsidRPr="00884E7A">
        <w:rPr>
          <w:lang w:val="ru-RU"/>
        </w:rPr>
        <w:t>12.7</w:t>
      </w:r>
      <w:r w:rsidRPr="00884E7A">
        <w:rPr>
          <w:lang w:val="ru-RU"/>
        </w:rPr>
        <w:tab/>
      </w:r>
      <w:r w:rsidRPr="00884E7A">
        <w:rPr>
          <w:lang w:val="ru-RU"/>
        </w:rPr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выданные после 1 сентября 2023 года.</w:t>
      </w:r>
    </w:p>
    <w:p w14:paraId="66011175" w14:textId="77777777" w:rsidR="003F516D" w:rsidRPr="00884E7A" w:rsidRDefault="003F516D" w:rsidP="00C4334E">
      <w:pPr>
        <w:spacing w:after="120"/>
        <w:ind w:left="2268" w:right="1134" w:hanging="1134"/>
        <w:jc w:val="both"/>
        <w:rPr>
          <w:rFonts w:eastAsia="MS Mincho"/>
        </w:rPr>
      </w:pPr>
      <w:r w:rsidRPr="00884E7A">
        <w:t>12.8</w:t>
      </w:r>
      <w:r w:rsidRPr="00884E7A">
        <w:tab/>
        <w:t>До 1 сентября 2024 года Договаривающиеся стороны, применяющие настоящие Правила, признают официальные утверждения типа на основании поправок предыдущих серий, впервые выданные до 1 сентября 2023 года.</w:t>
      </w:r>
    </w:p>
    <w:p w14:paraId="5207AAB1" w14:textId="77777777" w:rsidR="003F516D" w:rsidRPr="00884E7A" w:rsidRDefault="003F516D" w:rsidP="00C4334E">
      <w:pPr>
        <w:spacing w:after="120"/>
        <w:ind w:left="2268" w:right="1134" w:hanging="1134"/>
        <w:jc w:val="both"/>
      </w:pPr>
      <w:r w:rsidRPr="00884E7A">
        <w:t>12.9</w:t>
      </w:r>
      <w:r w:rsidRPr="00884E7A"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0B2C2571" w14:textId="77777777" w:rsidR="003F516D" w:rsidRPr="00884E7A" w:rsidRDefault="003F516D" w:rsidP="00C4334E">
      <w:pPr>
        <w:spacing w:after="120"/>
        <w:ind w:left="2268" w:right="1134" w:hanging="1134"/>
        <w:jc w:val="both"/>
        <w:rPr>
          <w:rFonts w:eastAsia="MS PGothic"/>
          <w:iCs/>
        </w:rPr>
      </w:pPr>
      <w:r w:rsidRPr="00884E7A">
        <w:t>12.10</w:t>
      </w:r>
      <w:r w:rsidRPr="00884E7A">
        <w:tab/>
      </w:r>
      <w:r w:rsidRPr="00884E7A"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ООН.</w:t>
      </w:r>
    </w:p>
    <w:p w14:paraId="37A50B0F" w14:textId="77777777" w:rsidR="003F516D" w:rsidRPr="00884E7A" w:rsidRDefault="003F516D" w:rsidP="00C4334E">
      <w:pPr>
        <w:spacing w:after="120" w:line="240" w:lineRule="exact"/>
        <w:ind w:left="2268" w:right="1134" w:hanging="1134"/>
        <w:jc w:val="both"/>
        <w:rPr>
          <w:rFonts w:eastAsia="MS Mincho"/>
          <w:snapToGrid w:val="0"/>
        </w:rPr>
      </w:pPr>
      <w:r w:rsidRPr="00884E7A">
        <w:t>12.11</w:t>
      </w:r>
      <w:r w:rsidRPr="00884E7A">
        <w:tab/>
        <w:t>Независимо от положений пункта 12.4 Договаривающиеся стороны, применяющие настоящие Правила, продолжают признавать официальные утверждения типа, предоставленные на основании предыдущих серий поправок к настоящим Правилам, в отношении транспортных средств/систем транспортных средств, которые не затронуты изменениями, внесенными на основании поправок серии 02.</w:t>
      </w:r>
    </w:p>
    <w:p w14:paraId="51A62254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12.12.</w:t>
      </w:r>
      <w:r w:rsidRPr="00884E7A">
        <w:rPr>
          <w:lang w:val="ru-RU"/>
        </w:rP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6D7FCF39" w14:textId="77777777" w:rsidR="003F516D" w:rsidRPr="00884E7A" w:rsidRDefault="003F516D" w:rsidP="00C4334E">
      <w:pPr>
        <w:pStyle w:val="Para"/>
        <w:suppressAutoHyphens/>
        <w:rPr>
          <w:lang w:val="ru-RU"/>
        </w:rPr>
      </w:pPr>
      <w:r w:rsidRPr="00884E7A">
        <w:rPr>
          <w:lang w:val="ru-RU"/>
        </w:rPr>
        <w:t>12.13.</w:t>
      </w:r>
      <w:r w:rsidRPr="00884E7A">
        <w:rPr>
          <w:lang w:val="ru-RU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6855804A" w14:textId="77777777" w:rsidR="003F516D" w:rsidRPr="00884E7A" w:rsidRDefault="003F516D" w:rsidP="00C4334E">
      <w:pPr>
        <w:pStyle w:val="Para"/>
        <w:suppressAutoHyphens/>
        <w:spacing w:after="0"/>
        <w:rPr>
          <w:bCs/>
          <w:lang w:val="ru-RU"/>
        </w:rPr>
      </w:pPr>
      <w:r w:rsidRPr="00884E7A">
        <w:rPr>
          <w:i/>
          <w:iCs/>
          <w:lang w:val="ru-RU"/>
        </w:rPr>
        <w:t xml:space="preserve">Приложение 2 </w:t>
      </w:r>
      <w:r w:rsidRPr="00884E7A">
        <w:rPr>
          <w:lang w:val="ru-RU"/>
        </w:rPr>
        <w:t>изменить следующим образом:</w:t>
      </w:r>
    </w:p>
    <w:p w14:paraId="3327846E" w14:textId="77777777" w:rsidR="003F516D" w:rsidRPr="00884E7A" w:rsidRDefault="003F516D" w:rsidP="00C4334E">
      <w:pPr>
        <w:pStyle w:val="HChG"/>
      </w:pPr>
      <w:bookmarkStart w:id="1" w:name="_Toc108926532"/>
      <w:bookmarkStart w:id="2" w:name="_Toc108926533"/>
      <w:r w:rsidRPr="00884E7A">
        <w:rPr>
          <w:b w:val="0"/>
          <w:bCs/>
          <w:sz w:val="20"/>
        </w:rPr>
        <w:t>«</w:t>
      </w:r>
      <w:r w:rsidRPr="00884E7A">
        <w:t>Приложение 2</w:t>
      </w:r>
      <w:bookmarkEnd w:id="1"/>
    </w:p>
    <w:p w14:paraId="0E1038DF" w14:textId="77777777" w:rsidR="003F516D" w:rsidRPr="00884E7A" w:rsidRDefault="003F516D" w:rsidP="00C4334E">
      <w:pPr>
        <w:pStyle w:val="HChG"/>
      </w:pPr>
      <w:r w:rsidRPr="00884E7A">
        <w:tab/>
      </w:r>
      <w:r w:rsidRPr="00884E7A">
        <w:tab/>
      </w:r>
      <w:r w:rsidRPr="00884E7A">
        <w:rPr>
          <w:bCs/>
        </w:rPr>
        <w:t>Схемы знаков официального утверждения</w:t>
      </w:r>
      <w:bookmarkEnd w:id="2"/>
    </w:p>
    <w:p w14:paraId="1F626C60" w14:textId="77777777" w:rsidR="003F516D" w:rsidRPr="00884E7A" w:rsidRDefault="003F516D" w:rsidP="00C4334E">
      <w:pPr>
        <w:pStyle w:val="Para"/>
        <w:suppressAutoHyphens/>
        <w:spacing w:after="0"/>
        <w:rPr>
          <w:lang w:val="ru-RU"/>
        </w:rPr>
      </w:pPr>
      <w:r w:rsidRPr="00884E7A">
        <w:rPr>
          <w:lang w:val="ru-RU"/>
        </w:rPr>
        <w:t>(см. пункты 4.4–4.4.2 настоящих Правил)</w:t>
      </w:r>
      <w:r w:rsidRPr="00884E7A">
        <w:rPr>
          <w:vanish/>
          <w:sz w:val="16"/>
          <w:szCs w:val="16"/>
          <w:lang w:val="ru-RU"/>
        </w:rPr>
        <w:t>)</w:t>
      </w:r>
    </w:p>
    <w:p w14:paraId="2773E8AB" w14:textId="2A6014EF" w:rsidR="003F516D" w:rsidRPr="00884E7A" w:rsidRDefault="003F516D" w:rsidP="00C4334E">
      <w:pPr>
        <w:spacing w:line="240" w:lineRule="auto"/>
        <w:rPr>
          <w:sz w:val="24"/>
        </w:rPr>
      </w:pPr>
      <w:r w:rsidRPr="00884E7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EA54" wp14:editId="3C84500A">
                <wp:simplePos x="0" y="0"/>
                <wp:positionH relativeFrom="column">
                  <wp:posOffset>2656205</wp:posOffset>
                </wp:positionH>
                <wp:positionV relativeFrom="paragraph">
                  <wp:posOffset>603250</wp:posOffset>
                </wp:positionV>
                <wp:extent cx="106680" cy="190500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D971C" w14:textId="77777777" w:rsidR="003F516D" w:rsidRDefault="003F516D" w:rsidP="003F5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EA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9.15pt;margin-top:47.5pt;width:8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" filled="f" stroked="f">
                <v:textbox>
                  <w:txbxContent>
                    <w:p w14:paraId="701D971C" w14:textId="77777777" w:rsidR="003F516D" w:rsidRDefault="003F516D" w:rsidP="003F516D"/>
                  </w:txbxContent>
                </v:textbox>
              </v:shape>
            </w:pict>
          </mc:Fallback>
        </mc:AlternateContent>
      </w:r>
      <w:r w:rsidRPr="00884E7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59F6" wp14:editId="712B1366">
                <wp:simplePos x="0" y="0"/>
                <wp:positionH relativeFrom="column">
                  <wp:posOffset>2765004</wp:posOffset>
                </wp:positionH>
                <wp:positionV relativeFrom="paragraph">
                  <wp:posOffset>570715</wp:posOffset>
                </wp:positionV>
                <wp:extent cx="14859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180B" w14:textId="77777777" w:rsidR="003F516D" w:rsidRPr="00674745" w:rsidRDefault="003F516D" w:rsidP="003F51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4745">
                              <w:rPr>
                                <w:sz w:val="32"/>
                                <w:szCs w:val="32"/>
                              </w:rPr>
                              <w:t xml:space="preserve">125R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674745">
                              <w:rPr>
                                <w:sz w:val="32"/>
                                <w:szCs w:val="32"/>
                              </w:rPr>
                              <w:t xml:space="preserve"> 020185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59F6" id="Text Box 10" o:spid="_x0000_s1027" type="#_x0000_t202" style="position:absolute;margin-left:217.7pt;margin-top:44.9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" stroked="f">
                <v:textbox>
                  <w:txbxContent>
                    <w:p w14:paraId="02CE180B" w14:textId="77777777" w:rsidR="003F516D" w:rsidRPr="00674745" w:rsidRDefault="003F516D" w:rsidP="003F516D">
                      <w:pPr>
                        <w:rPr>
                          <w:sz w:val="32"/>
                          <w:szCs w:val="32"/>
                        </w:rPr>
                      </w:pPr>
                      <w:r w:rsidRPr="00674745">
                        <w:rPr>
                          <w:sz w:val="32"/>
                          <w:szCs w:val="32"/>
                        </w:rPr>
                        <w:t xml:space="preserve">125R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674745">
                        <w:rPr>
                          <w:sz w:val="32"/>
                          <w:szCs w:val="32"/>
                        </w:rPr>
                        <w:t xml:space="preserve"> 020185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object w:dxaOrig="1440" w:dyaOrig="1440" w14:anchorId="1CE5F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85pt;margin-top:19.3pt;width:314.95pt;height:66.95pt;z-index:25165824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94946384" r:id="rId9"/>
        </w:object>
      </w:r>
    </w:p>
    <w:p w14:paraId="24B1C2F0" w14:textId="77777777" w:rsidR="003F516D" w:rsidRPr="00884E7A" w:rsidRDefault="003F516D" w:rsidP="00C4334E">
      <w:pPr>
        <w:spacing w:line="240" w:lineRule="auto"/>
        <w:ind w:left="7200"/>
      </w:pPr>
      <w:r w:rsidRPr="00884E7A">
        <w:t>a = 8 мм мин.</w:t>
      </w:r>
    </w:p>
    <w:p w14:paraId="52902A5B" w14:textId="77777777" w:rsidR="003F516D" w:rsidRPr="00884E7A" w:rsidRDefault="003F516D" w:rsidP="00C4334E">
      <w:pPr>
        <w:pStyle w:val="SingleTxtG"/>
        <w:spacing w:before="120"/>
        <w:ind w:firstLine="567"/>
      </w:pPr>
      <w:r w:rsidRPr="00884E7A">
        <w:t>Приведенный выше знак официального утверждения, проставленный на транспортном средстве, указывает, что в отношении поля обзора водителя спереди данный тип транспортного средства был официально утвержден в Бельгии (E 6) на основании Правил № 125.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125 ООН с внесенными в них поправками серии 02».</w:t>
      </w:r>
    </w:p>
    <w:p w14:paraId="7FB5D599" w14:textId="77777777" w:rsidR="003F516D" w:rsidRPr="00884E7A" w:rsidRDefault="003F516D" w:rsidP="00C4334E">
      <w:pPr>
        <w:pStyle w:val="SingleTxtG"/>
        <w:spacing w:after="0"/>
      </w:pPr>
      <w:r w:rsidRPr="00884E7A">
        <w:rPr>
          <w:i/>
          <w:iCs/>
        </w:rPr>
        <w:t>Включить новое приложение 5</w:t>
      </w:r>
      <w:r w:rsidRPr="00884E7A">
        <w:t xml:space="preserve"> следующего содержания:</w:t>
      </w:r>
    </w:p>
    <w:p w14:paraId="7DD0480A" w14:textId="77777777" w:rsidR="003F516D" w:rsidRPr="00884E7A" w:rsidRDefault="003F516D" w:rsidP="00C4334E">
      <w:pPr>
        <w:pStyle w:val="HChG"/>
      </w:pPr>
      <w:r w:rsidRPr="00884E7A">
        <w:rPr>
          <w:b w:val="0"/>
          <w:sz w:val="20"/>
        </w:rPr>
        <w:t>«</w:t>
      </w:r>
      <w:r w:rsidRPr="00884E7A">
        <w:rPr>
          <w:bCs/>
        </w:rPr>
        <w:t>Приложение 5</w:t>
      </w:r>
    </w:p>
    <w:p w14:paraId="3A689268" w14:textId="77777777" w:rsidR="003F516D" w:rsidRPr="00884E7A" w:rsidRDefault="003F516D" w:rsidP="00C4334E">
      <w:pPr>
        <w:pStyle w:val="HChG"/>
      </w:pPr>
      <w:r w:rsidRPr="00884E7A">
        <w:tab/>
      </w:r>
      <w:r w:rsidRPr="00884E7A">
        <w:tab/>
      </w:r>
      <w:r w:rsidRPr="00884E7A">
        <w:rPr>
          <w:bCs/>
        </w:rPr>
        <w:t>Виртуальный ассистент по полю обзора</w:t>
      </w:r>
    </w:p>
    <w:p w14:paraId="58C5737A" w14:textId="77777777" w:rsidR="003F516D" w:rsidRPr="00884E7A" w:rsidRDefault="003F516D" w:rsidP="00C4334E">
      <w:pPr>
        <w:pStyle w:val="SingleTxtG"/>
      </w:pPr>
      <w:r w:rsidRPr="00884E7A">
        <w:t>Примеры предупреждений/указаний/информационных сообщений, указанных в пункте 5.3.5.1: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3F516D" w:rsidRPr="005561DF" w14:paraId="7CA82313" w14:textId="77777777" w:rsidTr="005561DF">
        <w:trPr>
          <w:tblHeader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29EBE50A" w14:textId="77777777" w:rsidR="003F516D" w:rsidRPr="005561DF" w:rsidRDefault="003F516D" w:rsidP="00C4334E">
            <w:pPr>
              <w:pStyle w:val="Para"/>
              <w:suppressAutoHyphens/>
              <w:ind w:left="57" w:right="275" w:firstLine="0"/>
              <w:jc w:val="left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BE82AE" w14:textId="77777777" w:rsidR="003F516D" w:rsidRPr="005561DF" w:rsidRDefault="003F516D" w:rsidP="00C4334E">
            <w:pPr>
              <w:pStyle w:val="Para"/>
              <w:tabs>
                <w:tab w:val="left" w:pos="1595"/>
              </w:tabs>
              <w:suppressAutoHyphens/>
              <w:spacing w:before="80" w:after="80"/>
              <w:ind w:left="57" w:right="0" w:firstLine="0"/>
              <w:jc w:val="left"/>
              <w:rPr>
                <w:i/>
                <w:iCs/>
                <w:sz w:val="16"/>
                <w:szCs w:val="16"/>
                <w:lang w:val="ru-RU"/>
              </w:rPr>
            </w:pPr>
            <w:r w:rsidRPr="005561DF">
              <w:rPr>
                <w:i/>
                <w:iCs/>
                <w:sz w:val="16"/>
                <w:szCs w:val="16"/>
                <w:lang w:val="ru-RU"/>
              </w:rPr>
              <w:t>Примеры</w:t>
            </w:r>
          </w:p>
        </w:tc>
      </w:tr>
      <w:tr w:rsidR="003F516D" w:rsidRPr="00884E7A" w14:paraId="290F77B3" w14:textId="77777777" w:rsidTr="005561DF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5956963F" w14:textId="77777777" w:rsidR="003F516D" w:rsidRPr="00884E7A" w:rsidRDefault="003F516D" w:rsidP="00C4334E">
            <w:pPr>
              <w:pStyle w:val="Para"/>
              <w:suppressAutoHyphens/>
              <w:ind w:left="57" w:right="275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Предупреждения/указания, касающиеся опасной ситуации на дороге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69CEE2F3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Ситуации с резким торможением</w:t>
            </w:r>
          </w:p>
          <w:p w14:paraId="40E56BFA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Встречный транспорт в ходе маневров поворота</w:t>
            </w:r>
          </w:p>
          <w:p w14:paraId="3C6C3EA5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Затор в движении на встречной полосе/ поломка транспортного средства на встречной полосе</w:t>
            </w:r>
          </w:p>
          <w:p w14:paraId="1FAC1E34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Транспортные средства, покидающие полосу движения или въезжающие на собственную полосу</w:t>
            </w:r>
          </w:p>
        </w:tc>
      </w:tr>
      <w:tr w:rsidR="003F516D" w:rsidRPr="00884E7A" w14:paraId="5AF8B147" w14:textId="77777777" w:rsidTr="009B0DCC">
        <w:tc>
          <w:tcPr>
            <w:tcW w:w="3686" w:type="dxa"/>
            <w:shd w:val="clear" w:color="auto" w:fill="auto"/>
          </w:tcPr>
          <w:p w14:paraId="516FDA74" w14:textId="77777777" w:rsidR="003F516D" w:rsidRPr="00884E7A" w:rsidRDefault="003F516D" w:rsidP="00C4334E">
            <w:pPr>
              <w:pStyle w:val="Para"/>
              <w:suppressAutoHyphens/>
              <w:ind w:left="57" w:right="272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Предупреждения/указания, касающиеся присутствия уязвимых участников дорожного движения или других участников дорожного движения, которых можно не заметить</w:t>
            </w:r>
          </w:p>
        </w:tc>
        <w:tc>
          <w:tcPr>
            <w:tcW w:w="3969" w:type="dxa"/>
            <w:shd w:val="clear" w:color="auto" w:fill="auto"/>
          </w:tcPr>
          <w:p w14:paraId="4B1C7878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Пешеходы</w:t>
            </w:r>
          </w:p>
          <w:p w14:paraId="1E4675C1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Велосипедисты</w:t>
            </w:r>
          </w:p>
          <w:p w14:paraId="10201EA5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Участники дорожного движения, пересекающие дорогу</w:t>
            </w:r>
          </w:p>
          <w:p w14:paraId="3B4455E4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 xml:space="preserve">Участники дорожного движения в мертвой зоне или участники дорожного движения, </w:t>
            </w:r>
            <w:r w:rsidRPr="00884E7A">
              <w:rPr>
                <w:rFonts w:eastAsiaTheme="minorEastAsia"/>
                <w:lang w:val="ru-RU" w:eastAsia="zh-CN" w:bidi="ar-TN"/>
              </w:rPr>
              <w:t>заслоненные</w:t>
            </w:r>
            <w:r w:rsidRPr="00884E7A">
              <w:rPr>
                <w:lang w:val="ru-RU"/>
              </w:rPr>
              <w:t xml:space="preserve"> другими объектами</w:t>
            </w:r>
          </w:p>
          <w:p w14:paraId="479FDD46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Животные</w:t>
            </w:r>
          </w:p>
        </w:tc>
      </w:tr>
      <w:tr w:rsidR="003F516D" w:rsidRPr="00884E7A" w14:paraId="7189E2CA" w14:textId="77777777" w:rsidTr="00E13058">
        <w:trPr>
          <w:trHeight w:val="195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B5CB62" w14:textId="77777777" w:rsidR="003F516D" w:rsidRPr="00884E7A" w:rsidRDefault="003F516D" w:rsidP="00C4334E">
            <w:pPr>
              <w:pStyle w:val="Para"/>
              <w:suppressAutoHyphens/>
              <w:ind w:left="57" w:right="275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Информация, необходимая для сохранения дистанции до окружающих участников дорожного движения и инфраструктуры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648393C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Расстояние до идущего впереди транспортного средства</w:t>
            </w:r>
          </w:p>
          <w:p w14:paraId="1BC862FA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Вспомогательная функция, помогающая придерживаться своей полосы движения, изменять полосу движения, учитывать изменения ограничений скорости движения</w:t>
            </w:r>
          </w:p>
        </w:tc>
      </w:tr>
      <w:tr w:rsidR="003F516D" w:rsidRPr="00884E7A" w14:paraId="0744F5D2" w14:textId="77777777" w:rsidTr="00E13058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51CE54A5" w14:textId="77777777" w:rsidR="003F516D" w:rsidRPr="00884E7A" w:rsidRDefault="003F516D" w:rsidP="00C4334E">
            <w:pPr>
              <w:pStyle w:val="Para"/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Информация, помогающая определять правильную проезжую часть и придерживаться ее, а также соблюдать указания в отношении движения по дороге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7392221E" w14:textId="77777777" w:rsidR="003F516D" w:rsidRPr="0086567C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6567C">
              <w:rPr>
                <w:lang w:val="ru-RU"/>
              </w:rPr>
              <w:t xml:space="preserve">Навигационная информация, </w:t>
            </w:r>
            <w:r>
              <w:rPr>
                <w:lang w:val="ru-RU"/>
              </w:rPr>
              <w:t>символы</w:t>
            </w:r>
            <w:r w:rsidRPr="0086567C">
              <w:rPr>
                <w:lang w:val="ru-RU"/>
              </w:rPr>
              <w:t xml:space="preserve"> и стрелки при автоматической смене полосы движения (направления, оставшееся расстояние до цели, пересечение границ)</w:t>
            </w:r>
          </w:p>
          <w:p w14:paraId="4833D37B" w14:textId="77777777" w:rsidR="003F516D" w:rsidRPr="00884E7A" w:rsidRDefault="003F516D" w:rsidP="00C4334E">
            <w:pPr>
              <w:pStyle w:val="Para"/>
              <w:tabs>
                <w:tab w:val="left" w:pos="1595"/>
              </w:tabs>
              <w:suppressAutoHyphens/>
              <w:ind w:left="57" w:right="0" w:firstLine="0"/>
              <w:jc w:val="left"/>
              <w:rPr>
                <w:lang w:val="ru-RU"/>
              </w:rPr>
            </w:pPr>
            <w:r w:rsidRPr="00884E7A">
              <w:rPr>
                <w:lang w:val="ru-RU"/>
              </w:rPr>
              <w:t>Указание стоп-линий и пешеходных переходов</w:t>
            </w:r>
          </w:p>
        </w:tc>
      </w:tr>
    </w:tbl>
    <w:p w14:paraId="71DF49E6" w14:textId="3826F63C" w:rsidR="003F516D" w:rsidRPr="003F516D" w:rsidRDefault="003F516D" w:rsidP="00C4334E">
      <w:pPr>
        <w:pStyle w:val="Para"/>
        <w:suppressAutoHyphens/>
        <w:spacing w:before="240" w:after="0"/>
        <w:ind w:right="847" w:firstLine="0"/>
        <w:jc w:val="right"/>
        <w:rPr>
          <w:rFonts w:asciiTheme="majorBidi" w:hAnsiTheme="majorBidi" w:cstheme="majorBidi"/>
          <w:u w:val="single"/>
        </w:rPr>
      </w:pPr>
      <w:r w:rsidRPr="00884E7A">
        <w:rPr>
          <w:rFonts w:asciiTheme="majorBidi" w:hAnsiTheme="majorBidi" w:cstheme="majorBidi"/>
          <w:lang w:val="ru-RU"/>
        </w:rPr>
        <w:t>»</w:t>
      </w:r>
      <w:r>
        <w:rPr>
          <w:rFonts w:asciiTheme="majorBidi" w:hAnsiTheme="majorBidi" w:cstheme="majorBidi"/>
        </w:rPr>
        <w:t>.</w:t>
      </w:r>
    </w:p>
    <w:p w14:paraId="13A277BB" w14:textId="7DF5D1C9" w:rsidR="00E12C5F" w:rsidRPr="003F516D" w:rsidRDefault="003F516D" w:rsidP="00C433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F516D" w:rsidSect="003F51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EB56" w14:textId="77777777" w:rsidR="001977A0" w:rsidRPr="00A312BC" w:rsidRDefault="001977A0" w:rsidP="00A312BC"/>
  </w:endnote>
  <w:endnote w:type="continuationSeparator" w:id="0">
    <w:p w14:paraId="7CC1DDCF" w14:textId="77777777" w:rsidR="001977A0" w:rsidRPr="00A312BC" w:rsidRDefault="001977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C070" w14:textId="75866196" w:rsidR="003F516D" w:rsidRPr="003F516D" w:rsidRDefault="003F516D">
    <w:pPr>
      <w:pStyle w:val="a8"/>
    </w:pPr>
    <w:r w:rsidRPr="003F516D">
      <w:rPr>
        <w:b/>
        <w:sz w:val="18"/>
      </w:rPr>
      <w:fldChar w:fldCharType="begin"/>
    </w:r>
    <w:r w:rsidRPr="003F516D">
      <w:rPr>
        <w:b/>
        <w:sz w:val="18"/>
      </w:rPr>
      <w:instrText xml:space="preserve"> PAGE  \* MERGEFORMAT </w:instrText>
    </w:r>
    <w:r w:rsidRPr="003F516D">
      <w:rPr>
        <w:b/>
        <w:sz w:val="18"/>
      </w:rPr>
      <w:fldChar w:fldCharType="separate"/>
    </w:r>
    <w:r w:rsidRPr="003F516D">
      <w:rPr>
        <w:b/>
        <w:noProof/>
        <w:sz w:val="18"/>
      </w:rPr>
      <w:t>2</w:t>
    </w:r>
    <w:r w:rsidRPr="003F516D">
      <w:rPr>
        <w:b/>
        <w:sz w:val="18"/>
      </w:rPr>
      <w:fldChar w:fldCharType="end"/>
    </w:r>
    <w:r>
      <w:rPr>
        <w:b/>
        <w:sz w:val="18"/>
      </w:rPr>
      <w:tab/>
    </w:r>
    <w:r>
      <w:t>GE.21-12191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8D4E" w14:textId="5A16A6F5" w:rsidR="003F516D" w:rsidRPr="003F516D" w:rsidRDefault="003F516D" w:rsidP="003F516D">
    <w:pPr>
      <w:pStyle w:val="a8"/>
      <w:tabs>
        <w:tab w:val="clear" w:pos="9639"/>
        <w:tab w:val="right" w:pos="9638"/>
      </w:tabs>
      <w:rPr>
        <w:b/>
        <w:sz w:val="18"/>
      </w:rPr>
    </w:pPr>
    <w:r>
      <w:t>GE.21-12191</w:t>
    </w:r>
    <w:r>
      <w:tab/>
    </w:r>
    <w:r w:rsidRPr="003F516D">
      <w:rPr>
        <w:b/>
        <w:sz w:val="18"/>
      </w:rPr>
      <w:fldChar w:fldCharType="begin"/>
    </w:r>
    <w:r w:rsidRPr="003F516D">
      <w:rPr>
        <w:b/>
        <w:sz w:val="18"/>
      </w:rPr>
      <w:instrText xml:space="preserve"> PAGE  \* MERGEFORMAT </w:instrText>
    </w:r>
    <w:r w:rsidRPr="003F516D">
      <w:rPr>
        <w:b/>
        <w:sz w:val="18"/>
      </w:rPr>
      <w:fldChar w:fldCharType="separate"/>
    </w:r>
    <w:r w:rsidRPr="003F516D">
      <w:rPr>
        <w:b/>
        <w:noProof/>
        <w:sz w:val="18"/>
      </w:rPr>
      <w:t>3</w:t>
    </w:r>
    <w:r w:rsidRPr="003F51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F671" w14:textId="4764E366" w:rsidR="00042B72" w:rsidRPr="00E33018" w:rsidRDefault="003F516D" w:rsidP="003F516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C0B660" wp14:editId="762150AC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21-12191  (R)</w:t>
    </w:r>
    <w:r w:rsidR="00E33018">
      <w:rPr>
        <w:lang w:val="en-US"/>
      </w:rPr>
      <w:t xml:space="preserve">  280921  051021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7C17" w14:textId="77777777" w:rsidR="001977A0" w:rsidRPr="001075E9" w:rsidRDefault="001977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F7CCAE" w14:textId="77777777" w:rsidR="001977A0" w:rsidRDefault="001977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941283" w14:textId="77777777" w:rsidR="003F516D" w:rsidRPr="00DC2C16" w:rsidRDefault="003F516D" w:rsidP="003F516D">
      <w:pPr>
        <w:pStyle w:val="ad"/>
      </w:pPr>
      <w:r>
        <w:tab/>
      </w:r>
      <w:r w:rsidRPr="005561D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88A" w14:textId="1619A4CA" w:rsidR="003F516D" w:rsidRPr="003F516D" w:rsidRDefault="003F516D">
    <w:pPr>
      <w:pStyle w:val="a5"/>
    </w:pPr>
    <w:fldSimple w:instr=" TITLE  \* MERGEFORMAT ">
      <w:r>
        <w:t>ECE/TRANS/WP.29/2021/100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426E" w14:textId="78581B6B" w:rsidR="003F516D" w:rsidRPr="003F516D" w:rsidRDefault="003F516D" w:rsidP="003F516D">
    <w:pPr>
      <w:pStyle w:val="a5"/>
      <w:jc w:val="right"/>
    </w:pPr>
    <w:fldSimple w:instr=" TITLE  \* MERGEFORMAT ">
      <w:r>
        <w:t>ECE/TRANS/WP.29/2021/100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7A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16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1D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0516"/>
    <w:rsid w:val="00BC18B2"/>
    <w:rsid w:val="00BD33EE"/>
    <w:rsid w:val="00BE1CC7"/>
    <w:rsid w:val="00C106D6"/>
    <w:rsid w:val="00C119AE"/>
    <w:rsid w:val="00C32F4A"/>
    <w:rsid w:val="00C4334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058"/>
    <w:rsid w:val="00E33018"/>
    <w:rsid w:val="00E719F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B7435"/>
  <w15:docId w15:val="{C0DB64AE-20A2-43D7-AACC-0BACA76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F516D"/>
    <w:rPr>
      <w:lang w:val="ru-RU" w:eastAsia="en-US"/>
    </w:rPr>
  </w:style>
  <w:style w:type="character" w:customStyle="1" w:styleId="HChGChar">
    <w:name w:val="_ H _Ch_G Char"/>
    <w:link w:val="HChG"/>
    <w:locked/>
    <w:rsid w:val="003F516D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3F516D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5</Pages>
  <Words>1392</Words>
  <Characters>9873</Characters>
  <Application>Microsoft Office Word</Application>
  <DocSecurity>0</DocSecurity>
  <Lines>897</Lines>
  <Paragraphs>375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ECE/TRANS/WP.29/2021/100</vt:lpstr>
      <vt:lpstr>A/</vt:lpstr>
      <vt:lpstr>A/</vt:lpstr>
    </vt:vector>
  </TitlesOfParts>
  <Company>DCM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ECE/TRANS/WP.29/2021/100</dc:title>
  <dc:creator>No author</dc:creator>
  <cp:lastModifiedBy>No author</cp:lastModifiedBy>
  <cp:revision>2</cp:revision>
  <cp:lastPrinted>2008-01-15T07:58:00Z</cp:lastPrinted>
  <dcterms:created xsi:type="dcterms:W3CDTF">2021-10-05T11:40:00Z</dcterms:created>
  <dcterms:modified xsi:type="dcterms:W3CDTF">2021-10-05T11:40:00Z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