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80D0F52" w14:textId="77777777" w:rsidTr="00C97039">
        <w:trPr>
          <w:trHeight w:hRule="exact" w:val="851"/>
        </w:trPr>
        <w:tc>
          <w:tcPr>
            <w:tcW w:w="1276" w:type="dxa"/>
            <w:tcBorders>
              <w:bottom w:val="single" w:sz="4" w:space="0" w:color="auto"/>
            </w:tcBorders>
          </w:tcPr>
          <w:p w14:paraId="2A783FC9" w14:textId="77777777" w:rsidR="00F35BAF" w:rsidRPr="00DB58B5" w:rsidRDefault="00F35BAF" w:rsidP="00AC7ACA"/>
        </w:tc>
        <w:tc>
          <w:tcPr>
            <w:tcW w:w="2268" w:type="dxa"/>
            <w:tcBorders>
              <w:bottom w:val="single" w:sz="4" w:space="0" w:color="auto"/>
            </w:tcBorders>
            <w:vAlign w:val="bottom"/>
          </w:tcPr>
          <w:p w14:paraId="6233D48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96CA544" w14:textId="0C14B844" w:rsidR="00F35BAF" w:rsidRPr="00DB58B5" w:rsidRDefault="00AC7ACA" w:rsidP="00AC7ACA">
            <w:pPr>
              <w:jc w:val="right"/>
            </w:pPr>
            <w:r w:rsidRPr="00AC7ACA">
              <w:rPr>
                <w:sz w:val="40"/>
              </w:rPr>
              <w:t>ECE</w:t>
            </w:r>
            <w:r>
              <w:t>/TRANS/WP.29/2021/100</w:t>
            </w:r>
          </w:p>
        </w:tc>
      </w:tr>
      <w:tr w:rsidR="00F35BAF" w:rsidRPr="00DB58B5" w14:paraId="542D01CC" w14:textId="77777777" w:rsidTr="00C97039">
        <w:trPr>
          <w:trHeight w:hRule="exact" w:val="2835"/>
        </w:trPr>
        <w:tc>
          <w:tcPr>
            <w:tcW w:w="1276" w:type="dxa"/>
            <w:tcBorders>
              <w:top w:val="single" w:sz="4" w:space="0" w:color="auto"/>
              <w:bottom w:val="single" w:sz="12" w:space="0" w:color="auto"/>
            </w:tcBorders>
          </w:tcPr>
          <w:p w14:paraId="0811B31B" w14:textId="77777777" w:rsidR="00F35BAF" w:rsidRPr="00DB58B5" w:rsidRDefault="00F35BAF" w:rsidP="00C97039">
            <w:pPr>
              <w:spacing w:before="120"/>
              <w:jc w:val="center"/>
            </w:pPr>
            <w:r>
              <w:rPr>
                <w:noProof/>
                <w:lang w:eastAsia="fr-CH"/>
              </w:rPr>
              <w:drawing>
                <wp:inline distT="0" distB="0" distL="0" distR="0" wp14:anchorId="75A1E677" wp14:editId="5F1352B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10BF0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BAF1A24" w14:textId="77777777" w:rsidR="00F35BAF" w:rsidRDefault="00AC7ACA" w:rsidP="00C97039">
            <w:pPr>
              <w:spacing w:before="240"/>
            </w:pPr>
            <w:r>
              <w:t>Distr. générale</w:t>
            </w:r>
          </w:p>
          <w:p w14:paraId="54E3162D" w14:textId="77777777" w:rsidR="00AC7ACA" w:rsidRDefault="00AC7ACA" w:rsidP="00AC7ACA">
            <w:pPr>
              <w:spacing w:line="240" w:lineRule="exact"/>
            </w:pPr>
            <w:r>
              <w:t>2 septembre 2021</w:t>
            </w:r>
          </w:p>
          <w:p w14:paraId="3D1B047F" w14:textId="77777777" w:rsidR="00AC7ACA" w:rsidRDefault="00AC7ACA" w:rsidP="00AC7ACA">
            <w:pPr>
              <w:spacing w:line="240" w:lineRule="exact"/>
            </w:pPr>
            <w:r>
              <w:t>Français</w:t>
            </w:r>
          </w:p>
          <w:p w14:paraId="5F7CDCBC" w14:textId="1B53F29B" w:rsidR="00AC7ACA" w:rsidRPr="00DB58B5" w:rsidRDefault="00AC7ACA" w:rsidP="00AC7ACA">
            <w:pPr>
              <w:spacing w:line="240" w:lineRule="exact"/>
            </w:pPr>
            <w:r>
              <w:t>Original : anglais</w:t>
            </w:r>
          </w:p>
        </w:tc>
      </w:tr>
    </w:tbl>
    <w:p w14:paraId="5DAABF5B" w14:textId="3F0BD1D2" w:rsidR="007F20FA" w:rsidRPr="000312C0" w:rsidRDefault="007F20FA" w:rsidP="007F20FA">
      <w:pPr>
        <w:spacing w:before="120"/>
        <w:rPr>
          <w:b/>
          <w:sz w:val="28"/>
          <w:szCs w:val="28"/>
        </w:rPr>
      </w:pPr>
      <w:r w:rsidRPr="000312C0">
        <w:rPr>
          <w:b/>
          <w:sz w:val="28"/>
          <w:szCs w:val="28"/>
        </w:rPr>
        <w:t>Commission économique pour l</w:t>
      </w:r>
      <w:r w:rsidR="00AC7ACA">
        <w:rPr>
          <w:b/>
          <w:sz w:val="28"/>
          <w:szCs w:val="28"/>
        </w:rPr>
        <w:t>’</w:t>
      </w:r>
      <w:r w:rsidRPr="000312C0">
        <w:rPr>
          <w:b/>
          <w:sz w:val="28"/>
          <w:szCs w:val="28"/>
        </w:rPr>
        <w:t>Europe</w:t>
      </w:r>
    </w:p>
    <w:p w14:paraId="7A7BF480" w14:textId="77777777" w:rsidR="007F20FA" w:rsidRDefault="007F20FA" w:rsidP="007F20FA">
      <w:pPr>
        <w:spacing w:before="120"/>
        <w:rPr>
          <w:sz w:val="28"/>
          <w:szCs w:val="28"/>
        </w:rPr>
      </w:pPr>
      <w:r w:rsidRPr="00685843">
        <w:rPr>
          <w:sz w:val="28"/>
          <w:szCs w:val="28"/>
        </w:rPr>
        <w:t>Comité des transports intérieurs</w:t>
      </w:r>
    </w:p>
    <w:p w14:paraId="12994E1C" w14:textId="360B70C0" w:rsidR="00AC7ACA" w:rsidRDefault="00AC7ACA"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713BFCE" w14:textId="77777777" w:rsidR="00AC7ACA" w:rsidRDefault="00AC7ACA" w:rsidP="00AC7ACA">
      <w:pPr>
        <w:spacing w:before="120" w:line="240" w:lineRule="exact"/>
        <w:rPr>
          <w:b/>
        </w:rPr>
      </w:pPr>
      <w:r>
        <w:rPr>
          <w:b/>
        </w:rPr>
        <w:t>185</w:t>
      </w:r>
      <w:r w:rsidRPr="009029A6">
        <w:rPr>
          <w:b/>
          <w:vertAlign w:val="superscript"/>
        </w:rPr>
        <w:t>e</w:t>
      </w:r>
      <w:r>
        <w:rPr>
          <w:b/>
        </w:rPr>
        <w:t> session</w:t>
      </w:r>
    </w:p>
    <w:p w14:paraId="0BB21BE7" w14:textId="77777777" w:rsidR="00AC7ACA" w:rsidRDefault="00AC7ACA" w:rsidP="00AC7ACA">
      <w:pPr>
        <w:spacing w:line="240" w:lineRule="exact"/>
      </w:pPr>
      <w:r>
        <w:t xml:space="preserve">Genève, </w:t>
      </w:r>
      <w:r>
        <w:rPr>
          <w:lang w:val="fr-FR"/>
        </w:rPr>
        <w:t>23-25 novembre</w:t>
      </w:r>
      <w:r w:rsidRPr="009029A6">
        <w:rPr>
          <w:lang w:val="fr-FR"/>
        </w:rPr>
        <w:t> 2021</w:t>
      </w:r>
    </w:p>
    <w:p w14:paraId="4AE52D22" w14:textId="13E3CF6F" w:rsidR="00AC7ACA" w:rsidRDefault="00AC7ACA" w:rsidP="00AC7ACA">
      <w:pPr>
        <w:spacing w:line="240" w:lineRule="exact"/>
      </w:pPr>
      <w:r>
        <w:t>Point 4.7.4 de l</w:t>
      </w:r>
      <w:r>
        <w:t>’</w:t>
      </w:r>
      <w:r>
        <w:t>ordre du jour provisoire</w:t>
      </w:r>
    </w:p>
    <w:p w14:paraId="55013E60" w14:textId="0CF6FF99" w:rsidR="00AC7ACA" w:rsidRPr="007C792E" w:rsidRDefault="00AC7ACA" w:rsidP="00AC7ACA">
      <w:pPr>
        <w:rPr>
          <w:lang w:val="fr-FR"/>
        </w:rPr>
      </w:pPr>
      <w:r>
        <w:rPr>
          <w:b/>
          <w:bCs/>
          <w:lang w:val="fr-FR"/>
        </w:rPr>
        <w:t>Accord de 1958</w:t>
      </w:r>
      <w:r w:rsidRPr="007804A3">
        <w:rPr>
          <w:b/>
          <w:bCs/>
          <w:lang w:val="fr-FR"/>
        </w:rPr>
        <w:t> </w:t>
      </w:r>
      <w:r w:rsidRPr="00570417">
        <w:rPr>
          <w:b/>
          <w:bCs/>
          <w:lang w:val="fr-FR"/>
        </w:rPr>
        <w:t>:</w:t>
      </w:r>
      <w:r w:rsidRPr="00D61DA5">
        <w:rPr>
          <w:b/>
          <w:bCs/>
          <w:lang w:val="fr-FR"/>
        </w:rPr>
        <w:br/>
      </w:r>
      <w:r w:rsidRPr="008D7D03">
        <w:rPr>
          <w:b/>
          <w:bCs/>
          <w:lang w:val="fr-FR"/>
        </w:rPr>
        <w:t>Examen de projets d</w:t>
      </w:r>
      <w:r>
        <w:rPr>
          <w:b/>
          <w:bCs/>
          <w:lang w:val="fr-FR"/>
        </w:rPr>
        <w:t>’</w:t>
      </w:r>
      <w:r w:rsidRPr="008D7D03">
        <w:rPr>
          <w:b/>
          <w:bCs/>
          <w:lang w:val="fr-FR"/>
        </w:rPr>
        <w:t xml:space="preserve">amendements </w:t>
      </w:r>
      <w:r>
        <w:rPr>
          <w:b/>
          <w:bCs/>
          <w:lang w:val="fr-FR"/>
        </w:rPr>
        <w:br/>
      </w:r>
      <w:r w:rsidRPr="008D7D03">
        <w:rPr>
          <w:b/>
          <w:bCs/>
          <w:lang w:val="fr-FR"/>
        </w:rPr>
        <w:t xml:space="preserve">à des Règlements ONU existants, </w:t>
      </w:r>
      <w:r>
        <w:rPr>
          <w:b/>
          <w:bCs/>
          <w:lang w:val="fr-FR"/>
        </w:rPr>
        <w:br/>
      </w:r>
      <w:r w:rsidRPr="008D7D03">
        <w:rPr>
          <w:b/>
          <w:bCs/>
          <w:lang w:val="fr-FR"/>
        </w:rPr>
        <w:t>soumis par le GRSG</w:t>
      </w:r>
    </w:p>
    <w:p w14:paraId="2BC2DE97" w14:textId="0B037A85" w:rsidR="00AC7ACA" w:rsidRPr="007C792E" w:rsidRDefault="00AC7ACA" w:rsidP="00AC7ACA">
      <w:pPr>
        <w:pStyle w:val="HChG"/>
        <w:rPr>
          <w:lang w:val="fr-FR"/>
        </w:rPr>
      </w:pPr>
      <w:r>
        <w:rPr>
          <w:lang w:val="fr-FR"/>
        </w:rPr>
        <w:tab/>
      </w:r>
      <w:r>
        <w:rPr>
          <w:lang w:val="fr-FR"/>
        </w:rPr>
        <w:tab/>
      </w:r>
      <w:r>
        <w:rPr>
          <w:lang w:val="fr-FR"/>
        </w:rPr>
        <w:tab/>
        <w:t>Proposition de série 02 d</w:t>
      </w:r>
      <w:r>
        <w:rPr>
          <w:lang w:val="fr-FR"/>
        </w:rPr>
        <w:t>’</w:t>
      </w:r>
      <w:r>
        <w:rPr>
          <w:lang w:val="fr-FR"/>
        </w:rPr>
        <w:t>amendements au Règlement ONU n</w:t>
      </w:r>
      <w:r>
        <w:rPr>
          <w:vertAlign w:val="superscript"/>
          <w:lang w:val="fr-FR"/>
        </w:rPr>
        <w:t>o</w:t>
      </w:r>
      <w:r>
        <w:rPr>
          <w:lang w:val="fr-FR"/>
        </w:rPr>
        <w:t> 125 (</w:t>
      </w:r>
      <w:r w:rsidRPr="00862ACF">
        <w:rPr>
          <w:lang w:val="fr-FR"/>
        </w:rPr>
        <w:t xml:space="preserve">Champ de vision du conducteur des véhicules </w:t>
      </w:r>
      <w:r>
        <w:rPr>
          <w:lang w:val="fr-FR"/>
        </w:rPr>
        <w:br/>
      </w:r>
      <w:r w:rsidRPr="00862ACF">
        <w:rPr>
          <w:lang w:val="fr-FR"/>
        </w:rPr>
        <w:t>à moteur vers l</w:t>
      </w:r>
      <w:r>
        <w:rPr>
          <w:lang w:val="fr-FR"/>
        </w:rPr>
        <w:t>’</w:t>
      </w:r>
      <w:r w:rsidRPr="00862ACF">
        <w:rPr>
          <w:lang w:val="fr-FR"/>
        </w:rPr>
        <w:t>avant</w:t>
      </w:r>
      <w:r>
        <w:rPr>
          <w:lang w:val="fr-FR"/>
        </w:rPr>
        <w:t>)</w:t>
      </w:r>
    </w:p>
    <w:p w14:paraId="6DE2080A" w14:textId="050AE435" w:rsidR="00AC7ACA" w:rsidRPr="007C792E" w:rsidRDefault="00AC7ACA" w:rsidP="00AC7ACA">
      <w:pPr>
        <w:pStyle w:val="H1G"/>
        <w:rPr>
          <w:lang w:val="fr-FR"/>
        </w:rPr>
      </w:pPr>
      <w:r>
        <w:rPr>
          <w:lang w:val="fr-FR"/>
        </w:rPr>
        <w:tab/>
      </w:r>
      <w:r>
        <w:rPr>
          <w:lang w:val="fr-FR"/>
        </w:rPr>
        <w:tab/>
        <w:t xml:space="preserve">Communication du </w:t>
      </w:r>
      <w:r w:rsidRPr="00862ACF">
        <w:rPr>
          <w:lang w:val="fr-FR"/>
        </w:rPr>
        <w:t xml:space="preserve">Groupe de travail des dispositions générales </w:t>
      </w:r>
      <w:r>
        <w:rPr>
          <w:lang w:val="fr-FR"/>
        </w:rPr>
        <w:br/>
      </w:r>
      <w:r w:rsidRPr="00862ACF">
        <w:rPr>
          <w:lang w:val="fr-FR"/>
        </w:rPr>
        <w:t>de sécurité</w:t>
      </w:r>
      <w:r w:rsidRPr="00AC7ACA">
        <w:rPr>
          <w:b w:val="0"/>
          <w:sz w:val="20"/>
          <w:lang w:val="fr-FR"/>
        </w:rPr>
        <w:footnoteReference w:customMarkFollows="1" w:id="2"/>
        <w:t>*</w:t>
      </w:r>
    </w:p>
    <w:p w14:paraId="135B68E3" w14:textId="1919DBC2" w:rsidR="00AC7ACA" w:rsidRDefault="00AC7ACA" w:rsidP="00AC7ACA">
      <w:pPr>
        <w:pStyle w:val="SingleTxtG"/>
        <w:ind w:firstLine="567"/>
      </w:pPr>
      <w:r>
        <w:rPr>
          <w:lang w:val="fr-FR"/>
        </w:rPr>
        <w:t xml:space="preserve">Le texte ci-après a été adopté par le </w:t>
      </w:r>
      <w:r w:rsidRPr="00D56042">
        <w:rPr>
          <w:lang w:val="fr-FR"/>
        </w:rPr>
        <w:t>Groupe de travail des dispositions générales de sécurité</w:t>
      </w:r>
      <w:r>
        <w:rPr>
          <w:lang w:val="fr-FR"/>
        </w:rPr>
        <w:t xml:space="preserve"> à sa 121</w:t>
      </w:r>
      <w:r w:rsidRPr="008D7D03">
        <w:rPr>
          <w:vertAlign w:val="superscript"/>
          <w:lang w:val="fr-FR"/>
        </w:rPr>
        <w:t>e</w:t>
      </w:r>
      <w:r>
        <w:rPr>
          <w:lang w:val="fr-FR"/>
        </w:rPr>
        <w:t xml:space="preserve"> session, tenue en avril 2021 (ECE/TRANS/WP.29/GRSG/100, par. 80). Il est fondé sur le document ECE/TRANS/WP.29/GRSG/2021/12 tel que modifié par le document informel GRSG-121-15. </w:t>
      </w:r>
      <w:r w:rsidRPr="00570417">
        <w:rPr>
          <w:lang w:val="fr-FR"/>
        </w:rPr>
        <w:t>Il est soumis au Forum mondial de l</w:t>
      </w:r>
      <w:r>
        <w:rPr>
          <w:lang w:val="fr-FR"/>
        </w:rPr>
        <w:t>’</w:t>
      </w:r>
      <w:r w:rsidRPr="00570417">
        <w:rPr>
          <w:lang w:val="fr-FR"/>
        </w:rPr>
        <w:t>harmonisation des Règlements concernant les véhicules (WP.29) et au Comité d</w:t>
      </w:r>
      <w:r>
        <w:rPr>
          <w:lang w:val="fr-FR"/>
        </w:rPr>
        <w:t>’</w:t>
      </w:r>
      <w:r w:rsidRPr="00570417">
        <w:rPr>
          <w:lang w:val="fr-FR"/>
        </w:rPr>
        <w:t>administration de l</w:t>
      </w:r>
      <w:r>
        <w:rPr>
          <w:lang w:val="fr-FR"/>
        </w:rPr>
        <w:t>’</w:t>
      </w:r>
      <w:r w:rsidRPr="00570417">
        <w:rPr>
          <w:lang w:val="fr-FR"/>
        </w:rPr>
        <w:t>Accord de 1958 (AC.1) pour examen à leurs sessions de novembre 2021</w:t>
      </w:r>
      <w:r>
        <w:rPr>
          <w:lang w:val="fr-FR"/>
        </w:rPr>
        <w:t>.</w:t>
      </w:r>
    </w:p>
    <w:p w14:paraId="34D38CAE" w14:textId="77777777" w:rsidR="00AC7ACA" w:rsidRDefault="00AC7ACA" w:rsidP="00AC7ACA">
      <w:pPr>
        <w:suppressAutoHyphens w:val="0"/>
        <w:kinsoku/>
        <w:overflowPunct/>
        <w:autoSpaceDE/>
        <w:autoSpaceDN/>
        <w:adjustRightInd/>
        <w:snapToGrid/>
        <w:spacing w:after="200" w:line="276" w:lineRule="auto"/>
      </w:pPr>
      <w:r>
        <w:br w:type="page"/>
      </w:r>
    </w:p>
    <w:p w14:paraId="32C8BC3D" w14:textId="77777777" w:rsidR="00AC7ACA" w:rsidRPr="007C792E" w:rsidRDefault="00AC7ACA" w:rsidP="00C35520">
      <w:pPr>
        <w:pStyle w:val="SingleTxtG"/>
        <w:rPr>
          <w:bCs/>
          <w:lang w:val="fr-FR"/>
        </w:rPr>
      </w:pPr>
      <w:r>
        <w:rPr>
          <w:i/>
          <w:iCs/>
          <w:lang w:val="fr-FR"/>
        </w:rPr>
        <w:lastRenderedPageBreak/>
        <w:t>Ajouter les nouveaux paragraphes 2.19 et 2.20</w:t>
      </w:r>
      <w:r>
        <w:rPr>
          <w:lang w:val="fr-FR"/>
        </w:rPr>
        <w:t>, libellés comme suit :</w:t>
      </w:r>
    </w:p>
    <w:p w14:paraId="59EA3F82" w14:textId="2E3185E4" w:rsidR="00AC7ACA" w:rsidRPr="00CE6799" w:rsidRDefault="00AC7ACA" w:rsidP="00AC7ACA">
      <w:pPr>
        <w:pStyle w:val="SingleTxtG"/>
        <w:ind w:left="2268" w:hanging="1134"/>
        <w:rPr>
          <w:lang w:val="fr-FR"/>
        </w:rPr>
      </w:pPr>
      <w:r w:rsidRPr="00CE6799">
        <w:rPr>
          <w:lang w:val="fr-FR"/>
        </w:rPr>
        <w:t>« </w:t>
      </w:r>
      <w:r w:rsidRPr="008D7D03">
        <w:rPr>
          <w:lang w:val="fr-FR"/>
        </w:rPr>
        <w:t>2.19</w:t>
      </w:r>
      <w:r w:rsidRPr="00CE6799">
        <w:rPr>
          <w:lang w:val="fr-FR"/>
        </w:rPr>
        <w:tab/>
      </w:r>
      <w:r w:rsidRPr="008D7D03">
        <w:rPr>
          <w:lang w:val="fr-FR"/>
        </w:rPr>
        <w:t>Par “</w:t>
      </w:r>
      <w:r w:rsidRPr="008D7D03">
        <w:rPr>
          <w:i/>
          <w:iCs/>
          <w:lang w:val="fr-FR"/>
        </w:rPr>
        <w:t>obstruction</w:t>
      </w:r>
      <w:r w:rsidRPr="008D7D03">
        <w:rPr>
          <w:lang w:val="fr-FR"/>
        </w:rPr>
        <w:t>”, on entend toute pièce ou interférence située dans le champ de vision, qui réduit la perception de la transmission de la lumière, à l</w:t>
      </w:r>
      <w:r>
        <w:rPr>
          <w:lang w:val="fr-FR"/>
        </w:rPr>
        <w:t>’</w:t>
      </w:r>
      <w:r w:rsidRPr="008D7D03">
        <w:rPr>
          <w:lang w:val="fr-FR"/>
        </w:rPr>
        <w:t>exception d</w:t>
      </w:r>
      <w:r>
        <w:rPr>
          <w:lang w:val="fr-FR"/>
        </w:rPr>
        <w:t>’</w:t>
      </w:r>
      <w:r w:rsidRPr="008D7D03">
        <w:rPr>
          <w:lang w:val="fr-FR"/>
        </w:rPr>
        <w:t>une lumière diffuse telle qu</w:t>
      </w:r>
      <w:r>
        <w:rPr>
          <w:lang w:val="fr-FR"/>
        </w:rPr>
        <w:t>’</w:t>
      </w:r>
      <w:r w:rsidRPr="008D7D03">
        <w:rPr>
          <w:lang w:val="fr-FR"/>
        </w:rPr>
        <w:t>un reflet provenant de l</w:t>
      </w:r>
      <w:r>
        <w:rPr>
          <w:lang w:val="fr-FR"/>
        </w:rPr>
        <w:t>’</w:t>
      </w:r>
      <w:r w:rsidRPr="008D7D03">
        <w:rPr>
          <w:lang w:val="fr-FR"/>
        </w:rPr>
        <w:t>intérieur du véhicule ou un éblouissement par la lumière du soleil.</w:t>
      </w:r>
    </w:p>
    <w:p w14:paraId="0A9345C8" w14:textId="7347B487" w:rsidR="00AC7ACA" w:rsidRPr="007C792E" w:rsidRDefault="00AC7ACA" w:rsidP="00AC7ACA">
      <w:pPr>
        <w:pStyle w:val="SingleTxtG"/>
        <w:ind w:left="2268" w:hanging="1134"/>
        <w:rPr>
          <w:b/>
          <w:bCs/>
          <w:lang w:val="fr-FR"/>
        </w:rPr>
      </w:pPr>
      <w:r w:rsidRPr="008D7D03">
        <w:rPr>
          <w:lang w:val="fr-FR"/>
        </w:rPr>
        <w:t>2.20</w:t>
      </w:r>
      <w:r w:rsidRPr="00CE6799">
        <w:rPr>
          <w:lang w:val="fr-FR"/>
        </w:rPr>
        <w:tab/>
      </w:r>
      <w:r w:rsidRPr="008D7D03">
        <w:rPr>
          <w:lang w:val="fr-FR"/>
        </w:rPr>
        <w:t>Par “</w:t>
      </w:r>
      <w:r w:rsidRPr="008D7D03">
        <w:rPr>
          <w:i/>
          <w:iCs/>
          <w:lang w:val="fr-FR"/>
        </w:rPr>
        <w:t>dispositif d</w:t>
      </w:r>
      <w:r>
        <w:rPr>
          <w:i/>
          <w:iCs/>
          <w:lang w:val="fr-FR"/>
        </w:rPr>
        <w:t>’</w:t>
      </w:r>
      <w:r w:rsidRPr="008D7D03">
        <w:rPr>
          <w:i/>
          <w:iCs/>
          <w:lang w:val="fr-FR"/>
        </w:rPr>
        <w:t>assistance par affichage dans le champ de vision</w:t>
      </w:r>
      <w:r w:rsidRPr="008D7D03">
        <w:rPr>
          <w:lang w:val="fr-FR"/>
        </w:rPr>
        <w:t>”, on entend un dispositif qui affiche des informations visuelles sur le pare-brise du véhicule, ou sur une autre surface vitrée, afin d</w:t>
      </w:r>
      <w:r>
        <w:rPr>
          <w:lang w:val="fr-FR"/>
        </w:rPr>
        <w:t>’</w:t>
      </w:r>
      <w:r w:rsidRPr="008D7D03">
        <w:rPr>
          <w:lang w:val="fr-FR"/>
        </w:rPr>
        <w:t>améliorer la vigilance du conducteur.</w:t>
      </w:r>
      <w:r>
        <w:rPr>
          <w:lang w:val="fr-FR"/>
        </w:rPr>
        <w:t> ».</w:t>
      </w:r>
    </w:p>
    <w:p w14:paraId="4EE8BE2E" w14:textId="77777777" w:rsidR="00AC7ACA" w:rsidRPr="007C792E" w:rsidRDefault="00AC7ACA" w:rsidP="00C35520">
      <w:pPr>
        <w:pStyle w:val="SingleTxtG"/>
        <w:rPr>
          <w:lang w:val="fr-FR"/>
        </w:rPr>
      </w:pPr>
      <w:r>
        <w:rPr>
          <w:i/>
          <w:iCs/>
          <w:lang w:val="fr-FR"/>
        </w:rPr>
        <w:t>Paragraphe 5.1.3</w:t>
      </w:r>
      <w:r>
        <w:rPr>
          <w:lang w:val="fr-FR"/>
        </w:rPr>
        <w:t>, lire :</w:t>
      </w:r>
    </w:p>
    <w:p w14:paraId="51D4D136" w14:textId="53716B84" w:rsidR="00AC7ACA" w:rsidRPr="007C792E" w:rsidRDefault="00AC7ACA" w:rsidP="00AC7ACA">
      <w:pPr>
        <w:pStyle w:val="SingleTxtG"/>
        <w:ind w:left="2268" w:hanging="1134"/>
        <w:rPr>
          <w:lang w:val="fr-FR"/>
        </w:rPr>
      </w:pPr>
      <w:r>
        <w:rPr>
          <w:lang w:val="fr-FR"/>
        </w:rPr>
        <w:t>« 5.1.3</w:t>
      </w:r>
      <w:r>
        <w:rPr>
          <w:lang w:val="fr-FR"/>
        </w:rPr>
        <w:tab/>
        <w:t xml:space="preserve">Sous réserve des dispositions des paragraphes </w:t>
      </w:r>
      <w:r w:rsidRPr="00650CB0">
        <w:rPr>
          <w:lang w:val="fr-FR"/>
        </w:rPr>
        <w:t>5.1.3.</w:t>
      </w:r>
      <w:r>
        <w:rPr>
          <w:lang w:val="fr-FR"/>
        </w:rPr>
        <w:t>3</w:t>
      </w:r>
      <w:r w:rsidRPr="008D7D03">
        <w:rPr>
          <w:lang w:val="fr-FR"/>
        </w:rPr>
        <w:t>,</w:t>
      </w:r>
      <w:r w:rsidRPr="00CE6799">
        <w:rPr>
          <w:lang w:val="fr-FR"/>
        </w:rPr>
        <w:t xml:space="preserve"> 5.1.3.</w:t>
      </w:r>
      <w:r w:rsidRPr="001839C9">
        <w:rPr>
          <w:lang w:val="fr-FR"/>
        </w:rPr>
        <w:t xml:space="preserve">4 </w:t>
      </w:r>
      <w:r w:rsidRPr="008D7D03">
        <w:rPr>
          <w:lang w:val="fr-FR"/>
        </w:rPr>
        <w:t>et 5.1.3.5</w:t>
      </w:r>
      <w:r w:rsidRPr="00CE6799">
        <w:rPr>
          <w:lang w:val="fr-FR"/>
        </w:rPr>
        <w:t xml:space="preserve"> </w:t>
      </w:r>
      <w:r>
        <w:rPr>
          <w:lang w:val="fr-FR"/>
        </w:rPr>
        <w:t>ci</w:t>
      </w:r>
      <w:r w:rsidR="00BA03D1">
        <w:rPr>
          <w:lang w:val="fr-FR"/>
        </w:rPr>
        <w:noBreakHyphen/>
      </w:r>
      <w:r>
        <w:rPr>
          <w:lang w:val="fr-FR"/>
        </w:rPr>
        <w:t>dessous, à l</w:t>
      </w:r>
      <w:r>
        <w:rPr>
          <w:lang w:val="fr-FR"/>
        </w:rPr>
        <w:t>’</w:t>
      </w:r>
      <w:r>
        <w:rPr>
          <w:lang w:val="fr-FR"/>
        </w:rPr>
        <w:t>exception des obstructions dues aux montants avant, aux montants de séparation des déflecteurs fixes ou mobiles ou des vitres latérales, aux antennes radio extérieures, aux dispositifs de vision indirecte satisfaisant aux prescriptions concernant le champ obligatoire de vision indirecte, ainsi qu</w:t>
      </w:r>
      <w:r>
        <w:rPr>
          <w:lang w:val="fr-FR"/>
        </w:rPr>
        <w:t>’</w:t>
      </w:r>
      <w:r>
        <w:rPr>
          <w:lang w:val="fr-FR"/>
        </w:rPr>
        <w:t>aux essuie-glaces, il ne doit exister aucune obstruction dans le champ de vision directe du conducteur sur 180° vers l</w:t>
      </w:r>
      <w:r>
        <w:rPr>
          <w:lang w:val="fr-FR"/>
        </w:rPr>
        <w:t>’</w:t>
      </w:r>
      <w:r>
        <w:rPr>
          <w:lang w:val="fr-FR"/>
        </w:rPr>
        <w:t>avant, au-dessous d</w:t>
      </w:r>
      <w:r>
        <w:rPr>
          <w:lang w:val="fr-FR"/>
        </w:rPr>
        <w:t>’</w:t>
      </w:r>
      <w:r>
        <w:rPr>
          <w:lang w:val="fr-FR"/>
        </w:rPr>
        <w:t>un plan horizontal passant par V1 et au-dessus de trois plans passant par V2, dont l</w:t>
      </w:r>
      <w:r>
        <w:rPr>
          <w:lang w:val="fr-FR"/>
        </w:rPr>
        <w:t>’</w:t>
      </w:r>
      <w:r>
        <w:rPr>
          <w:lang w:val="fr-FR"/>
        </w:rPr>
        <w:t>un est perpendiculaire au plan X-Z et incliné vers l</w:t>
      </w:r>
      <w:r>
        <w:rPr>
          <w:lang w:val="fr-FR"/>
        </w:rPr>
        <w:t>’</w:t>
      </w:r>
      <w:r>
        <w:rPr>
          <w:lang w:val="fr-FR"/>
        </w:rPr>
        <w:t>avant de</w:t>
      </w:r>
      <w:r w:rsidR="00BA03D1">
        <w:rPr>
          <w:lang w:val="fr-FR"/>
        </w:rPr>
        <w:t xml:space="preserve"> </w:t>
      </w:r>
      <w:r>
        <w:rPr>
          <w:lang w:val="fr-FR"/>
        </w:rPr>
        <w:t>4° au-dessous de l</w:t>
      </w:r>
      <w:r>
        <w:rPr>
          <w:lang w:val="fr-FR"/>
        </w:rPr>
        <w:t>’</w:t>
      </w:r>
      <w:r>
        <w:rPr>
          <w:lang w:val="fr-FR"/>
        </w:rPr>
        <w:t>horizontale et les deux autres sont perpendiculaires au plan Y-Z et inclinés de</w:t>
      </w:r>
      <w:r w:rsidR="00BA03D1">
        <w:rPr>
          <w:lang w:val="fr-FR"/>
        </w:rPr>
        <w:t xml:space="preserve"> </w:t>
      </w:r>
      <w:r>
        <w:rPr>
          <w:lang w:val="fr-FR"/>
        </w:rPr>
        <w:t>4° au-dessous de l</w:t>
      </w:r>
      <w:r>
        <w:rPr>
          <w:lang w:val="fr-FR"/>
        </w:rPr>
        <w:t>’</w:t>
      </w:r>
      <w:r>
        <w:rPr>
          <w:lang w:val="fr-FR"/>
        </w:rPr>
        <w:t>horizontale (voir annexe 4, appendice, fig. 4).</w:t>
      </w:r>
    </w:p>
    <w:p w14:paraId="6C6AF109" w14:textId="77777777" w:rsidR="00AC7ACA" w:rsidRPr="007C792E" w:rsidRDefault="00AC7ACA" w:rsidP="00C35520">
      <w:pPr>
        <w:pStyle w:val="SingleTxtG"/>
        <w:ind w:left="2268"/>
        <w:rPr>
          <w:lang w:val="fr-FR"/>
        </w:rPr>
      </w:pPr>
      <w:r>
        <w:rPr>
          <w:lang w:val="fr-FR"/>
        </w:rPr>
        <w:t xml:space="preserve">Les éléments suivants ne sont pas considérés comme obstructions du champ de vision : </w:t>
      </w:r>
    </w:p>
    <w:p w14:paraId="5DADE01A" w14:textId="77777777" w:rsidR="00AC7ACA" w:rsidRPr="007C792E" w:rsidRDefault="00AC7ACA" w:rsidP="00C35520">
      <w:pPr>
        <w:pStyle w:val="SingleTxtG"/>
        <w:ind w:left="2835" w:hanging="567"/>
        <w:rPr>
          <w:lang w:val="fr-FR"/>
        </w:rPr>
      </w:pPr>
      <w:r>
        <w:rPr>
          <w:lang w:val="fr-FR"/>
        </w:rPr>
        <w:t>a)</w:t>
      </w:r>
      <w:r>
        <w:rPr>
          <w:lang w:val="fr-FR"/>
        </w:rPr>
        <w:tab/>
        <w:t xml:space="preserve">Les conducteurs “antennes radio” noyés ou imprimés ne dépassant pas : </w:t>
      </w:r>
    </w:p>
    <w:p w14:paraId="727B2CC5" w14:textId="77777777" w:rsidR="00AC7ACA" w:rsidRPr="007C792E" w:rsidRDefault="00AC7ACA" w:rsidP="00C35520">
      <w:pPr>
        <w:pStyle w:val="SingleTxtG"/>
        <w:ind w:left="3402" w:hanging="567"/>
        <w:rPr>
          <w:lang w:val="fr-FR"/>
        </w:rPr>
      </w:pPr>
      <w:r>
        <w:rPr>
          <w:lang w:val="fr-FR"/>
        </w:rPr>
        <w:t>i)</w:t>
      </w:r>
      <w:r>
        <w:rPr>
          <w:lang w:val="fr-FR"/>
        </w:rPr>
        <w:tab/>
        <w:t xml:space="preserve">La largeur de 0,5 mm pour les conducteurs noyés ; </w:t>
      </w:r>
    </w:p>
    <w:p w14:paraId="7A716DE9" w14:textId="77777777" w:rsidR="00AC7ACA" w:rsidRPr="007C792E" w:rsidRDefault="00AC7ACA" w:rsidP="00C35520">
      <w:pPr>
        <w:pStyle w:val="SingleTxtG"/>
        <w:ind w:left="3402" w:hanging="567"/>
        <w:rPr>
          <w:lang w:val="fr-FR"/>
        </w:rPr>
      </w:pPr>
      <w:r>
        <w:rPr>
          <w:lang w:val="fr-FR"/>
        </w:rPr>
        <w:t>ii)</w:t>
      </w:r>
      <w:r>
        <w:rPr>
          <w:lang w:val="fr-FR"/>
        </w:rPr>
        <w:tab/>
      </w:r>
      <w:r w:rsidRPr="00712886">
        <w:rPr>
          <w:lang w:val="fr-FR"/>
        </w:rPr>
        <w:t>La largeur de</w:t>
      </w:r>
      <w:r>
        <w:rPr>
          <w:lang w:val="fr-FR"/>
        </w:rPr>
        <w:t xml:space="preserve"> 1,0 mm pour les conducteurs imprimés. Ces conducteurs “antennes radio” ne doivent pas traverser la zone A</w:t>
      </w:r>
      <w:r w:rsidRPr="00BA03D1">
        <w:rPr>
          <w:lang w:val="fr-FR"/>
        </w:rPr>
        <w:t>5</w:t>
      </w:r>
      <w:r>
        <w:rPr>
          <w:lang w:val="fr-FR"/>
        </w:rPr>
        <w:t xml:space="preserve">. Toutefois, trois conducteurs “antennes radio” peuvent traverser la zone A si leur largeur ne dépasse pas 0,5 mm ; </w:t>
      </w:r>
    </w:p>
    <w:p w14:paraId="6C9276A8" w14:textId="61A9197A" w:rsidR="00AC7ACA" w:rsidRPr="007C792E" w:rsidRDefault="00AC7ACA" w:rsidP="00C35520">
      <w:pPr>
        <w:pStyle w:val="SingleTxtG"/>
        <w:ind w:left="2835" w:hanging="567"/>
        <w:rPr>
          <w:lang w:val="fr-FR"/>
        </w:rPr>
      </w:pPr>
      <w:r>
        <w:rPr>
          <w:lang w:val="fr-FR"/>
        </w:rPr>
        <w:t>b)</w:t>
      </w:r>
      <w:r>
        <w:rPr>
          <w:lang w:val="fr-FR"/>
        </w:rPr>
        <w:tab/>
        <w:t>Les conducteurs “dégivrage-désembuage” situés à l</w:t>
      </w:r>
      <w:r>
        <w:rPr>
          <w:lang w:val="fr-FR"/>
        </w:rPr>
        <w:t>’</w:t>
      </w:r>
      <w:r>
        <w:rPr>
          <w:lang w:val="fr-FR"/>
        </w:rPr>
        <w:t xml:space="preserve">intérieur de la zone A, normalement en zigzag ou sinusoïde, ayant : </w:t>
      </w:r>
    </w:p>
    <w:p w14:paraId="49DF0457" w14:textId="77777777" w:rsidR="00AC7ACA" w:rsidRPr="007C792E" w:rsidRDefault="00AC7ACA" w:rsidP="00C35520">
      <w:pPr>
        <w:pStyle w:val="SingleTxtG"/>
        <w:ind w:left="3402" w:hanging="567"/>
        <w:rPr>
          <w:lang w:val="fr-FR"/>
        </w:rPr>
      </w:pPr>
      <w:r>
        <w:rPr>
          <w:lang w:val="fr-FR"/>
        </w:rPr>
        <w:t>i)</w:t>
      </w:r>
      <w:r>
        <w:rPr>
          <w:lang w:val="fr-FR"/>
        </w:rPr>
        <w:tab/>
        <w:t xml:space="preserve">Une largeur maximale apparente de 0,030 mm ; </w:t>
      </w:r>
    </w:p>
    <w:p w14:paraId="0BB65A72" w14:textId="77777777" w:rsidR="00AC7ACA" w:rsidRPr="007C792E" w:rsidRDefault="00AC7ACA" w:rsidP="00C35520">
      <w:pPr>
        <w:pStyle w:val="SingleTxtG"/>
        <w:ind w:left="3402" w:hanging="567"/>
        <w:rPr>
          <w:lang w:val="fr-FR"/>
        </w:rPr>
      </w:pPr>
      <w:r>
        <w:rPr>
          <w:lang w:val="fr-FR"/>
        </w:rPr>
        <w:t>ii)</w:t>
      </w:r>
      <w:r>
        <w:rPr>
          <w:lang w:val="fr-FR"/>
        </w:rPr>
        <w:tab/>
        <w:t xml:space="preserve">Une densité maximale : </w:t>
      </w:r>
    </w:p>
    <w:p w14:paraId="6DB87CE9" w14:textId="77777777" w:rsidR="00AC7ACA" w:rsidRPr="007C792E" w:rsidRDefault="00AC7ACA" w:rsidP="00C35520">
      <w:pPr>
        <w:pStyle w:val="Para"/>
        <w:ind w:left="3969" w:hanging="567"/>
        <w:rPr>
          <w:lang w:val="fr-FR"/>
        </w:rPr>
      </w:pPr>
      <w:r>
        <w:rPr>
          <w:lang w:val="fr-FR"/>
        </w:rPr>
        <w:t>a.</w:t>
      </w:r>
      <w:r>
        <w:rPr>
          <w:lang w:val="fr-FR"/>
        </w:rPr>
        <w:tab/>
        <w:t xml:space="preserve">De 8/cm pour les conducteurs verticaux ; </w:t>
      </w:r>
    </w:p>
    <w:p w14:paraId="599CEB02" w14:textId="77777777" w:rsidR="00AC7ACA" w:rsidRPr="007C792E" w:rsidRDefault="00AC7ACA" w:rsidP="00AC7ACA">
      <w:pPr>
        <w:pStyle w:val="Para"/>
        <w:ind w:left="3969" w:hanging="567"/>
        <w:rPr>
          <w:lang w:val="fr-FR"/>
        </w:rPr>
      </w:pPr>
      <w:r>
        <w:rPr>
          <w:lang w:val="fr-FR"/>
        </w:rPr>
        <w:t>b.</w:t>
      </w:r>
      <w:r>
        <w:rPr>
          <w:lang w:val="fr-FR"/>
        </w:rPr>
        <w:tab/>
        <w:t>De 5/cm pour les conducteurs horizontaux. ».</w:t>
      </w:r>
    </w:p>
    <w:p w14:paraId="73F08902" w14:textId="77777777" w:rsidR="00AC7ACA" w:rsidRDefault="00AC7ACA" w:rsidP="00C35520">
      <w:pPr>
        <w:pStyle w:val="SingleTxtG"/>
        <w:rPr>
          <w:lang w:val="fr-FR"/>
        </w:rPr>
      </w:pPr>
      <w:r>
        <w:rPr>
          <w:i/>
          <w:iCs/>
          <w:lang w:val="fr-FR"/>
        </w:rPr>
        <w:t>Paragraphe 5.1.3.4</w:t>
      </w:r>
      <w:r>
        <w:rPr>
          <w:lang w:val="fr-FR"/>
        </w:rPr>
        <w:t>, lire :</w:t>
      </w:r>
    </w:p>
    <w:p w14:paraId="6DC51765" w14:textId="78819693" w:rsidR="00AC7ACA" w:rsidRPr="008D7D03" w:rsidRDefault="00AC7ACA" w:rsidP="00AC7ACA">
      <w:pPr>
        <w:pStyle w:val="SingleTxtG"/>
        <w:ind w:left="2268" w:hanging="1134"/>
        <w:rPr>
          <w:lang w:val="fr-FR"/>
        </w:rPr>
      </w:pPr>
      <w:r w:rsidRPr="008D7D03">
        <w:rPr>
          <w:lang w:val="fr-FR"/>
        </w:rPr>
        <w:t>« </w:t>
      </w:r>
      <w:r>
        <w:rPr>
          <w:lang w:val="fr-FR"/>
        </w:rPr>
        <w:t>5.1.3.4</w:t>
      </w:r>
      <w:r>
        <w:rPr>
          <w:lang w:val="fr-FR"/>
        </w:rPr>
        <w:tab/>
      </w:r>
      <w:r w:rsidRPr="001839C9">
        <w:rPr>
          <w:lang w:val="fr-FR"/>
        </w:rPr>
        <w:t>Des obstructions entre un plan passant par V2 et incliné d</w:t>
      </w:r>
      <w:r>
        <w:rPr>
          <w:lang w:val="fr-FR"/>
        </w:rPr>
        <w:t>’</w:t>
      </w:r>
      <w:r w:rsidRPr="001839C9">
        <w:rPr>
          <w:lang w:val="fr-FR"/>
        </w:rPr>
        <w:t>au moins 1° au</w:t>
      </w:r>
      <w:r w:rsidR="00BA03D1">
        <w:rPr>
          <w:lang w:val="fr-FR"/>
        </w:rPr>
        <w:noBreakHyphen/>
      </w:r>
      <w:r w:rsidRPr="001839C9">
        <w:rPr>
          <w:lang w:val="fr-FR"/>
        </w:rPr>
        <w:t>dessous de l</w:t>
      </w:r>
      <w:r>
        <w:rPr>
          <w:lang w:val="fr-FR"/>
        </w:rPr>
        <w:t>’</w:t>
      </w:r>
      <w:r w:rsidRPr="001839C9">
        <w:rPr>
          <w:lang w:val="fr-FR"/>
        </w:rPr>
        <w:t>horizontale et un plan passant par V2 et incliné de 4° au</w:t>
      </w:r>
      <w:r w:rsidR="00BA03D1">
        <w:rPr>
          <w:lang w:val="fr-FR"/>
        </w:rPr>
        <w:noBreakHyphen/>
      </w:r>
      <w:r w:rsidRPr="001839C9">
        <w:rPr>
          <w:lang w:val="fr-FR"/>
        </w:rPr>
        <w:t>dessous de l</w:t>
      </w:r>
      <w:r>
        <w:rPr>
          <w:lang w:val="fr-FR"/>
        </w:rPr>
        <w:t>’</w:t>
      </w:r>
      <w:r w:rsidRPr="001839C9">
        <w:rPr>
          <w:lang w:val="fr-FR"/>
        </w:rPr>
        <w:t xml:space="preserve">horizontale seront tolérées si la projection conique à partir de V2 de ces obstructions sur une surface </w:t>
      </w:r>
      <w:r w:rsidR="00BA03D1">
        <w:rPr>
          <w:lang w:val="fr-FR"/>
        </w:rPr>
        <w:t>“</w:t>
      </w:r>
      <w:r w:rsidRPr="001839C9">
        <w:rPr>
          <w:lang w:val="fr-FR"/>
        </w:rPr>
        <w:t>S</w:t>
      </w:r>
      <w:r w:rsidR="00BA03D1">
        <w:rPr>
          <w:lang w:val="fr-FR"/>
        </w:rPr>
        <w:t>”</w:t>
      </w:r>
      <w:r w:rsidRPr="001839C9">
        <w:rPr>
          <w:lang w:val="fr-FR"/>
        </w:rPr>
        <w:t xml:space="preserve"> comme définie au paragraphe</w:t>
      </w:r>
      <w:r w:rsidR="00BA03D1">
        <w:rPr>
          <w:lang w:val="fr-FR"/>
        </w:rPr>
        <w:t> </w:t>
      </w:r>
      <w:r w:rsidRPr="001839C9">
        <w:rPr>
          <w:lang w:val="fr-FR"/>
        </w:rPr>
        <w:t>5.1.3.2.1 ci-dessous ne dépasse pas 20 % de cette surface</w:t>
      </w:r>
      <w:r>
        <w:rPr>
          <w:lang w:val="fr-FR"/>
        </w:rPr>
        <w:t>. »</w:t>
      </w:r>
      <w:r w:rsidR="00BA03D1">
        <w:rPr>
          <w:lang w:val="fr-FR"/>
        </w:rPr>
        <w:t>.</w:t>
      </w:r>
    </w:p>
    <w:p w14:paraId="3D1F7FB1" w14:textId="77777777" w:rsidR="00AC7ACA" w:rsidRPr="007C792E" w:rsidRDefault="00AC7ACA" w:rsidP="00C35520">
      <w:pPr>
        <w:pStyle w:val="SingleTxtG"/>
        <w:rPr>
          <w:bCs/>
          <w:lang w:val="fr-FR"/>
        </w:rPr>
      </w:pPr>
      <w:r>
        <w:rPr>
          <w:i/>
          <w:iCs/>
          <w:lang w:val="fr-FR"/>
        </w:rPr>
        <w:t>Ajouter les nouveaux paragraphes 5.1.3.5 à 5.1.3.6</w:t>
      </w:r>
      <w:r>
        <w:rPr>
          <w:lang w:val="fr-FR"/>
        </w:rPr>
        <w:t>, libellés comme suit :</w:t>
      </w:r>
    </w:p>
    <w:p w14:paraId="7C7288D5" w14:textId="5727CF77" w:rsidR="00AC7ACA" w:rsidRDefault="00AC7ACA" w:rsidP="00AC7ACA">
      <w:pPr>
        <w:pStyle w:val="SingleTxtG"/>
        <w:ind w:left="2268" w:hanging="1134"/>
        <w:rPr>
          <w:lang w:val="fr-FR"/>
        </w:rPr>
      </w:pPr>
      <w:r>
        <w:rPr>
          <w:lang w:val="fr-FR"/>
        </w:rPr>
        <w:t>« </w:t>
      </w:r>
      <w:r w:rsidRPr="008D7D03">
        <w:rPr>
          <w:lang w:val="fr-FR"/>
        </w:rPr>
        <w:t>5.1.3.5</w:t>
      </w:r>
      <w:r w:rsidRPr="00D21EBF">
        <w:rPr>
          <w:lang w:val="fr-FR"/>
        </w:rPr>
        <w:tab/>
      </w:r>
      <w:r w:rsidRPr="008D7D03">
        <w:rPr>
          <w:lang w:val="fr-FR"/>
        </w:rPr>
        <w:t>Les informations fournies par le dispositif d</w:t>
      </w:r>
      <w:r>
        <w:rPr>
          <w:lang w:val="fr-FR"/>
        </w:rPr>
        <w:t>’</w:t>
      </w:r>
      <w:r w:rsidRPr="008D7D03">
        <w:rPr>
          <w:lang w:val="fr-FR"/>
        </w:rPr>
        <w:t>assistance par affichage dans le champ de vision peuvent se superposer à la partie transparente telle que définie au paragraphe 5.1.1.</w:t>
      </w:r>
      <w:r>
        <w:rPr>
          <w:lang w:val="fr-FR"/>
        </w:rPr>
        <w:t xml:space="preserve"> Les dispositions des paragraphes 5.1.3.5.1 à 5.1.3.5.5 et du paragraphe 5.1.3.6 s</w:t>
      </w:r>
      <w:r>
        <w:rPr>
          <w:lang w:val="fr-FR"/>
        </w:rPr>
        <w:t>’</w:t>
      </w:r>
      <w:r>
        <w:rPr>
          <w:lang w:val="fr-FR"/>
        </w:rPr>
        <w:t xml:space="preserve">appliquent aux informations du </w:t>
      </w:r>
      <w:r w:rsidRPr="00734CCE">
        <w:rPr>
          <w:lang w:val="fr-FR"/>
        </w:rPr>
        <w:t>dispositif d</w:t>
      </w:r>
      <w:r>
        <w:rPr>
          <w:lang w:val="fr-FR"/>
        </w:rPr>
        <w:t>’</w:t>
      </w:r>
      <w:r w:rsidRPr="00734CCE">
        <w:rPr>
          <w:lang w:val="fr-FR"/>
        </w:rPr>
        <w:t>assistance par affichage dans le champ de vision</w:t>
      </w:r>
      <w:r>
        <w:rPr>
          <w:lang w:val="fr-FR"/>
        </w:rPr>
        <w:t xml:space="preserve"> si elles se superposent à la partie transparente en dehors de la surface </w:t>
      </w:r>
      <w:r w:rsidR="008622EA">
        <w:rPr>
          <w:lang w:val="fr-FR"/>
        </w:rPr>
        <w:t>“</w:t>
      </w:r>
      <w:r>
        <w:rPr>
          <w:lang w:val="fr-FR"/>
        </w:rPr>
        <w:t>S</w:t>
      </w:r>
      <w:r w:rsidR="008622EA">
        <w:rPr>
          <w:lang w:val="fr-FR"/>
        </w:rPr>
        <w:t>”</w:t>
      </w:r>
      <w:r>
        <w:rPr>
          <w:lang w:val="fr-FR"/>
        </w:rPr>
        <w:t>.</w:t>
      </w:r>
    </w:p>
    <w:p w14:paraId="50F843EC" w14:textId="519322F9" w:rsidR="00AC7ACA" w:rsidRPr="008D7D03" w:rsidRDefault="00AC7ACA" w:rsidP="00C35520">
      <w:pPr>
        <w:pStyle w:val="SingleTxtG"/>
        <w:ind w:left="2268"/>
        <w:rPr>
          <w:bCs/>
          <w:lang w:val="fr-FR"/>
        </w:rPr>
      </w:pPr>
      <w:r>
        <w:rPr>
          <w:bCs/>
          <w:lang w:val="fr-FR"/>
        </w:rPr>
        <w:tab/>
        <w:t>Les informations affichées par le dispositif d</w:t>
      </w:r>
      <w:r>
        <w:rPr>
          <w:bCs/>
          <w:lang w:val="fr-FR"/>
        </w:rPr>
        <w:t>’</w:t>
      </w:r>
      <w:r>
        <w:rPr>
          <w:bCs/>
          <w:lang w:val="fr-FR"/>
        </w:rPr>
        <w:t xml:space="preserve">assistance peuvent être sans lien avec la conduite, auquel cas elles diffèrent donc de celles énumérées au </w:t>
      </w:r>
      <w:r>
        <w:rPr>
          <w:bCs/>
          <w:lang w:val="fr-FR"/>
        </w:rPr>
        <w:lastRenderedPageBreak/>
        <w:t>paragraphe</w:t>
      </w:r>
      <w:r w:rsidR="008622EA">
        <w:rPr>
          <w:bCs/>
          <w:lang w:val="fr-FR"/>
        </w:rPr>
        <w:t> </w:t>
      </w:r>
      <w:r>
        <w:rPr>
          <w:bCs/>
          <w:lang w:val="fr-FR"/>
        </w:rPr>
        <w:t>5.1.3.5.1 et ne sont pas soumises aux dispositions des paragraphes</w:t>
      </w:r>
      <w:r w:rsidR="008622EA">
        <w:rPr>
          <w:bCs/>
          <w:lang w:val="fr-FR"/>
        </w:rPr>
        <w:t> </w:t>
      </w:r>
      <w:r>
        <w:rPr>
          <w:bCs/>
          <w:lang w:val="fr-FR"/>
        </w:rPr>
        <w:t>5.1.3.5.1 à 5.1.3.5.5, sous réserve que la boîte de vitesse est restée en position de stationnement ou que le frein de stationnement n</w:t>
      </w:r>
      <w:r>
        <w:rPr>
          <w:bCs/>
          <w:lang w:val="fr-FR"/>
        </w:rPr>
        <w:t>’</w:t>
      </w:r>
      <w:r>
        <w:rPr>
          <w:bCs/>
          <w:lang w:val="fr-FR"/>
        </w:rPr>
        <w:t>a pas encore été desserré depuis l</w:t>
      </w:r>
      <w:r>
        <w:rPr>
          <w:bCs/>
          <w:lang w:val="fr-FR"/>
        </w:rPr>
        <w:t>’</w:t>
      </w:r>
      <w:r>
        <w:rPr>
          <w:bCs/>
          <w:lang w:val="fr-FR"/>
        </w:rPr>
        <w:t xml:space="preserve">activation du commutateur de contact du véhicule. </w:t>
      </w:r>
    </w:p>
    <w:p w14:paraId="5F5287FA" w14:textId="0F2BC63C" w:rsidR="00AC7ACA" w:rsidRPr="008D7D03" w:rsidRDefault="00AC7ACA" w:rsidP="00AC7ACA">
      <w:pPr>
        <w:pStyle w:val="SingleTxtG"/>
        <w:ind w:left="2268" w:hanging="1134"/>
        <w:rPr>
          <w:lang w:val="fr-FR"/>
        </w:rPr>
      </w:pPr>
      <w:r w:rsidRPr="008D7D03">
        <w:rPr>
          <w:lang w:val="fr-FR"/>
        </w:rPr>
        <w:t>5.1.3.5.1</w:t>
      </w:r>
      <w:r w:rsidRPr="005C5B4D">
        <w:rPr>
          <w:lang w:val="fr-FR"/>
        </w:rPr>
        <w:tab/>
      </w:r>
      <w:r w:rsidRPr="008D7D03">
        <w:rPr>
          <w:lang w:val="fr-FR"/>
        </w:rPr>
        <w:t>Lorsque le contact moteur est mis ou lorsque le commutateur de contact du véhicule est activé (selon le cas), le dispositif d</w:t>
      </w:r>
      <w:r>
        <w:rPr>
          <w:lang w:val="fr-FR"/>
        </w:rPr>
        <w:t>’</w:t>
      </w:r>
      <w:r w:rsidRPr="008D7D03">
        <w:rPr>
          <w:lang w:val="fr-FR"/>
        </w:rPr>
        <w:t>assistance par affichage dans le champ de vision ne doit afficher que des informations relatives à la conduite et permettant :</w:t>
      </w:r>
      <w:r w:rsidRPr="005C5B4D">
        <w:rPr>
          <w:lang w:val="fr-FR"/>
        </w:rPr>
        <w:t xml:space="preserve"> </w:t>
      </w:r>
    </w:p>
    <w:p w14:paraId="7C377A74" w14:textId="65BF5757" w:rsidR="00AC7ACA" w:rsidRPr="008D7D03" w:rsidRDefault="00AC7ACA" w:rsidP="00C35520">
      <w:pPr>
        <w:pStyle w:val="SingleTxtG"/>
        <w:ind w:left="2835" w:hanging="567"/>
        <w:rPr>
          <w:lang w:val="fr-FR"/>
        </w:rPr>
      </w:pPr>
      <w:r w:rsidRPr="00AA2814">
        <w:rPr>
          <w:lang w:val="fr-FR"/>
        </w:rPr>
        <w:t>a)</w:t>
      </w:r>
      <w:r w:rsidRPr="00AA2814">
        <w:rPr>
          <w:lang w:val="fr-FR"/>
        </w:rPr>
        <w:tab/>
        <w:t>D</w:t>
      </w:r>
      <w:r w:rsidRPr="00AA2814">
        <w:rPr>
          <w:lang w:val="fr-FR"/>
        </w:rPr>
        <w:t>’</w:t>
      </w:r>
      <w:r w:rsidRPr="00AA2814">
        <w:rPr>
          <w:lang w:val="fr-FR"/>
        </w:rPr>
        <w:t>avertir le conducteur d</w:t>
      </w:r>
      <w:r w:rsidRPr="00AA2814">
        <w:rPr>
          <w:lang w:val="fr-FR"/>
        </w:rPr>
        <w:t>’</w:t>
      </w:r>
      <w:r w:rsidRPr="00AA2814">
        <w:rPr>
          <w:lang w:val="fr-FR"/>
        </w:rPr>
        <w:t>une situa</w:t>
      </w:r>
      <w:r w:rsidRPr="008D7D03">
        <w:rPr>
          <w:lang w:val="fr-FR"/>
        </w:rPr>
        <w:t>tion dangereuse liée à la circulation, ou de la mettre en évidence ;</w:t>
      </w:r>
    </w:p>
    <w:p w14:paraId="77619EE9" w14:textId="61FE7474" w:rsidR="00AC7ACA" w:rsidRPr="008D7D03" w:rsidRDefault="00AC7ACA" w:rsidP="00C35520">
      <w:pPr>
        <w:pStyle w:val="SingleTxtG"/>
        <w:ind w:left="2835" w:hanging="567"/>
        <w:rPr>
          <w:lang w:val="fr-FR"/>
        </w:rPr>
      </w:pPr>
      <w:r w:rsidRPr="008D7D03">
        <w:rPr>
          <w:lang w:val="fr-FR"/>
        </w:rPr>
        <w:t>b)</w:t>
      </w:r>
      <w:r w:rsidRPr="005C5B4D">
        <w:rPr>
          <w:lang w:val="fr-FR"/>
        </w:rPr>
        <w:tab/>
      </w:r>
      <w:r w:rsidRPr="008D7D03">
        <w:rPr>
          <w:lang w:val="fr-FR"/>
        </w:rPr>
        <w:t>D</w:t>
      </w:r>
      <w:r>
        <w:rPr>
          <w:lang w:val="fr-FR"/>
        </w:rPr>
        <w:t>’</w:t>
      </w:r>
      <w:r w:rsidRPr="008D7D03">
        <w:rPr>
          <w:lang w:val="fr-FR"/>
        </w:rPr>
        <w:t>avertir le conducteur de la présence d</w:t>
      </w:r>
      <w:r>
        <w:rPr>
          <w:lang w:val="fr-FR"/>
        </w:rPr>
        <w:t>’</w:t>
      </w:r>
      <w:r w:rsidRPr="008D7D03">
        <w:rPr>
          <w:lang w:val="fr-FR"/>
        </w:rPr>
        <w:t>usagers de la route vulnérables ou autres qui pourraient échapper à sa vigilance, ou de la mettre en évidence ;</w:t>
      </w:r>
    </w:p>
    <w:p w14:paraId="771A4AB3" w14:textId="77777777" w:rsidR="00AC7ACA" w:rsidRPr="008D7D03" w:rsidRDefault="00AC7ACA" w:rsidP="00C35520">
      <w:pPr>
        <w:pStyle w:val="SingleTxtG"/>
        <w:ind w:left="2835" w:hanging="567"/>
        <w:rPr>
          <w:lang w:val="fr-FR"/>
        </w:rPr>
      </w:pPr>
      <w:r w:rsidRPr="008D7D03">
        <w:rPr>
          <w:lang w:val="fr-FR"/>
        </w:rPr>
        <w:t>c)</w:t>
      </w:r>
      <w:r w:rsidRPr="005C5B4D">
        <w:rPr>
          <w:lang w:val="fr-FR"/>
        </w:rPr>
        <w:tab/>
      </w:r>
      <w:r w:rsidRPr="008D7D03">
        <w:rPr>
          <w:lang w:val="fr-FR"/>
        </w:rPr>
        <w:t>De donner au conducteur des informations en vue du maintien des distances par rapport aux usagers de la route environnants ;</w:t>
      </w:r>
      <w:r w:rsidRPr="005C5B4D">
        <w:rPr>
          <w:lang w:val="fr-FR"/>
        </w:rPr>
        <w:t xml:space="preserve"> </w:t>
      </w:r>
    </w:p>
    <w:p w14:paraId="46B0B12F" w14:textId="4AF82ADF" w:rsidR="00AC7ACA" w:rsidRPr="008D7D03" w:rsidRDefault="00AC7ACA" w:rsidP="00C35520">
      <w:pPr>
        <w:pStyle w:val="SingleTxtG"/>
        <w:ind w:left="2835" w:hanging="567"/>
        <w:rPr>
          <w:lang w:val="fr-FR"/>
        </w:rPr>
      </w:pPr>
      <w:r w:rsidRPr="008D7D03">
        <w:rPr>
          <w:lang w:val="fr-FR"/>
        </w:rPr>
        <w:t>d)</w:t>
      </w:r>
      <w:r w:rsidRPr="005C5B4D">
        <w:rPr>
          <w:lang w:val="fr-FR"/>
        </w:rPr>
        <w:tab/>
      </w:r>
      <w:r w:rsidRPr="008D7D03">
        <w:rPr>
          <w:lang w:val="fr-FR"/>
        </w:rPr>
        <w:t>De donner au conducteur des informations lui permettant de trouver la bonne voie de circulation et de s</w:t>
      </w:r>
      <w:r>
        <w:rPr>
          <w:lang w:val="fr-FR"/>
        </w:rPr>
        <w:t>’</w:t>
      </w:r>
      <w:r w:rsidRPr="008D7D03">
        <w:rPr>
          <w:lang w:val="fr-FR"/>
        </w:rPr>
        <w:t>y maintenir.</w:t>
      </w:r>
    </w:p>
    <w:p w14:paraId="038A312B" w14:textId="14A2FBD9" w:rsidR="00AC7ACA" w:rsidRPr="008D7D03" w:rsidRDefault="00AC7ACA" w:rsidP="00C35520">
      <w:pPr>
        <w:pStyle w:val="SingleTxtG"/>
        <w:ind w:left="2268"/>
        <w:rPr>
          <w:lang w:val="fr-FR"/>
        </w:rPr>
      </w:pPr>
      <w:r w:rsidRPr="008D7D03">
        <w:rPr>
          <w:lang w:val="fr-FR"/>
        </w:rPr>
        <w:t>On trouvera à l</w:t>
      </w:r>
      <w:r>
        <w:rPr>
          <w:lang w:val="fr-FR"/>
        </w:rPr>
        <w:t>’</w:t>
      </w:r>
      <w:r w:rsidRPr="008D7D03">
        <w:rPr>
          <w:lang w:val="fr-FR"/>
        </w:rPr>
        <w:t>annexe 5 des exemples des types d</w:t>
      </w:r>
      <w:r>
        <w:rPr>
          <w:lang w:val="fr-FR"/>
        </w:rPr>
        <w:t>’</w:t>
      </w:r>
      <w:r w:rsidRPr="008D7D03">
        <w:rPr>
          <w:lang w:val="fr-FR"/>
        </w:rPr>
        <w:t>avertissements, de mises en évidence ou d</w:t>
      </w:r>
      <w:r>
        <w:rPr>
          <w:lang w:val="fr-FR"/>
        </w:rPr>
        <w:t>’</w:t>
      </w:r>
      <w:r w:rsidRPr="008D7D03">
        <w:rPr>
          <w:lang w:val="fr-FR"/>
        </w:rPr>
        <w:t>informations mentionnés ci-dessus.</w:t>
      </w:r>
    </w:p>
    <w:p w14:paraId="678CF0F9" w14:textId="519F1DA0" w:rsidR="00AC7ACA" w:rsidRPr="008D7D03" w:rsidRDefault="00AC7ACA" w:rsidP="00C35520">
      <w:pPr>
        <w:pStyle w:val="SingleTxtG"/>
        <w:ind w:left="2268"/>
        <w:rPr>
          <w:lang w:val="fr-FR"/>
        </w:rPr>
      </w:pPr>
      <w:r w:rsidRPr="008D7D03">
        <w:rPr>
          <w:lang w:val="fr-FR"/>
        </w:rPr>
        <w:t>Si le dispositif d</w:t>
      </w:r>
      <w:r>
        <w:rPr>
          <w:lang w:val="fr-FR"/>
        </w:rPr>
        <w:t>’</w:t>
      </w:r>
      <w:r w:rsidRPr="008D7D03">
        <w:rPr>
          <w:lang w:val="fr-FR"/>
        </w:rPr>
        <w:t>assistance par affichage dans le champ de vision projette des informations provenant d</w:t>
      </w:r>
      <w:r>
        <w:rPr>
          <w:lang w:val="fr-FR"/>
        </w:rPr>
        <w:t>’</w:t>
      </w:r>
      <w:r w:rsidRPr="008D7D03">
        <w:rPr>
          <w:lang w:val="fr-FR"/>
        </w:rPr>
        <w:t>une source extérieure au dispositif (par exemple, d</w:t>
      </w:r>
      <w:r>
        <w:rPr>
          <w:lang w:val="fr-FR"/>
        </w:rPr>
        <w:t>’</w:t>
      </w:r>
      <w:r w:rsidRPr="008D7D03">
        <w:rPr>
          <w:lang w:val="fr-FR"/>
        </w:rPr>
        <w:t>un appareil portable de navigation par satellite), ces informations doivent s</w:t>
      </w:r>
      <w:r>
        <w:rPr>
          <w:lang w:val="fr-FR"/>
        </w:rPr>
        <w:t>’</w:t>
      </w:r>
      <w:r w:rsidRPr="008D7D03">
        <w:rPr>
          <w:lang w:val="fr-FR"/>
        </w:rPr>
        <w:t>afficher conformément aux spécifications prévues (type, durée, apparence, taille, couleur, etc.) décrites par le constructeur dans le dossier d</w:t>
      </w:r>
      <w:r>
        <w:rPr>
          <w:lang w:val="fr-FR"/>
        </w:rPr>
        <w:t>’</w:t>
      </w:r>
      <w:r w:rsidRPr="008D7D03">
        <w:rPr>
          <w:lang w:val="fr-FR"/>
        </w:rPr>
        <w:t>homologation de type.</w:t>
      </w:r>
      <w:r w:rsidRPr="005C5B4D">
        <w:rPr>
          <w:lang w:val="fr-FR"/>
        </w:rPr>
        <w:t xml:space="preserve"> </w:t>
      </w:r>
      <w:r w:rsidRPr="008D7D03">
        <w:rPr>
          <w:lang w:val="fr-FR"/>
        </w:rPr>
        <w:t>Le respect des dispositions de ce paragraphe doit être démontré par le constructeur au service technique lors de l</w:t>
      </w:r>
      <w:r>
        <w:rPr>
          <w:lang w:val="fr-FR"/>
        </w:rPr>
        <w:t>’</w:t>
      </w:r>
      <w:r w:rsidRPr="008D7D03">
        <w:rPr>
          <w:lang w:val="fr-FR"/>
        </w:rPr>
        <w:t>examen des mesures prises aux fins de la sécurité.</w:t>
      </w:r>
    </w:p>
    <w:p w14:paraId="25055CB2" w14:textId="22D62367" w:rsidR="00AC7ACA" w:rsidRPr="008D7D03" w:rsidRDefault="00AC7ACA" w:rsidP="00AC7ACA">
      <w:pPr>
        <w:pStyle w:val="SingleTxtG"/>
        <w:ind w:left="2268" w:hanging="1134"/>
        <w:rPr>
          <w:lang w:val="fr-FR"/>
        </w:rPr>
      </w:pPr>
      <w:r w:rsidRPr="008D7D03">
        <w:rPr>
          <w:lang w:val="fr-FR"/>
        </w:rPr>
        <w:t>5.1.3.5.2</w:t>
      </w:r>
      <w:r w:rsidRPr="005C5B4D">
        <w:rPr>
          <w:lang w:val="fr-FR"/>
        </w:rPr>
        <w:tab/>
      </w:r>
      <w:r w:rsidRPr="008D7D03">
        <w:rPr>
          <w:lang w:val="fr-FR"/>
        </w:rPr>
        <w:t>Les symboles et les éléments graphiques présentés par le dispositif d</w:t>
      </w:r>
      <w:r>
        <w:rPr>
          <w:lang w:val="fr-FR"/>
        </w:rPr>
        <w:t>’</w:t>
      </w:r>
      <w:r w:rsidRPr="008D7D03">
        <w:rPr>
          <w:lang w:val="fr-FR"/>
        </w:rPr>
        <w:t>assistance par affichage dans le champ de vision doivent disparaître dès que cesse la situation justifiant leur affichage.</w:t>
      </w:r>
    </w:p>
    <w:p w14:paraId="59C1E324" w14:textId="30CDB378" w:rsidR="00AC7ACA" w:rsidRPr="008D7D03" w:rsidRDefault="00AC7ACA" w:rsidP="00AC7ACA">
      <w:pPr>
        <w:pStyle w:val="SingleTxtG"/>
        <w:ind w:left="2268" w:hanging="1134"/>
        <w:rPr>
          <w:lang w:val="fr-FR"/>
        </w:rPr>
      </w:pPr>
      <w:r w:rsidRPr="008D7D03">
        <w:rPr>
          <w:lang w:val="fr-FR"/>
        </w:rPr>
        <w:t>5.1.3.5.3</w:t>
      </w:r>
      <w:r w:rsidRPr="005C5B4D">
        <w:rPr>
          <w:lang w:val="fr-FR"/>
        </w:rPr>
        <w:tab/>
      </w:r>
      <w:r w:rsidRPr="008D7D03">
        <w:rPr>
          <w:lang w:val="fr-FR"/>
        </w:rPr>
        <w:t>Le dispositif d</w:t>
      </w:r>
      <w:r>
        <w:rPr>
          <w:lang w:val="fr-FR"/>
        </w:rPr>
        <w:t>’</w:t>
      </w:r>
      <w:r w:rsidRPr="008D7D03">
        <w:rPr>
          <w:lang w:val="fr-FR"/>
        </w:rPr>
        <w:t>assistance par affichage dans le champ de vision doit occulter le moins possible les objets.</w:t>
      </w:r>
    </w:p>
    <w:p w14:paraId="7E33CB0B" w14:textId="2C9CBCD4" w:rsidR="00AC7ACA" w:rsidRPr="008D7D03" w:rsidRDefault="00AC7ACA" w:rsidP="00AC7ACA">
      <w:pPr>
        <w:pStyle w:val="SingleTxtG"/>
        <w:ind w:left="2268" w:hanging="1134"/>
        <w:rPr>
          <w:lang w:val="fr-FR"/>
        </w:rPr>
      </w:pPr>
      <w:r w:rsidRPr="008D7D03">
        <w:rPr>
          <w:lang w:val="fr-FR"/>
        </w:rPr>
        <w:t>5.1.3.5.4</w:t>
      </w:r>
      <w:r w:rsidRPr="005C5B4D">
        <w:rPr>
          <w:lang w:val="fr-FR"/>
        </w:rPr>
        <w:tab/>
      </w:r>
      <w:r w:rsidRPr="008D7D03">
        <w:rPr>
          <w:lang w:val="fr-FR"/>
        </w:rPr>
        <w:t>Le conducteur doit pouvoir régler l</w:t>
      </w:r>
      <w:r>
        <w:rPr>
          <w:lang w:val="fr-FR"/>
        </w:rPr>
        <w:t>’</w:t>
      </w:r>
      <w:r w:rsidRPr="008D7D03">
        <w:rPr>
          <w:lang w:val="fr-FR"/>
        </w:rPr>
        <w:t>intensité lumineuse du dispositif d</w:t>
      </w:r>
      <w:r>
        <w:rPr>
          <w:lang w:val="fr-FR"/>
        </w:rPr>
        <w:t>’</w:t>
      </w:r>
      <w:r w:rsidRPr="008D7D03">
        <w:rPr>
          <w:lang w:val="fr-FR"/>
        </w:rPr>
        <w:t>assistance par affichage dans le champ de vision.</w:t>
      </w:r>
    </w:p>
    <w:p w14:paraId="24016593" w14:textId="1ACCAF94" w:rsidR="00AC7ACA" w:rsidRPr="00F819C9" w:rsidRDefault="00AC7ACA" w:rsidP="00AC7ACA">
      <w:pPr>
        <w:pStyle w:val="SingleTxtG"/>
        <w:ind w:left="2268" w:hanging="1134"/>
        <w:rPr>
          <w:lang w:val="fr-FR"/>
        </w:rPr>
      </w:pPr>
      <w:r w:rsidRPr="008D7D03">
        <w:rPr>
          <w:lang w:val="fr-FR"/>
        </w:rPr>
        <w:t>5.1.3.5.5</w:t>
      </w:r>
      <w:r w:rsidRPr="00F819C9">
        <w:rPr>
          <w:lang w:val="fr-FR"/>
        </w:rPr>
        <w:tab/>
      </w:r>
      <w:r w:rsidRPr="008D7D03">
        <w:rPr>
          <w:lang w:val="fr-FR"/>
        </w:rPr>
        <w:t>Le conducteur doit pouvoir éteindre directement le dispositif d</w:t>
      </w:r>
      <w:r>
        <w:rPr>
          <w:lang w:val="fr-FR"/>
        </w:rPr>
        <w:t>’</w:t>
      </w:r>
      <w:r w:rsidRPr="008D7D03">
        <w:rPr>
          <w:lang w:val="fr-FR"/>
        </w:rPr>
        <w:t>assistance par affichage dans le champ de vision par une action délibérée consistant au moins en une opération manuelle avec au maximum deux étapes consécutives. Les actions intuitives (par exemple, appuyer deux fois, faire glisser et appuyer) sont considérées comme une seule étape.</w:t>
      </w:r>
    </w:p>
    <w:p w14:paraId="64A2868D" w14:textId="6068D9A8" w:rsidR="00AC7ACA" w:rsidRPr="007C792E" w:rsidRDefault="00AC7ACA" w:rsidP="00AC7ACA">
      <w:pPr>
        <w:pStyle w:val="SingleTxtG"/>
        <w:ind w:left="2268" w:hanging="1134"/>
        <w:rPr>
          <w:b/>
          <w:lang w:val="fr-FR"/>
        </w:rPr>
      </w:pPr>
      <w:r w:rsidRPr="008D7D03">
        <w:rPr>
          <w:lang w:val="fr-FR"/>
        </w:rPr>
        <w:t>5.1.3.6</w:t>
      </w:r>
      <w:r w:rsidRPr="00E866C9">
        <w:rPr>
          <w:lang w:val="fr-FR"/>
        </w:rPr>
        <w:tab/>
      </w:r>
      <w:r w:rsidRPr="008D7D03">
        <w:rPr>
          <w:lang w:val="fr-FR"/>
        </w:rPr>
        <w:t>Le dispositif d</w:t>
      </w:r>
      <w:r>
        <w:rPr>
          <w:lang w:val="fr-FR"/>
        </w:rPr>
        <w:t>’</w:t>
      </w:r>
      <w:r w:rsidRPr="008D7D03">
        <w:rPr>
          <w:lang w:val="fr-FR"/>
        </w:rPr>
        <w:t>assistance par affichage dans le champ de vision doit être automatiquement désactivé en cas de défaillance électrique détectable du dispositif qui perturbe les informations visuelles et constitue un risque connu pris en compte dans la stratégie en matière de sécurité.</w:t>
      </w:r>
      <w:r>
        <w:rPr>
          <w:lang w:val="fr-FR"/>
        </w:rPr>
        <w:t> ».</w:t>
      </w:r>
    </w:p>
    <w:p w14:paraId="4A10BA5F" w14:textId="77777777" w:rsidR="00AC7ACA" w:rsidRDefault="00AC7ACA" w:rsidP="00C35520">
      <w:pPr>
        <w:pStyle w:val="SingleTxtG"/>
        <w:rPr>
          <w:lang w:val="fr-FR"/>
        </w:rPr>
      </w:pPr>
      <w:r>
        <w:rPr>
          <w:i/>
          <w:iCs/>
          <w:lang w:val="fr-FR"/>
        </w:rPr>
        <w:t>Ajouter les paragraphes 6.2.1 et 6.2.2</w:t>
      </w:r>
      <w:r w:rsidRPr="008D7D03">
        <w:rPr>
          <w:lang w:val="fr-FR"/>
        </w:rPr>
        <w:t>, libellés comme suit :</w:t>
      </w:r>
    </w:p>
    <w:p w14:paraId="7ECA9E9B" w14:textId="1E474D3D" w:rsidR="00AC7ACA" w:rsidRDefault="00AC7ACA" w:rsidP="00AC7ACA">
      <w:pPr>
        <w:pStyle w:val="SingleTxtG"/>
        <w:ind w:left="2268" w:hanging="1134"/>
        <w:rPr>
          <w:lang w:val="fr-FR"/>
        </w:rPr>
      </w:pPr>
      <w:r>
        <w:rPr>
          <w:lang w:val="fr-FR"/>
        </w:rPr>
        <w:t>« 6.2.1</w:t>
      </w:r>
      <w:r>
        <w:rPr>
          <w:lang w:val="fr-FR"/>
        </w:rPr>
        <w:tab/>
      </w:r>
      <w:r w:rsidRPr="00C50D4A">
        <w:rPr>
          <w:lang w:val="fr-FR"/>
        </w:rPr>
        <w:t>Le volant, s</w:t>
      </w:r>
      <w:r>
        <w:rPr>
          <w:lang w:val="fr-FR"/>
        </w:rPr>
        <w:t>’</w:t>
      </w:r>
      <w:r w:rsidRPr="00C50D4A">
        <w:rPr>
          <w:lang w:val="fr-FR"/>
        </w:rPr>
        <w:t>il est réglable, doit être placé dans la position normale prévue par le constructeur ou, à défaut, dans la position médiane de la plage de réglage</w:t>
      </w:r>
      <w:r>
        <w:rPr>
          <w:lang w:val="fr-FR"/>
        </w:rPr>
        <w:t>.</w:t>
      </w:r>
    </w:p>
    <w:p w14:paraId="3E33A72E" w14:textId="2D24F348" w:rsidR="00AC7ACA" w:rsidRPr="008D7D03" w:rsidRDefault="00AC7ACA" w:rsidP="00AC7ACA">
      <w:pPr>
        <w:pStyle w:val="SingleTxtG"/>
        <w:ind w:left="2268" w:hanging="1134"/>
        <w:rPr>
          <w:lang w:val="fr-FR"/>
        </w:rPr>
      </w:pPr>
      <w:r>
        <w:rPr>
          <w:lang w:val="fr-FR"/>
        </w:rPr>
        <w:t>6.2.2</w:t>
      </w:r>
      <w:r>
        <w:rPr>
          <w:lang w:val="fr-FR"/>
        </w:rPr>
        <w:tab/>
        <w:t xml:space="preserve">Les informations fournies par le </w:t>
      </w:r>
      <w:r w:rsidRPr="004D59C8">
        <w:rPr>
          <w:lang w:val="fr-FR"/>
        </w:rPr>
        <w:t>dispositif d</w:t>
      </w:r>
      <w:r>
        <w:rPr>
          <w:lang w:val="fr-FR"/>
        </w:rPr>
        <w:t>’</w:t>
      </w:r>
      <w:r w:rsidRPr="004D59C8">
        <w:rPr>
          <w:lang w:val="fr-FR"/>
        </w:rPr>
        <w:t>assistance par affichage dans le champ de vision</w:t>
      </w:r>
      <w:r>
        <w:rPr>
          <w:lang w:val="fr-FR"/>
        </w:rPr>
        <w:t xml:space="preserve">, si leur position est réglable, doivent être placées dans </w:t>
      </w:r>
      <w:r w:rsidRPr="00057854">
        <w:rPr>
          <w:lang w:val="fr-FR"/>
        </w:rPr>
        <w:t>la position normale prévue par le constructeur ou, à défaut, dans la position médiane de la plage de réglage</w:t>
      </w:r>
      <w:r>
        <w:rPr>
          <w:lang w:val="fr-FR"/>
        </w:rPr>
        <w:t>. »</w:t>
      </w:r>
      <w:r w:rsidR="00AA2814">
        <w:rPr>
          <w:lang w:val="fr-FR"/>
        </w:rPr>
        <w:t>.</w:t>
      </w:r>
    </w:p>
    <w:p w14:paraId="5EA167C0" w14:textId="77777777" w:rsidR="00AC7ACA" w:rsidRPr="007C792E" w:rsidRDefault="00AC7ACA" w:rsidP="00C35520">
      <w:pPr>
        <w:pStyle w:val="SingleTxtG"/>
        <w:keepNext/>
        <w:rPr>
          <w:bCs/>
          <w:lang w:val="fr-FR"/>
        </w:rPr>
      </w:pPr>
      <w:r>
        <w:rPr>
          <w:i/>
          <w:iCs/>
          <w:lang w:val="fr-FR"/>
        </w:rPr>
        <w:lastRenderedPageBreak/>
        <w:t>Ajouter les nouveaux paragraphes 12.6 à 12.13</w:t>
      </w:r>
      <w:r>
        <w:rPr>
          <w:lang w:val="fr-FR"/>
        </w:rPr>
        <w:t>, libellés comme suit :</w:t>
      </w:r>
    </w:p>
    <w:p w14:paraId="78169834" w14:textId="7E9878A2" w:rsidR="00AC7ACA" w:rsidRPr="008D7D03" w:rsidRDefault="00AA2814" w:rsidP="00AC7ACA">
      <w:pPr>
        <w:pStyle w:val="SingleTxtG"/>
        <w:ind w:left="2268" w:hanging="1134"/>
        <w:rPr>
          <w:lang w:val="fr-FR"/>
        </w:rPr>
      </w:pPr>
      <w:r>
        <w:rPr>
          <w:lang w:val="fr-FR"/>
        </w:rPr>
        <w:t>« </w:t>
      </w:r>
      <w:r w:rsidR="00AC7ACA" w:rsidRPr="008D7D03">
        <w:rPr>
          <w:lang w:val="fr-FR"/>
        </w:rPr>
        <w:t>12.6</w:t>
      </w:r>
      <w:r w:rsidR="00AC7ACA" w:rsidRPr="00167FC0">
        <w:rPr>
          <w:lang w:val="fr-FR"/>
        </w:rPr>
        <w:tab/>
      </w:r>
      <w:r w:rsidR="00AC7ACA" w:rsidRPr="008D7D03">
        <w:rPr>
          <w:lang w:val="fr-FR"/>
        </w:rPr>
        <w:t>À compter de la date officielle d</w:t>
      </w:r>
      <w:r w:rsidR="00AC7ACA">
        <w:rPr>
          <w:lang w:val="fr-FR"/>
        </w:rPr>
        <w:t>’</w:t>
      </w:r>
      <w:r w:rsidR="00AC7ACA" w:rsidRPr="008D7D03">
        <w:rPr>
          <w:lang w:val="fr-FR"/>
        </w:rPr>
        <w:t>entrée en vigueur de la série 02 d</w:t>
      </w:r>
      <w:r w:rsidR="00AC7ACA">
        <w:rPr>
          <w:lang w:val="fr-FR"/>
        </w:rPr>
        <w:t>’</w:t>
      </w:r>
      <w:r w:rsidR="00AC7ACA" w:rsidRPr="008D7D03">
        <w:rPr>
          <w:lang w:val="fr-FR"/>
        </w:rPr>
        <w:t>amendements, aucune Partie contractante appliquant le présent Règlement ne pourra refuser d</w:t>
      </w:r>
      <w:r w:rsidR="00AC7ACA">
        <w:rPr>
          <w:lang w:val="fr-FR"/>
        </w:rPr>
        <w:t>’</w:t>
      </w:r>
      <w:r w:rsidR="00AC7ACA" w:rsidRPr="008D7D03">
        <w:rPr>
          <w:lang w:val="fr-FR"/>
        </w:rPr>
        <w:t>accorder ou d</w:t>
      </w:r>
      <w:r w:rsidR="00AC7ACA">
        <w:rPr>
          <w:lang w:val="fr-FR"/>
        </w:rPr>
        <w:t>’</w:t>
      </w:r>
      <w:r w:rsidR="00AC7ACA" w:rsidRPr="008D7D03">
        <w:rPr>
          <w:lang w:val="fr-FR"/>
        </w:rPr>
        <w:t>accepter une homologation de type en vertu dudit Règlement tel que modifié par ladite série.</w:t>
      </w:r>
    </w:p>
    <w:p w14:paraId="15D9EE91" w14:textId="5293A494" w:rsidR="00AC7ACA" w:rsidRPr="008D7D03" w:rsidRDefault="00AC7ACA" w:rsidP="00AC7ACA">
      <w:pPr>
        <w:pStyle w:val="SingleTxtG"/>
        <w:ind w:left="2268" w:hanging="1134"/>
        <w:rPr>
          <w:rFonts w:eastAsia="MS Mincho"/>
          <w:lang w:val="fr-FR"/>
        </w:rPr>
      </w:pPr>
      <w:r w:rsidRPr="008D7D03">
        <w:rPr>
          <w:lang w:val="fr-FR"/>
        </w:rPr>
        <w:t>12.7</w:t>
      </w:r>
      <w:r w:rsidRPr="00167FC0">
        <w:rPr>
          <w:lang w:val="fr-FR"/>
        </w:rPr>
        <w:tab/>
      </w:r>
      <w:r w:rsidRPr="00167FC0">
        <w:rPr>
          <w:lang w:val="fr-FR"/>
        </w:rPr>
        <w:tab/>
      </w:r>
      <w:r w:rsidRPr="008D7D03">
        <w:rPr>
          <w:lang w:val="fr-FR"/>
        </w:rPr>
        <w:t>À compter du 1</w:t>
      </w:r>
      <w:r w:rsidRPr="008D7D03">
        <w:rPr>
          <w:vertAlign w:val="superscript"/>
          <w:lang w:val="fr-FR"/>
        </w:rPr>
        <w:t>er</w:t>
      </w:r>
      <w:r w:rsidRPr="008D7D03">
        <w:rPr>
          <w:lang w:val="fr-FR"/>
        </w:rPr>
        <w:t> septembre 2023, les Parties contractantes appliquant le présent Règlement ne seront plus tenues d</w:t>
      </w:r>
      <w:r>
        <w:rPr>
          <w:lang w:val="fr-FR"/>
        </w:rPr>
        <w:t>’</w:t>
      </w:r>
      <w:r w:rsidRPr="008D7D03">
        <w:rPr>
          <w:lang w:val="fr-FR"/>
        </w:rPr>
        <w:t>accepter les homologations de type établies conformément aux précédentes séries d</w:t>
      </w:r>
      <w:r>
        <w:rPr>
          <w:lang w:val="fr-FR"/>
        </w:rPr>
        <w:t>’</w:t>
      </w:r>
      <w:r w:rsidRPr="008D7D03">
        <w:rPr>
          <w:lang w:val="fr-FR"/>
        </w:rPr>
        <w:t>amendements et délivrées pour la première fois après le 1</w:t>
      </w:r>
      <w:r w:rsidRPr="008D7D03">
        <w:rPr>
          <w:vertAlign w:val="superscript"/>
          <w:lang w:val="fr-FR"/>
        </w:rPr>
        <w:t>er</w:t>
      </w:r>
      <w:r w:rsidRPr="008D7D03">
        <w:rPr>
          <w:lang w:val="fr-FR"/>
        </w:rPr>
        <w:t> septembre 2023.</w:t>
      </w:r>
    </w:p>
    <w:p w14:paraId="64A1E4E6" w14:textId="03E91719" w:rsidR="00AC7ACA" w:rsidRPr="008D7D03" w:rsidRDefault="00AC7ACA" w:rsidP="00AC7ACA">
      <w:pPr>
        <w:pStyle w:val="SingleTxtG"/>
        <w:ind w:left="2268" w:hanging="1134"/>
        <w:rPr>
          <w:rFonts w:eastAsia="MS Mincho"/>
          <w:lang w:val="fr-FR"/>
        </w:rPr>
      </w:pPr>
      <w:r w:rsidRPr="008D7D03">
        <w:rPr>
          <w:lang w:val="fr-FR"/>
        </w:rPr>
        <w:t>12.8</w:t>
      </w:r>
      <w:r w:rsidRPr="00167FC0">
        <w:rPr>
          <w:lang w:val="fr-FR"/>
        </w:rPr>
        <w:tab/>
      </w:r>
      <w:r w:rsidRPr="008D7D03">
        <w:rPr>
          <w:lang w:val="fr-FR"/>
        </w:rPr>
        <w:t>Jusqu</w:t>
      </w:r>
      <w:r>
        <w:rPr>
          <w:lang w:val="fr-FR"/>
        </w:rPr>
        <w:t>’</w:t>
      </w:r>
      <w:r w:rsidRPr="008D7D03">
        <w:rPr>
          <w:lang w:val="fr-FR"/>
        </w:rPr>
        <w:t>au 1</w:t>
      </w:r>
      <w:r w:rsidRPr="008D7D03">
        <w:rPr>
          <w:vertAlign w:val="superscript"/>
          <w:lang w:val="fr-FR"/>
        </w:rPr>
        <w:t>er</w:t>
      </w:r>
      <w:r w:rsidRPr="008D7D03">
        <w:rPr>
          <w:lang w:val="fr-FR"/>
        </w:rPr>
        <w:t> septembre 2024, les Parties contractantes appliquant le présent Règlement seront tenues d</w:t>
      </w:r>
      <w:r>
        <w:rPr>
          <w:lang w:val="fr-FR"/>
        </w:rPr>
        <w:t>’</w:t>
      </w:r>
      <w:r w:rsidRPr="008D7D03">
        <w:rPr>
          <w:lang w:val="fr-FR"/>
        </w:rPr>
        <w:t>accepter les homologations de type établies conformément aux précédentes séries d</w:t>
      </w:r>
      <w:r>
        <w:rPr>
          <w:lang w:val="fr-FR"/>
        </w:rPr>
        <w:t>’</w:t>
      </w:r>
      <w:r w:rsidRPr="008D7D03">
        <w:rPr>
          <w:lang w:val="fr-FR"/>
        </w:rPr>
        <w:t>amendements et délivrées pour la première fois avant le 1</w:t>
      </w:r>
      <w:r w:rsidRPr="008D7D03">
        <w:rPr>
          <w:vertAlign w:val="superscript"/>
          <w:lang w:val="fr-FR"/>
        </w:rPr>
        <w:t>er</w:t>
      </w:r>
      <w:r w:rsidRPr="008D7D03">
        <w:rPr>
          <w:lang w:val="fr-FR"/>
        </w:rPr>
        <w:t> septembre 2023.</w:t>
      </w:r>
    </w:p>
    <w:p w14:paraId="31D73C8C" w14:textId="3B195893" w:rsidR="00AC7ACA" w:rsidRDefault="00AC7ACA" w:rsidP="00AC7ACA">
      <w:pPr>
        <w:pStyle w:val="SingleTxtG"/>
        <w:ind w:left="2268" w:hanging="1134"/>
        <w:rPr>
          <w:lang w:val="fr-FR"/>
        </w:rPr>
      </w:pPr>
      <w:r w:rsidRPr="008D7D03">
        <w:rPr>
          <w:lang w:val="fr-FR"/>
        </w:rPr>
        <w:t>12.9</w:t>
      </w:r>
      <w:r w:rsidRPr="00167FC0">
        <w:rPr>
          <w:lang w:val="fr-FR"/>
        </w:rPr>
        <w:tab/>
      </w:r>
      <w:r w:rsidRPr="008D7D03">
        <w:rPr>
          <w:lang w:val="fr-FR"/>
        </w:rPr>
        <w:t>À compter du 1</w:t>
      </w:r>
      <w:r w:rsidRPr="008D7D03">
        <w:rPr>
          <w:vertAlign w:val="superscript"/>
          <w:lang w:val="fr-FR"/>
        </w:rPr>
        <w:t>er</w:t>
      </w:r>
      <w:r w:rsidRPr="008D7D03">
        <w:rPr>
          <w:lang w:val="fr-FR"/>
        </w:rPr>
        <w:t> septembre 2024, les Parties contractantes appliquant le présent Règlement ne seront plus tenues d</w:t>
      </w:r>
      <w:r>
        <w:rPr>
          <w:lang w:val="fr-FR"/>
        </w:rPr>
        <w:t>’</w:t>
      </w:r>
      <w:r w:rsidRPr="008D7D03">
        <w:rPr>
          <w:lang w:val="fr-FR"/>
        </w:rPr>
        <w:t>accepter les homologations de type établies conformément aux précédentes séries d</w:t>
      </w:r>
      <w:r>
        <w:rPr>
          <w:lang w:val="fr-FR"/>
        </w:rPr>
        <w:t>’</w:t>
      </w:r>
      <w:r w:rsidRPr="008D7D03">
        <w:rPr>
          <w:lang w:val="fr-FR"/>
        </w:rPr>
        <w:t>amendements audit Règlement.</w:t>
      </w:r>
    </w:p>
    <w:p w14:paraId="293A9D67" w14:textId="67F4E329" w:rsidR="00AC7ACA" w:rsidRPr="008D7D03" w:rsidRDefault="00AC7ACA" w:rsidP="00AC7ACA">
      <w:pPr>
        <w:pStyle w:val="SingleTxtG"/>
        <w:ind w:left="2268" w:hanging="1134"/>
        <w:rPr>
          <w:lang w:val="fr-FR"/>
        </w:rPr>
      </w:pPr>
      <w:r>
        <w:rPr>
          <w:lang w:val="fr-FR"/>
        </w:rPr>
        <w:t>12.10</w:t>
      </w:r>
      <w:r>
        <w:rPr>
          <w:lang w:val="fr-FR"/>
        </w:rPr>
        <w:tab/>
        <w:t>Nonobstant les dispositions transitoires ci-dessus, les Parties contractantes qui commencent à appliquer le présent Règlement après la date d</w:t>
      </w:r>
      <w:r>
        <w:rPr>
          <w:lang w:val="fr-FR"/>
        </w:rPr>
        <w:t>’</w:t>
      </w:r>
      <w:r>
        <w:rPr>
          <w:lang w:val="fr-FR"/>
        </w:rPr>
        <w:t>entrée en vigueur de la série d</w:t>
      </w:r>
      <w:r>
        <w:rPr>
          <w:lang w:val="fr-FR"/>
        </w:rPr>
        <w:t>’</w:t>
      </w:r>
      <w:r>
        <w:rPr>
          <w:lang w:val="fr-FR"/>
        </w:rPr>
        <w:t>amendements la plus récente ne sont pas tenues d</w:t>
      </w:r>
      <w:r>
        <w:rPr>
          <w:lang w:val="fr-FR"/>
        </w:rPr>
        <w:t>’</w:t>
      </w:r>
      <w:r>
        <w:rPr>
          <w:lang w:val="fr-FR"/>
        </w:rPr>
        <w:t>accepter les homologations de type délivrées conformément à l</w:t>
      </w:r>
      <w:r>
        <w:rPr>
          <w:lang w:val="fr-FR"/>
        </w:rPr>
        <w:t>’</w:t>
      </w:r>
      <w:r>
        <w:rPr>
          <w:lang w:val="fr-FR"/>
        </w:rPr>
        <w:t>une quelconque des précédentes séries d</w:t>
      </w:r>
      <w:r>
        <w:rPr>
          <w:lang w:val="fr-FR"/>
        </w:rPr>
        <w:t>’</w:t>
      </w:r>
      <w:r>
        <w:rPr>
          <w:lang w:val="fr-FR"/>
        </w:rPr>
        <w:t>amendements audit Règlement.</w:t>
      </w:r>
    </w:p>
    <w:p w14:paraId="48B54A64" w14:textId="2B0094CB" w:rsidR="00AC7ACA" w:rsidRPr="008D7D03" w:rsidRDefault="00AC7ACA" w:rsidP="00AC7ACA">
      <w:pPr>
        <w:pStyle w:val="SingleTxtG"/>
        <w:ind w:left="2268" w:hanging="1134"/>
        <w:rPr>
          <w:lang w:val="fr-FR"/>
        </w:rPr>
      </w:pPr>
      <w:r w:rsidRPr="008D7D03">
        <w:rPr>
          <w:lang w:val="fr-FR"/>
        </w:rPr>
        <w:t>12.11</w:t>
      </w:r>
      <w:r w:rsidRPr="00657934">
        <w:rPr>
          <w:lang w:val="fr-FR"/>
        </w:rPr>
        <w:tab/>
      </w:r>
      <w:r w:rsidRPr="008D7D03">
        <w:rPr>
          <w:lang w:val="fr-FR"/>
        </w:rPr>
        <w:t xml:space="preserve">Nonobstant les dispositions du paragraphe 12.4, les Parties contractantes </w:t>
      </w:r>
      <w:r w:rsidRPr="008D7D03">
        <w:rPr>
          <w:spacing w:val="-2"/>
          <w:lang w:val="fr-FR"/>
        </w:rPr>
        <w:t>appliquant le présent Règlement continueront d</w:t>
      </w:r>
      <w:r>
        <w:rPr>
          <w:spacing w:val="-2"/>
          <w:lang w:val="fr-FR"/>
        </w:rPr>
        <w:t>’</w:t>
      </w:r>
      <w:r w:rsidRPr="008D7D03">
        <w:rPr>
          <w:spacing w:val="-2"/>
          <w:lang w:val="fr-FR"/>
        </w:rPr>
        <w:t>accepter les homologations</w:t>
      </w:r>
      <w:r w:rsidRPr="008D7D03">
        <w:rPr>
          <w:lang w:val="fr-FR"/>
        </w:rPr>
        <w:t xml:space="preserve"> de type délivrées au titre des précédentes séries d</w:t>
      </w:r>
      <w:r>
        <w:rPr>
          <w:lang w:val="fr-FR"/>
        </w:rPr>
        <w:t>’</w:t>
      </w:r>
      <w:r w:rsidRPr="008D7D03">
        <w:rPr>
          <w:lang w:val="fr-FR"/>
        </w:rPr>
        <w:t>amendements audit Règlement pour les véhicules ou les systèmes pour véhicules non concernés par les modifications apportées par la série 02 d</w:t>
      </w:r>
      <w:r>
        <w:rPr>
          <w:lang w:val="fr-FR"/>
        </w:rPr>
        <w:t>’</w:t>
      </w:r>
      <w:r w:rsidRPr="008D7D03">
        <w:rPr>
          <w:lang w:val="fr-FR"/>
        </w:rPr>
        <w:t>amendements.</w:t>
      </w:r>
    </w:p>
    <w:p w14:paraId="6DF3AD3A" w14:textId="397419E9" w:rsidR="00AC7ACA" w:rsidRDefault="00AC7ACA" w:rsidP="00AC7ACA">
      <w:pPr>
        <w:pStyle w:val="SingleTxtG"/>
        <w:ind w:left="2268" w:hanging="1134"/>
        <w:rPr>
          <w:lang w:val="fr-FR"/>
        </w:rPr>
      </w:pPr>
      <w:r>
        <w:rPr>
          <w:lang w:val="fr-FR"/>
        </w:rPr>
        <w:t>12.12</w:t>
      </w:r>
      <w:r>
        <w:rPr>
          <w:lang w:val="fr-FR"/>
        </w:rPr>
        <w:tab/>
        <w:t>Les Parties contractantes appliquant le présent Règlement peuvent délivrer des homologations de type en vertu de l</w:t>
      </w:r>
      <w:r>
        <w:rPr>
          <w:lang w:val="fr-FR"/>
        </w:rPr>
        <w:t>’</w:t>
      </w:r>
      <w:r>
        <w:rPr>
          <w:lang w:val="fr-FR"/>
        </w:rPr>
        <w:t>une quelconque des séries précédentes d</w:t>
      </w:r>
      <w:r>
        <w:rPr>
          <w:lang w:val="fr-FR"/>
        </w:rPr>
        <w:t>’</w:t>
      </w:r>
      <w:r>
        <w:rPr>
          <w:lang w:val="fr-FR"/>
        </w:rPr>
        <w:t>amendements audit Règlement.</w:t>
      </w:r>
    </w:p>
    <w:p w14:paraId="38496E2D" w14:textId="42FD3CFF" w:rsidR="00AC7ACA" w:rsidRPr="007C792E" w:rsidRDefault="00AC7ACA" w:rsidP="00AC7ACA">
      <w:pPr>
        <w:pStyle w:val="SingleTxtG"/>
        <w:ind w:left="2268" w:hanging="1134"/>
        <w:rPr>
          <w:rFonts w:eastAsia="MS Mincho"/>
          <w:b/>
          <w:snapToGrid w:val="0"/>
          <w:lang w:val="fr-FR"/>
        </w:rPr>
      </w:pPr>
      <w:r>
        <w:rPr>
          <w:lang w:val="fr-FR"/>
        </w:rPr>
        <w:t>12.13</w:t>
      </w:r>
      <w:r>
        <w:rPr>
          <w:lang w:val="fr-FR"/>
        </w:rPr>
        <w:tab/>
        <w:t>Les Parties contractantes appliquant le présent Règlement continueront à accorder des extensions pour les homologations de type établies conformément à l</w:t>
      </w:r>
      <w:r>
        <w:rPr>
          <w:lang w:val="fr-FR"/>
        </w:rPr>
        <w:t>’</w:t>
      </w:r>
      <w:r>
        <w:rPr>
          <w:lang w:val="fr-FR"/>
        </w:rPr>
        <w:t>une quelconque de précédentes séries d</w:t>
      </w:r>
      <w:r>
        <w:rPr>
          <w:lang w:val="fr-FR"/>
        </w:rPr>
        <w:t>’</w:t>
      </w:r>
      <w:r>
        <w:rPr>
          <w:lang w:val="fr-FR"/>
        </w:rPr>
        <w:t>amendements audit Règlement.</w:t>
      </w:r>
      <w:r w:rsidRPr="00B26855">
        <w:rPr>
          <w:lang w:val="fr-FR"/>
        </w:rPr>
        <w:t> ».</w:t>
      </w:r>
    </w:p>
    <w:p w14:paraId="74148199" w14:textId="77777777" w:rsidR="00AC7ACA" w:rsidRPr="007C792E" w:rsidRDefault="00AC7ACA" w:rsidP="00AA2814">
      <w:pPr>
        <w:pStyle w:val="SingleTxtG"/>
        <w:keepNext/>
        <w:rPr>
          <w:bCs/>
          <w:lang w:val="fr-FR"/>
        </w:rPr>
      </w:pPr>
      <w:r>
        <w:rPr>
          <w:i/>
          <w:iCs/>
          <w:lang w:val="fr-FR"/>
        </w:rPr>
        <w:t>Annexe 2</w:t>
      </w:r>
      <w:r>
        <w:rPr>
          <w:lang w:val="fr-FR"/>
        </w:rPr>
        <w:t>, lire :</w:t>
      </w:r>
    </w:p>
    <w:p w14:paraId="51BCAED6" w14:textId="77777777" w:rsidR="00AC7ACA" w:rsidRPr="007C792E" w:rsidRDefault="00AC7ACA" w:rsidP="00AC7ACA">
      <w:pPr>
        <w:pStyle w:val="HChG"/>
        <w:rPr>
          <w:lang w:val="fr-FR"/>
        </w:rPr>
      </w:pPr>
      <w:bookmarkStart w:id="0" w:name="_Toc108926532"/>
      <w:bookmarkStart w:id="1" w:name="_Toc108926533"/>
      <w:r w:rsidRPr="00B26855">
        <w:rPr>
          <w:b w:val="0"/>
          <w:bCs/>
          <w:sz w:val="20"/>
          <w:lang w:val="fr-FR"/>
        </w:rPr>
        <w:t>« </w:t>
      </w:r>
      <w:r>
        <w:rPr>
          <w:bCs/>
          <w:lang w:val="fr-FR"/>
        </w:rPr>
        <w:t>Annexe 2</w:t>
      </w:r>
      <w:bookmarkEnd w:id="0"/>
    </w:p>
    <w:p w14:paraId="4E8C2314" w14:textId="6021090A" w:rsidR="00AC7ACA" w:rsidRPr="007C792E" w:rsidRDefault="00AC7ACA" w:rsidP="00AC7ACA">
      <w:pPr>
        <w:pStyle w:val="HChG"/>
        <w:rPr>
          <w:lang w:val="fr-FR"/>
        </w:rPr>
      </w:pPr>
      <w:r>
        <w:rPr>
          <w:lang w:val="fr-FR"/>
        </w:rPr>
        <w:tab/>
      </w:r>
      <w:r>
        <w:rPr>
          <w:lang w:val="fr-FR"/>
        </w:rPr>
        <w:tab/>
      </w:r>
      <w:r>
        <w:rPr>
          <w:bCs/>
          <w:lang w:val="fr-FR"/>
        </w:rPr>
        <w:t>Exemples de marques d</w:t>
      </w:r>
      <w:r>
        <w:rPr>
          <w:bCs/>
          <w:lang w:val="fr-FR"/>
        </w:rPr>
        <w:t>’</w:t>
      </w:r>
      <w:r>
        <w:rPr>
          <w:bCs/>
          <w:lang w:val="fr-FR"/>
        </w:rPr>
        <w:t>homologation</w:t>
      </w:r>
      <w:bookmarkEnd w:id="1"/>
    </w:p>
    <w:p w14:paraId="712AA036" w14:textId="77777777" w:rsidR="00AC7ACA" w:rsidRPr="00932550" w:rsidRDefault="00AC7ACA" w:rsidP="00C35520">
      <w:pPr>
        <w:pStyle w:val="SingleTxtG"/>
        <w:rPr>
          <w:lang w:val="fr-FR"/>
        </w:rPr>
      </w:pPr>
      <w:r>
        <w:rPr>
          <w:lang w:val="fr-FR"/>
        </w:rPr>
        <w:t>(Voir les paragraphes 4.4 à 4.4.2 du présent Règlement)</w:t>
      </w:r>
    </w:p>
    <w:p w14:paraId="46D27422" w14:textId="6BE03A3A" w:rsidR="00AA2814" w:rsidRPr="005A4630" w:rsidRDefault="00AA2814" w:rsidP="00AA2814">
      <w:pPr>
        <w:pStyle w:val="SingleTxtG"/>
        <w:jc w:val="center"/>
        <w:rPr>
          <w:sz w:val="24"/>
        </w:rPr>
      </w:pPr>
      <w:r>
        <w:rPr>
          <w:noProof/>
          <w:lang w:val="nl-NL" w:eastAsia="nl-NL"/>
        </w:rPr>
        <mc:AlternateContent>
          <mc:Choice Requires="wps">
            <w:drawing>
              <wp:anchor distT="0" distB="0" distL="114300" distR="114300" simplePos="0" relativeHeight="251665408" behindDoc="0" locked="0" layoutInCell="1" allowOverlap="1" wp14:anchorId="12BE0410" wp14:editId="1BBE3ABE">
                <wp:simplePos x="0" y="0"/>
                <wp:positionH relativeFrom="column">
                  <wp:posOffset>2873419</wp:posOffset>
                </wp:positionH>
                <wp:positionV relativeFrom="paragraph">
                  <wp:posOffset>293370</wp:posOffset>
                </wp:positionV>
                <wp:extent cx="1485900" cy="4572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2F81D" w14:textId="77777777" w:rsidR="00AA2814" w:rsidRDefault="00AA2814" w:rsidP="00AA2814">
                            <w:pPr>
                              <w:rPr>
                                <w:sz w:val="32"/>
                              </w:rPr>
                            </w:pPr>
                            <w:r>
                              <w:rPr>
                                <w:sz w:val="32"/>
                              </w:rPr>
                              <w:t>125R - 02185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E0410" id="_x0000_t202" coordsize="21600,21600" o:spt="202" path="m,l,21600r21600,l21600,xe">
                <v:stroke joinstyle="miter"/>
                <v:path gradientshapeok="t" o:connecttype="rect"/>
              </v:shapetype>
              <v:shape id="Text Box 10" o:spid="_x0000_s1026" type="#_x0000_t202" style="position:absolute;left:0;text-align:left;margin-left:226.25pt;margin-top:23.1pt;width:117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" stroked="f">
                <v:textbox>
                  <w:txbxContent>
                    <w:p w14:paraId="6F02F81D" w14:textId="77777777" w:rsidR="00AA2814" w:rsidRDefault="00AA2814" w:rsidP="00AA2814">
                      <w:pPr>
                        <w:rPr>
                          <w:sz w:val="32"/>
                        </w:rPr>
                      </w:pPr>
                      <w:r>
                        <w:rPr>
                          <w:sz w:val="32"/>
                        </w:rPr>
                        <w:t>125R - 02185</w:t>
                      </w:r>
                    </w:p>
                  </w:txbxContent>
                </v:textbox>
              </v:shape>
            </w:pict>
          </mc:Fallback>
        </mc:AlternateContent>
      </w:r>
      <w:r>
        <w:rPr>
          <w:noProof/>
          <w:sz w:val="24"/>
          <w:szCs w:val="24"/>
          <w:lang w:val="en-US"/>
        </w:rPr>
        <w:drawing>
          <wp:inline distT="0" distB="0" distL="0" distR="0" wp14:anchorId="28750CCF" wp14:editId="19D53CA8">
            <wp:extent cx="3999865" cy="850265"/>
            <wp:effectExtent l="0" t="0" r="635" b="698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9865" cy="850265"/>
                    </a:xfrm>
                    <a:prstGeom prst="rect">
                      <a:avLst/>
                    </a:prstGeom>
                    <a:noFill/>
                  </pic:spPr>
                </pic:pic>
              </a:graphicData>
            </a:graphic>
          </wp:inline>
        </w:drawing>
      </w:r>
    </w:p>
    <w:p w14:paraId="44EB8FA4" w14:textId="77777777" w:rsidR="00AC7ACA" w:rsidRPr="007C792E" w:rsidRDefault="00AC7ACA" w:rsidP="00AC7ACA">
      <w:pPr>
        <w:suppressAutoHyphens w:val="0"/>
        <w:spacing w:line="240" w:lineRule="auto"/>
        <w:ind w:left="7200"/>
        <w:rPr>
          <w:lang w:val="fr-FR"/>
        </w:rPr>
      </w:pPr>
      <w:r>
        <w:rPr>
          <w:lang w:val="fr-FR"/>
        </w:rPr>
        <w:t>a = 8 mm min</w:t>
      </w:r>
    </w:p>
    <w:p w14:paraId="1BF25F98" w14:textId="42CBF804" w:rsidR="00AC7ACA" w:rsidRPr="007C792E" w:rsidRDefault="00AC7ACA" w:rsidP="00AC7ACA">
      <w:pPr>
        <w:pStyle w:val="SingleTxtG"/>
        <w:spacing w:before="120"/>
        <w:ind w:firstLine="567"/>
        <w:rPr>
          <w:lang w:val="fr-FR"/>
        </w:rPr>
      </w:pPr>
      <w:r>
        <w:rPr>
          <w:lang w:val="fr-FR"/>
        </w:rPr>
        <w:t>La marque d</w:t>
      </w:r>
      <w:r>
        <w:rPr>
          <w:lang w:val="fr-FR"/>
        </w:rPr>
        <w:t>’</w:t>
      </w:r>
      <w:r>
        <w:rPr>
          <w:lang w:val="fr-FR"/>
        </w:rPr>
        <w:t>homologation ci-dessus, apposée sur un véhicule, indique que le type de ce véhicule a été homologué en Belgique (E6) en ce qui concerne le champ de vision vers l</w:t>
      </w:r>
      <w:r>
        <w:rPr>
          <w:lang w:val="fr-FR"/>
        </w:rPr>
        <w:t>’</w:t>
      </w:r>
      <w:r>
        <w:rPr>
          <w:lang w:val="fr-FR"/>
        </w:rPr>
        <w:t>avant du conducteur, en vertu du Règlement ONU n</w:t>
      </w:r>
      <w:r>
        <w:rPr>
          <w:vertAlign w:val="superscript"/>
          <w:lang w:val="fr-FR"/>
        </w:rPr>
        <w:t>o</w:t>
      </w:r>
      <w:r>
        <w:rPr>
          <w:lang w:val="fr-FR"/>
        </w:rPr>
        <w:t> 125. Les deux premiers chiffres du numéro d</w:t>
      </w:r>
      <w:r>
        <w:rPr>
          <w:lang w:val="fr-FR"/>
        </w:rPr>
        <w:t>’</w:t>
      </w:r>
      <w:r>
        <w:rPr>
          <w:lang w:val="fr-FR"/>
        </w:rPr>
        <w:t>homologation indiquent que l</w:t>
      </w:r>
      <w:r>
        <w:rPr>
          <w:lang w:val="fr-FR"/>
        </w:rPr>
        <w:t>’</w:t>
      </w:r>
      <w:r>
        <w:rPr>
          <w:lang w:val="fr-FR"/>
        </w:rPr>
        <w:t>homologation a été délivrée conformément aux dispositions du Règlement ONU n</w:t>
      </w:r>
      <w:r>
        <w:rPr>
          <w:vertAlign w:val="superscript"/>
          <w:lang w:val="fr-FR"/>
        </w:rPr>
        <w:t>o</w:t>
      </w:r>
      <w:r>
        <w:rPr>
          <w:lang w:val="fr-FR"/>
        </w:rPr>
        <w:t> 125 tel que modifié par la série </w:t>
      </w:r>
      <w:r w:rsidRPr="008D7D03">
        <w:rPr>
          <w:lang w:val="fr-FR"/>
        </w:rPr>
        <w:t>02</w:t>
      </w:r>
      <w:r>
        <w:rPr>
          <w:lang w:val="fr-FR"/>
        </w:rPr>
        <w:t xml:space="preserve"> d</w:t>
      </w:r>
      <w:r>
        <w:rPr>
          <w:lang w:val="fr-FR"/>
        </w:rPr>
        <w:t>’</w:t>
      </w:r>
      <w:r>
        <w:rPr>
          <w:lang w:val="fr-FR"/>
        </w:rPr>
        <w:t>amendements. ».</w:t>
      </w:r>
    </w:p>
    <w:p w14:paraId="3C4A1BF7" w14:textId="77777777" w:rsidR="00AC7ACA" w:rsidRPr="007C792E" w:rsidRDefault="00AC7ACA" w:rsidP="00AC7ACA">
      <w:pPr>
        <w:pStyle w:val="SingleTxtG"/>
        <w:rPr>
          <w:lang w:val="fr-FR"/>
        </w:rPr>
      </w:pPr>
      <w:r>
        <w:rPr>
          <w:i/>
          <w:iCs/>
          <w:lang w:val="fr-FR"/>
        </w:rPr>
        <w:lastRenderedPageBreak/>
        <w:t>Ajouter la nouvelle annexe 5</w:t>
      </w:r>
      <w:r>
        <w:rPr>
          <w:lang w:val="fr-FR"/>
        </w:rPr>
        <w:t>, libellée comme suit :</w:t>
      </w:r>
    </w:p>
    <w:p w14:paraId="021FB318" w14:textId="77777777" w:rsidR="00AC7ACA" w:rsidRPr="007C792E" w:rsidRDefault="00AC7ACA" w:rsidP="00AC7ACA">
      <w:pPr>
        <w:pStyle w:val="HChG"/>
        <w:rPr>
          <w:lang w:val="fr-FR"/>
        </w:rPr>
      </w:pPr>
      <w:r w:rsidRPr="00B26855">
        <w:rPr>
          <w:b w:val="0"/>
          <w:bCs/>
          <w:sz w:val="20"/>
          <w:lang w:val="fr-FR"/>
        </w:rPr>
        <w:t>« </w:t>
      </w:r>
      <w:r>
        <w:rPr>
          <w:bCs/>
          <w:lang w:val="fr-FR"/>
        </w:rPr>
        <w:t>Annexe 5</w:t>
      </w:r>
    </w:p>
    <w:p w14:paraId="15264376" w14:textId="7BCC6AA0" w:rsidR="00AC7ACA" w:rsidRPr="007C792E" w:rsidRDefault="00AC7ACA" w:rsidP="00AC7ACA">
      <w:pPr>
        <w:pStyle w:val="HChG"/>
        <w:rPr>
          <w:lang w:val="fr-FR"/>
        </w:rPr>
      </w:pPr>
      <w:r>
        <w:rPr>
          <w:lang w:val="fr-FR"/>
        </w:rPr>
        <w:tab/>
      </w:r>
      <w:r>
        <w:rPr>
          <w:lang w:val="fr-FR"/>
        </w:rPr>
        <w:tab/>
      </w:r>
      <w:r>
        <w:rPr>
          <w:bCs/>
          <w:lang w:val="fr-FR"/>
        </w:rPr>
        <w:t>Dispositif d</w:t>
      </w:r>
      <w:r>
        <w:rPr>
          <w:bCs/>
          <w:lang w:val="fr-FR"/>
        </w:rPr>
        <w:t>’</w:t>
      </w:r>
      <w:r>
        <w:rPr>
          <w:bCs/>
          <w:lang w:val="fr-FR"/>
        </w:rPr>
        <w:t>assistance par affichage dans le champ de vision</w:t>
      </w:r>
    </w:p>
    <w:p w14:paraId="77F6D1FE" w14:textId="5E2723FF" w:rsidR="00AC7ACA" w:rsidRPr="008D7D03" w:rsidRDefault="00AC7ACA" w:rsidP="00AC7ACA">
      <w:pPr>
        <w:pStyle w:val="SingleTxtG"/>
      </w:pPr>
      <w:r w:rsidRPr="008D7D03">
        <w:t>Exemples d</w:t>
      </w:r>
      <w:r>
        <w:t>’</w:t>
      </w:r>
      <w:r w:rsidRPr="008D7D03">
        <w:t>avertissements, de mises en évidence ou d</w:t>
      </w:r>
      <w:r>
        <w:t>’</w:t>
      </w:r>
      <w:r w:rsidRPr="008D7D03">
        <w:t>informations au sens du paragraphe 5.3.5</w:t>
      </w:r>
      <w:r w:rsidR="00F716CD">
        <w:t>.1 </w:t>
      </w:r>
      <w:r w:rsidRPr="008D7D03">
        <w:t>:</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91"/>
        <w:gridCol w:w="3680"/>
      </w:tblGrid>
      <w:tr w:rsidR="00AC7ACA" w:rsidRPr="002144A3" w14:paraId="4DDD6934" w14:textId="77777777" w:rsidTr="00F716CD">
        <w:tc>
          <w:tcPr>
            <w:tcW w:w="3686" w:type="dxa"/>
            <w:shd w:val="clear" w:color="auto" w:fill="auto"/>
          </w:tcPr>
          <w:p w14:paraId="52E30318" w14:textId="77777777" w:rsidR="00AC7ACA" w:rsidRPr="00F716CD" w:rsidRDefault="00AC7ACA" w:rsidP="00F716CD">
            <w:pPr>
              <w:pStyle w:val="Para"/>
              <w:spacing w:before="80" w:after="80" w:line="200" w:lineRule="exact"/>
              <w:ind w:left="57" w:right="275" w:firstLine="0"/>
              <w:jc w:val="left"/>
              <w:rPr>
                <w:i/>
                <w:iCs/>
                <w:sz w:val="16"/>
                <w:szCs w:val="16"/>
                <w:lang w:val="fr-FR"/>
              </w:rPr>
            </w:pPr>
          </w:p>
        </w:tc>
        <w:tc>
          <w:tcPr>
            <w:tcW w:w="3675" w:type="dxa"/>
            <w:shd w:val="clear" w:color="auto" w:fill="auto"/>
          </w:tcPr>
          <w:p w14:paraId="69FA9971" w14:textId="77777777" w:rsidR="00AC7ACA" w:rsidRPr="00F716CD" w:rsidRDefault="00AC7ACA" w:rsidP="00F716CD">
            <w:pPr>
              <w:pStyle w:val="Para"/>
              <w:tabs>
                <w:tab w:val="left" w:pos="1595"/>
              </w:tabs>
              <w:spacing w:before="80" w:after="80" w:line="200" w:lineRule="exact"/>
              <w:ind w:left="57" w:right="0" w:firstLine="0"/>
              <w:jc w:val="left"/>
              <w:rPr>
                <w:i/>
                <w:iCs/>
                <w:sz w:val="16"/>
                <w:szCs w:val="16"/>
              </w:rPr>
            </w:pPr>
            <w:r w:rsidRPr="00F716CD">
              <w:rPr>
                <w:i/>
                <w:iCs/>
                <w:sz w:val="16"/>
                <w:szCs w:val="16"/>
                <w:lang w:val="fr-FR"/>
              </w:rPr>
              <w:t>Exemples</w:t>
            </w:r>
          </w:p>
        </w:tc>
      </w:tr>
      <w:tr w:rsidR="00AC7ACA" w:rsidRPr="002144A3" w14:paraId="21B234BA" w14:textId="77777777" w:rsidTr="00F716CD">
        <w:tc>
          <w:tcPr>
            <w:tcW w:w="3686" w:type="dxa"/>
            <w:shd w:val="clear" w:color="auto" w:fill="auto"/>
          </w:tcPr>
          <w:p w14:paraId="4219D1F9" w14:textId="0141121D" w:rsidR="00AC7ACA" w:rsidRPr="008D7D03" w:rsidRDefault="00AC7ACA" w:rsidP="00F716CD">
            <w:pPr>
              <w:pStyle w:val="Para"/>
              <w:spacing w:before="40" w:after="40"/>
              <w:ind w:left="57" w:right="275" w:firstLine="0"/>
              <w:jc w:val="left"/>
              <w:rPr>
                <w:lang w:val="fr-FR"/>
              </w:rPr>
            </w:pPr>
            <w:r w:rsidRPr="008D7D03">
              <w:rPr>
                <w:lang w:val="fr-FR"/>
              </w:rPr>
              <w:t>Avertissement/mise en évidence</w:t>
            </w:r>
            <w:r w:rsidR="00F716CD">
              <w:rPr>
                <w:lang w:val="fr-FR"/>
              </w:rPr>
              <w:t> </w:t>
            </w:r>
            <w:r w:rsidRPr="008D7D03">
              <w:rPr>
                <w:lang w:val="fr-FR"/>
              </w:rPr>
              <w:t>: cas de situation dangereuse liée à la circulation</w:t>
            </w:r>
          </w:p>
        </w:tc>
        <w:tc>
          <w:tcPr>
            <w:tcW w:w="3675" w:type="dxa"/>
            <w:shd w:val="clear" w:color="auto" w:fill="auto"/>
          </w:tcPr>
          <w:p w14:paraId="73990E60" w14:textId="77777777" w:rsidR="00AC7ACA" w:rsidRPr="008D7D03" w:rsidRDefault="00AC7ACA" w:rsidP="00F716CD">
            <w:pPr>
              <w:pStyle w:val="Para"/>
              <w:tabs>
                <w:tab w:val="left" w:pos="1595"/>
              </w:tabs>
              <w:spacing w:before="40" w:after="40"/>
              <w:ind w:left="57" w:right="0" w:firstLine="0"/>
              <w:jc w:val="left"/>
              <w:rPr>
                <w:lang w:val="fr-FR"/>
              </w:rPr>
            </w:pPr>
            <w:r w:rsidRPr="008D7D03">
              <w:rPr>
                <w:lang w:val="fr-FR"/>
              </w:rPr>
              <w:t>Freinage brusque</w:t>
            </w:r>
          </w:p>
          <w:p w14:paraId="51C97FAC" w14:textId="26FAF247" w:rsidR="00AC7ACA" w:rsidRDefault="00AC7ACA" w:rsidP="00F716CD">
            <w:pPr>
              <w:pStyle w:val="Para"/>
              <w:tabs>
                <w:tab w:val="left" w:pos="1595"/>
              </w:tabs>
              <w:spacing w:before="40" w:after="40"/>
              <w:ind w:left="57" w:right="0" w:firstLine="0"/>
              <w:jc w:val="left"/>
              <w:rPr>
                <w:lang w:val="fr-FR"/>
              </w:rPr>
            </w:pPr>
            <w:r w:rsidRPr="008D7D03">
              <w:rPr>
                <w:lang w:val="fr-FR"/>
              </w:rPr>
              <w:t>Véhicules venant en sens inverse au moment d</w:t>
            </w:r>
            <w:r>
              <w:rPr>
                <w:lang w:val="fr-FR"/>
              </w:rPr>
              <w:t>’</w:t>
            </w:r>
            <w:r w:rsidRPr="008D7D03">
              <w:rPr>
                <w:lang w:val="fr-FR"/>
              </w:rPr>
              <w:t>effectuer un virage</w:t>
            </w:r>
          </w:p>
          <w:p w14:paraId="3A33BAA2" w14:textId="77777777" w:rsidR="00AC7ACA" w:rsidRPr="008D7D03" w:rsidRDefault="00AC7ACA" w:rsidP="00F716CD">
            <w:pPr>
              <w:pStyle w:val="Para"/>
              <w:tabs>
                <w:tab w:val="left" w:pos="1595"/>
              </w:tabs>
              <w:spacing w:before="40" w:after="40"/>
              <w:ind w:left="57" w:right="0" w:firstLine="0"/>
              <w:jc w:val="left"/>
              <w:rPr>
                <w:lang w:val="fr-FR"/>
              </w:rPr>
            </w:pPr>
            <w:r>
              <w:rPr>
                <w:lang w:val="fr-FR"/>
              </w:rPr>
              <w:t>Embouteillage ou véhicule en panne</w:t>
            </w:r>
          </w:p>
          <w:p w14:paraId="6D8BA7D3" w14:textId="77777777" w:rsidR="00AC7ACA" w:rsidRPr="008D7D03" w:rsidRDefault="00AC7ACA" w:rsidP="00F716CD">
            <w:pPr>
              <w:pStyle w:val="Para"/>
              <w:tabs>
                <w:tab w:val="left" w:pos="1595"/>
              </w:tabs>
              <w:spacing w:before="40" w:after="40"/>
              <w:ind w:left="57" w:right="0" w:firstLine="0"/>
              <w:jc w:val="left"/>
              <w:rPr>
                <w:lang w:val="fr-FR"/>
              </w:rPr>
            </w:pPr>
            <w:r w:rsidRPr="008D7D03">
              <w:rPr>
                <w:lang w:val="fr-FR"/>
              </w:rPr>
              <w:t>Véhicules quittant la voie ou entrant dans la même voie de circulation</w:t>
            </w:r>
          </w:p>
        </w:tc>
      </w:tr>
      <w:tr w:rsidR="00AC7ACA" w:rsidRPr="002144A3" w14:paraId="6EAB1535" w14:textId="77777777" w:rsidTr="00F716CD">
        <w:tc>
          <w:tcPr>
            <w:tcW w:w="3686" w:type="dxa"/>
            <w:shd w:val="clear" w:color="auto" w:fill="auto"/>
          </w:tcPr>
          <w:p w14:paraId="4C9D8CC6" w14:textId="6E282E96" w:rsidR="00AC7ACA" w:rsidRPr="008D7D03" w:rsidRDefault="00AC7ACA" w:rsidP="00F716CD">
            <w:pPr>
              <w:pStyle w:val="Para"/>
              <w:spacing w:before="40" w:after="40"/>
              <w:ind w:left="57" w:right="275" w:firstLine="0"/>
              <w:jc w:val="left"/>
              <w:rPr>
                <w:lang w:val="fr-FR"/>
              </w:rPr>
            </w:pPr>
            <w:r w:rsidRPr="008D7D03">
              <w:rPr>
                <w:lang w:val="fr-FR"/>
              </w:rPr>
              <w:t>Avertissement/mise en évidence</w:t>
            </w:r>
            <w:r w:rsidR="00F716CD">
              <w:rPr>
                <w:lang w:val="fr-FR"/>
              </w:rPr>
              <w:t> </w:t>
            </w:r>
            <w:r w:rsidRPr="008D7D03">
              <w:rPr>
                <w:lang w:val="fr-FR"/>
              </w:rPr>
              <w:t>: usagers de la route vulnérables ou autres dont la présence pourrait échapper à la vigilance du conducteur</w:t>
            </w:r>
          </w:p>
        </w:tc>
        <w:tc>
          <w:tcPr>
            <w:tcW w:w="3675" w:type="dxa"/>
            <w:shd w:val="clear" w:color="auto" w:fill="auto"/>
          </w:tcPr>
          <w:p w14:paraId="532E7387" w14:textId="77777777" w:rsidR="00AC7ACA" w:rsidRPr="008D7D03" w:rsidRDefault="00AC7ACA" w:rsidP="00F716CD">
            <w:pPr>
              <w:pStyle w:val="Para"/>
              <w:tabs>
                <w:tab w:val="left" w:pos="1595"/>
              </w:tabs>
              <w:spacing w:before="40" w:after="40"/>
              <w:ind w:left="57" w:right="0" w:firstLine="0"/>
              <w:jc w:val="left"/>
              <w:rPr>
                <w:lang w:val="fr-FR"/>
              </w:rPr>
            </w:pPr>
            <w:r w:rsidRPr="008D7D03">
              <w:rPr>
                <w:lang w:val="fr-FR"/>
              </w:rPr>
              <w:t>Piétons</w:t>
            </w:r>
          </w:p>
          <w:p w14:paraId="3812D597" w14:textId="77777777" w:rsidR="00AC7ACA" w:rsidRPr="008D7D03" w:rsidRDefault="00AC7ACA" w:rsidP="00F716CD">
            <w:pPr>
              <w:pStyle w:val="Para"/>
              <w:tabs>
                <w:tab w:val="left" w:pos="1595"/>
              </w:tabs>
              <w:spacing w:before="40" w:after="40"/>
              <w:ind w:left="57" w:right="0" w:firstLine="0"/>
              <w:jc w:val="left"/>
              <w:rPr>
                <w:lang w:val="fr-FR"/>
              </w:rPr>
            </w:pPr>
            <w:r w:rsidRPr="008D7D03">
              <w:rPr>
                <w:lang w:val="fr-FR"/>
              </w:rPr>
              <w:t>Cyclistes</w:t>
            </w:r>
          </w:p>
          <w:p w14:paraId="4598C9A3" w14:textId="77777777" w:rsidR="00AC7ACA" w:rsidRPr="008D7D03" w:rsidRDefault="00AC7ACA" w:rsidP="00F716CD">
            <w:pPr>
              <w:pStyle w:val="Para"/>
              <w:tabs>
                <w:tab w:val="left" w:pos="1595"/>
              </w:tabs>
              <w:spacing w:before="40" w:after="40"/>
              <w:ind w:left="57" w:right="0" w:firstLine="0"/>
              <w:jc w:val="left"/>
              <w:rPr>
                <w:lang w:val="fr-FR"/>
              </w:rPr>
            </w:pPr>
            <w:r w:rsidRPr="008D7D03">
              <w:rPr>
                <w:lang w:val="fr-FR"/>
              </w:rPr>
              <w:t>Usagers de la route traversant la chaussée</w:t>
            </w:r>
          </w:p>
          <w:p w14:paraId="117C4C82" w14:textId="77777777" w:rsidR="00AC7ACA" w:rsidRPr="008D7D03" w:rsidRDefault="00AC7ACA" w:rsidP="00F716CD">
            <w:pPr>
              <w:pStyle w:val="Para"/>
              <w:tabs>
                <w:tab w:val="left" w:pos="1595"/>
              </w:tabs>
              <w:spacing w:before="40" w:after="40"/>
              <w:ind w:left="57" w:right="0" w:firstLine="0"/>
              <w:jc w:val="left"/>
              <w:rPr>
                <w:lang w:val="fr-FR"/>
              </w:rPr>
            </w:pPr>
            <w:r w:rsidRPr="008D7D03">
              <w:rPr>
                <w:lang w:val="fr-FR"/>
              </w:rPr>
              <w:t>Usagers de la route se trouvant dans un angle mort ou masqués à la vue du conducteur</w:t>
            </w:r>
          </w:p>
          <w:p w14:paraId="688FC5FB" w14:textId="77777777" w:rsidR="00AC7ACA" w:rsidRPr="008D7D03" w:rsidRDefault="00AC7ACA" w:rsidP="00F716CD">
            <w:pPr>
              <w:pStyle w:val="Para"/>
              <w:tabs>
                <w:tab w:val="left" w:pos="1595"/>
              </w:tabs>
              <w:spacing w:before="40" w:after="40"/>
              <w:ind w:left="57" w:right="0" w:firstLine="0"/>
              <w:jc w:val="left"/>
            </w:pPr>
            <w:r w:rsidRPr="008D7D03">
              <w:rPr>
                <w:lang w:val="fr-FR"/>
              </w:rPr>
              <w:t>Animaux</w:t>
            </w:r>
          </w:p>
        </w:tc>
      </w:tr>
      <w:tr w:rsidR="00AC7ACA" w:rsidRPr="002144A3" w14:paraId="49112A52" w14:textId="77777777" w:rsidTr="00F716CD">
        <w:tc>
          <w:tcPr>
            <w:tcW w:w="3686" w:type="dxa"/>
            <w:shd w:val="clear" w:color="auto" w:fill="auto"/>
          </w:tcPr>
          <w:p w14:paraId="34598917" w14:textId="77777777" w:rsidR="00AC7ACA" w:rsidRPr="008D7D03" w:rsidRDefault="00AC7ACA" w:rsidP="00F716CD">
            <w:pPr>
              <w:pStyle w:val="Para"/>
              <w:spacing w:before="40" w:after="40"/>
              <w:ind w:left="57" w:right="275" w:firstLine="0"/>
              <w:jc w:val="left"/>
              <w:rPr>
                <w:lang w:val="fr-FR"/>
              </w:rPr>
            </w:pPr>
            <w:r w:rsidRPr="008D7D03">
              <w:rPr>
                <w:lang w:val="fr-FR"/>
              </w:rPr>
              <w:t>Informations en vue du maintien des distances par rapport aux usagers de la route environnants et aux équipements routiers</w:t>
            </w:r>
          </w:p>
        </w:tc>
        <w:tc>
          <w:tcPr>
            <w:tcW w:w="3675" w:type="dxa"/>
            <w:shd w:val="clear" w:color="auto" w:fill="auto"/>
          </w:tcPr>
          <w:p w14:paraId="69ED147D" w14:textId="77777777" w:rsidR="00AC7ACA" w:rsidRPr="008D7D03" w:rsidRDefault="00AC7ACA" w:rsidP="00F716CD">
            <w:pPr>
              <w:pStyle w:val="Para"/>
              <w:tabs>
                <w:tab w:val="left" w:pos="1595"/>
              </w:tabs>
              <w:spacing w:before="40" w:after="40"/>
              <w:ind w:left="57" w:right="0" w:firstLine="0"/>
              <w:jc w:val="left"/>
              <w:rPr>
                <w:lang w:val="fr-FR"/>
              </w:rPr>
            </w:pPr>
            <w:r w:rsidRPr="008D7D03">
              <w:rPr>
                <w:lang w:val="fr-FR"/>
              </w:rPr>
              <w:t>Distance par rapport au véhicule qui précède</w:t>
            </w:r>
          </w:p>
          <w:p w14:paraId="4737F725" w14:textId="77777777" w:rsidR="00AC7ACA" w:rsidRPr="008D7D03" w:rsidRDefault="00AC7ACA" w:rsidP="00F716CD">
            <w:pPr>
              <w:pStyle w:val="Para"/>
              <w:tabs>
                <w:tab w:val="left" w:pos="1595"/>
              </w:tabs>
              <w:spacing w:before="40" w:after="40"/>
              <w:ind w:left="57" w:right="0" w:firstLine="0"/>
              <w:jc w:val="left"/>
              <w:rPr>
                <w:lang w:val="fr-FR"/>
              </w:rPr>
            </w:pPr>
            <w:r w:rsidRPr="008D7D03">
              <w:rPr>
                <w:lang w:val="fr-FR"/>
              </w:rPr>
              <w:t>Aide au maintien dans la voie</w:t>
            </w:r>
            <w:r>
              <w:rPr>
                <w:lang w:val="fr-FR"/>
              </w:rPr>
              <w:t>, aide au changement de voie, changements de limite de vitesse</w:t>
            </w:r>
          </w:p>
        </w:tc>
      </w:tr>
      <w:tr w:rsidR="00AC7ACA" w:rsidRPr="002144A3" w14:paraId="107D5CED" w14:textId="77777777" w:rsidTr="00F716CD">
        <w:tc>
          <w:tcPr>
            <w:tcW w:w="3686" w:type="dxa"/>
            <w:shd w:val="clear" w:color="auto" w:fill="auto"/>
          </w:tcPr>
          <w:p w14:paraId="32916A80" w14:textId="5AD3FBB5" w:rsidR="00AC7ACA" w:rsidRPr="008D7D03" w:rsidRDefault="00AC7ACA" w:rsidP="00F716CD">
            <w:pPr>
              <w:pStyle w:val="Para"/>
              <w:spacing w:before="40" w:after="40"/>
              <w:ind w:left="57" w:right="0" w:firstLine="0"/>
              <w:jc w:val="left"/>
              <w:rPr>
                <w:lang w:val="fr-FR"/>
              </w:rPr>
            </w:pPr>
            <w:r w:rsidRPr="008D7D03">
              <w:rPr>
                <w:lang w:val="fr-FR"/>
              </w:rPr>
              <w:t>Informations permettant de trouver la bonne voie de circulation et de s</w:t>
            </w:r>
            <w:r>
              <w:rPr>
                <w:lang w:val="fr-FR"/>
              </w:rPr>
              <w:t>’</w:t>
            </w:r>
            <w:r w:rsidRPr="008D7D03">
              <w:rPr>
                <w:lang w:val="fr-FR"/>
              </w:rPr>
              <w:t>y maintenir</w:t>
            </w:r>
            <w:r>
              <w:rPr>
                <w:lang w:val="fr-FR"/>
              </w:rPr>
              <w:t xml:space="preserve"> et de suivre les indications routières </w:t>
            </w:r>
          </w:p>
        </w:tc>
        <w:tc>
          <w:tcPr>
            <w:tcW w:w="3675" w:type="dxa"/>
            <w:shd w:val="clear" w:color="auto" w:fill="auto"/>
          </w:tcPr>
          <w:p w14:paraId="0FAF7AC2" w14:textId="42E8FE7A" w:rsidR="00AC7ACA" w:rsidRDefault="00AC7ACA" w:rsidP="00F716CD">
            <w:pPr>
              <w:pStyle w:val="Para"/>
              <w:tabs>
                <w:tab w:val="left" w:pos="1595"/>
              </w:tabs>
              <w:spacing w:before="40" w:after="40"/>
              <w:ind w:left="57" w:right="0" w:firstLine="0"/>
              <w:jc w:val="left"/>
              <w:rPr>
                <w:lang w:val="fr-FR"/>
              </w:rPr>
            </w:pPr>
            <w:r w:rsidRPr="008D7D03">
              <w:rPr>
                <w:lang w:val="fr-FR"/>
              </w:rPr>
              <w:t>Informations de navigation</w:t>
            </w:r>
            <w:r>
              <w:rPr>
                <w:lang w:val="fr-FR"/>
              </w:rPr>
              <w:t>, symboles et flèches lors d</w:t>
            </w:r>
            <w:r>
              <w:rPr>
                <w:lang w:val="fr-FR"/>
              </w:rPr>
              <w:t>’</w:t>
            </w:r>
            <w:r>
              <w:rPr>
                <w:lang w:val="fr-FR"/>
              </w:rPr>
              <w:t>un changement de voie automatique</w:t>
            </w:r>
            <w:r>
              <w:rPr>
                <w:lang w:val="fr-FR"/>
              </w:rPr>
              <w:br/>
              <w:t>(Itinéraire, distance restante jusqu</w:t>
            </w:r>
            <w:r>
              <w:rPr>
                <w:lang w:val="fr-FR"/>
              </w:rPr>
              <w:t>’</w:t>
            </w:r>
            <w:r>
              <w:rPr>
                <w:lang w:val="fr-FR"/>
              </w:rPr>
              <w:t>à la destination, franchissements de frontières)</w:t>
            </w:r>
          </w:p>
          <w:p w14:paraId="5A05182D" w14:textId="23343AF3" w:rsidR="00AC7ACA" w:rsidRPr="008D7D03" w:rsidRDefault="00AC7ACA" w:rsidP="00F716CD">
            <w:pPr>
              <w:pStyle w:val="Para"/>
              <w:tabs>
                <w:tab w:val="left" w:pos="1595"/>
              </w:tabs>
              <w:spacing w:before="40" w:after="40"/>
              <w:ind w:left="57" w:right="0" w:firstLine="0"/>
              <w:jc w:val="left"/>
              <w:rPr>
                <w:lang w:val="fr-FR"/>
              </w:rPr>
            </w:pPr>
            <w:r>
              <w:rPr>
                <w:lang w:val="fr-FR"/>
              </w:rPr>
              <w:t>Mise en évidence des lignes d</w:t>
            </w:r>
            <w:r>
              <w:rPr>
                <w:lang w:val="fr-FR"/>
              </w:rPr>
              <w:t>’</w:t>
            </w:r>
            <w:r>
              <w:rPr>
                <w:lang w:val="fr-FR"/>
              </w:rPr>
              <w:t>arrêt et des passages pour piétons</w:t>
            </w:r>
          </w:p>
        </w:tc>
      </w:tr>
    </w:tbl>
    <w:p w14:paraId="3462BD20" w14:textId="7B51F0DB" w:rsidR="00AC7ACA" w:rsidRPr="00545B7A" w:rsidRDefault="00F716CD" w:rsidP="00F716CD">
      <w:pPr>
        <w:pStyle w:val="Para"/>
        <w:spacing w:before="120"/>
        <w:jc w:val="right"/>
        <w:rPr>
          <w:rFonts w:asciiTheme="majorBidi" w:hAnsiTheme="majorBidi" w:cstheme="majorBidi"/>
        </w:rPr>
      </w:pPr>
      <w:r>
        <w:t>. </w:t>
      </w:r>
      <w:r w:rsidR="00AC7ACA">
        <w:t>».</w:t>
      </w:r>
    </w:p>
    <w:p w14:paraId="0BC0F886" w14:textId="77777777" w:rsidR="00AC7ACA" w:rsidRDefault="00AC7ACA" w:rsidP="00AC7ACA">
      <w:pPr>
        <w:pStyle w:val="SingleTxtG"/>
        <w:spacing w:before="240" w:after="0"/>
        <w:jc w:val="center"/>
        <w:rPr>
          <w:u w:val="single"/>
        </w:rPr>
      </w:pPr>
      <w:r>
        <w:rPr>
          <w:u w:val="single"/>
          <w:lang w:val="fr-FR"/>
        </w:rPr>
        <w:tab/>
      </w:r>
      <w:r>
        <w:rPr>
          <w:u w:val="single"/>
          <w:lang w:val="fr-FR"/>
        </w:rPr>
        <w:tab/>
      </w:r>
      <w:r>
        <w:rPr>
          <w:u w:val="single"/>
          <w:lang w:val="fr-FR"/>
        </w:rPr>
        <w:tab/>
      </w:r>
      <w:r>
        <w:rPr>
          <w:u w:val="single"/>
          <w:lang w:val="fr-FR"/>
        </w:rPr>
        <w:tab/>
      </w:r>
    </w:p>
    <w:p w14:paraId="560F0493" w14:textId="1F7FFAB0" w:rsidR="00F9573C" w:rsidRDefault="00F9573C" w:rsidP="00AC7ACA">
      <w:pPr>
        <w:spacing w:before="120" w:line="240" w:lineRule="exact"/>
      </w:pPr>
    </w:p>
    <w:sectPr w:rsidR="00F9573C" w:rsidSect="00AC7AC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F1252" w14:textId="77777777" w:rsidR="008767A2" w:rsidRDefault="008767A2" w:rsidP="00F95C08">
      <w:pPr>
        <w:spacing w:line="240" w:lineRule="auto"/>
      </w:pPr>
    </w:p>
  </w:endnote>
  <w:endnote w:type="continuationSeparator" w:id="0">
    <w:p w14:paraId="36DA050B" w14:textId="77777777" w:rsidR="008767A2" w:rsidRPr="00AC3823" w:rsidRDefault="008767A2" w:rsidP="00AC3823">
      <w:pPr>
        <w:pStyle w:val="Pieddepage"/>
      </w:pPr>
    </w:p>
  </w:endnote>
  <w:endnote w:type="continuationNotice" w:id="1">
    <w:p w14:paraId="5621AAD2" w14:textId="77777777" w:rsidR="008767A2" w:rsidRDefault="008767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B50BD" w14:textId="328C7325" w:rsidR="00AC7ACA" w:rsidRPr="00AC7ACA" w:rsidRDefault="00AC7ACA" w:rsidP="00AC7ACA">
    <w:pPr>
      <w:pStyle w:val="Pieddepage"/>
      <w:tabs>
        <w:tab w:val="right" w:pos="9638"/>
      </w:tabs>
    </w:pPr>
    <w:r w:rsidRPr="00AC7ACA">
      <w:rPr>
        <w:b/>
        <w:sz w:val="18"/>
      </w:rPr>
      <w:fldChar w:fldCharType="begin"/>
    </w:r>
    <w:r w:rsidRPr="00AC7ACA">
      <w:rPr>
        <w:b/>
        <w:sz w:val="18"/>
      </w:rPr>
      <w:instrText xml:space="preserve"> PAGE  \* MERGEFORMAT </w:instrText>
    </w:r>
    <w:r w:rsidRPr="00AC7ACA">
      <w:rPr>
        <w:b/>
        <w:sz w:val="18"/>
      </w:rPr>
      <w:fldChar w:fldCharType="separate"/>
    </w:r>
    <w:r w:rsidRPr="00AC7ACA">
      <w:rPr>
        <w:b/>
        <w:noProof/>
        <w:sz w:val="18"/>
      </w:rPr>
      <w:t>2</w:t>
    </w:r>
    <w:r w:rsidRPr="00AC7ACA">
      <w:rPr>
        <w:b/>
        <w:sz w:val="18"/>
      </w:rPr>
      <w:fldChar w:fldCharType="end"/>
    </w:r>
    <w:r>
      <w:rPr>
        <w:b/>
        <w:sz w:val="18"/>
      </w:rPr>
      <w:tab/>
    </w:r>
    <w:r>
      <w:t>GE.21-12191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65C28" w14:textId="3F025F8A" w:rsidR="00AC7ACA" w:rsidRPr="00AC7ACA" w:rsidRDefault="00AC7ACA" w:rsidP="00AC7ACA">
    <w:pPr>
      <w:pStyle w:val="Pieddepage"/>
      <w:tabs>
        <w:tab w:val="right" w:pos="9638"/>
      </w:tabs>
      <w:rPr>
        <w:b/>
        <w:sz w:val="18"/>
      </w:rPr>
    </w:pPr>
    <w:r>
      <w:t>GE.21-12191</w:t>
    </w:r>
    <w:r>
      <w:tab/>
    </w:r>
    <w:r w:rsidRPr="00AC7ACA">
      <w:rPr>
        <w:b/>
        <w:sz w:val="18"/>
      </w:rPr>
      <w:fldChar w:fldCharType="begin"/>
    </w:r>
    <w:r w:rsidRPr="00AC7ACA">
      <w:rPr>
        <w:b/>
        <w:sz w:val="18"/>
      </w:rPr>
      <w:instrText xml:space="preserve"> PAGE  \* MERGEFORMAT </w:instrText>
    </w:r>
    <w:r w:rsidRPr="00AC7ACA">
      <w:rPr>
        <w:b/>
        <w:sz w:val="18"/>
      </w:rPr>
      <w:fldChar w:fldCharType="separate"/>
    </w:r>
    <w:r w:rsidRPr="00AC7ACA">
      <w:rPr>
        <w:b/>
        <w:noProof/>
        <w:sz w:val="18"/>
      </w:rPr>
      <w:t>3</w:t>
    </w:r>
    <w:r w:rsidRPr="00AC7AC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34B14" w14:textId="0F700F53" w:rsidR="007F20FA" w:rsidRPr="00AC7ACA" w:rsidRDefault="00AC7ACA" w:rsidP="00AC7AC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C0AF130" wp14:editId="0F8B52D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21-12191  (F)</w:t>
    </w:r>
    <w:r>
      <w:rPr>
        <w:noProof/>
        <w:sz w:val="20"/>
      </w:rPr>
      <w:drawing>
        <wp:anchor distT="0" distB="0" distL="114300" distR="114300" simplePos="0" relativeHeight="251660288" behindDoc="0" locked="0" layoutInCell="1" allowOverlap="1" wp14:anchorId="4BB0C989" wp14:editId="692A380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160921    160921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9763A" w14:textId="77777777" w:rsidR="008767A2" w:rsidRPr="00AC3823" w:rsidRDefault="008767A2" w:rsidP="00AC3823">
      <w:pPr>
        <w:pStyle w:val="Pieddepage"/>
        <w:tabs>
          <w:tab w:val="right" w:pos="2155"/>
        </w:tabs>
        <w:spacing w:after="80" w:line="240" w:lineRule="atLeast"/>
        <w:ind w:left="680"/>
        <w:rPr>
          <w:u w:val="single"/>
        </w:rPr>
      </w:pPr>
      <w:r>
        <w:rPr>
          <w:u w:val="single"/>
        </w:rPr>
        <w:tab/>
      </w:r>
    </w:p>
  </w:footnote>
  <w:footnote w:type="continuationSeparator" w:id="0">
    <w:p w14:paraId="550F728F" w14:textId="77777777" w:rsidR="008767A2" w:rsidRPr="00AC3823" w:rsidRDefault="008767A2" w:rsidP="00AC3823">
      <w:pPr>
        <w:pStyle w:val="Pieddepage"/>
        <w:tabs>
          <w:tab w:val="right" w:pos="2155"/>
        </w:tabs>
        <w:spacing w:after="80" w:line="240" w:lineRule="atLeast"/>
        <w:ind w:left="680"/>
        <w:rPr>
          <w:u w:val="single"/>
        </w:rPr>
      </w:pPr>
      <w:r>
        <w:rPr>
          <w:u w:val="single"/>
        </w:rPr>
        <w:tab/>
      </w:r>
    </w:p>
  </w:footnote>
  <w:footnote w:type="continuationNotice" w:id="1">
    <w:p w14:paraId="4B53C57A" w14:textId="77777777" w:rsidR="008767A2" w:rsidRPr="00AC3823" w:rsidRDefault="008767A2">
      <w:pPr>
        <w:spacing w:line="240" w:lineRule="auto"/>
        <w:rPr>
          <w:sz w:val="2"/>
          <w:szCs w:val="2"/>
        </w:rPr>
      </w:pPr>
    </w:p>
  </w:footnote>
  <w:footnote w:id="2">
    <w:p w14:paraId="005F665A" w14:textId="77777777" w:rsidR="00AC7ACA" w:rsidRPr="007C792E" w:rsidRDefault="00AC7ACA" w:rsidP="00AC7ACA">
      <w:pPr>
        <w:pStyle w:val="Notedebasdepage"/>
        <w:rPr>
          <w:lang w:val="fr-FR"/>
        </w:rPr>
      </w:pPr>
      <w:r>
        <w:rPr>
          <w:lang w:val="fr-FR"/>
        </w:rPr>
        <w:tab/>
      </w:r>
      <w:r w:rsidRPr="00AC7ACA">
        <w:rPr>
          <w:sz w:val="20"/>
          <w:lang w:val="fr-FR"/>
        </w:rPr>
        <w:t>*</w:t>
      </w:r>
      <w:r>
        <w:rPr>
          <w:lang w:val="fr-FR"/>
        </w:rPr>
        <w:tab/>
      </w:r>
      <w:r w:rsidRPr="007C792E">
        <w:rPr>
          <w:lang w:val="fr-FR"/>
        </w:rPr>
        <w:t>Conformément au programme de travail du Comité des transports intérieurs pour 2021 tel qu’il figure dans le projet de budget-</w:t>
      </w:r>
      <w:r w:rsidRPr="00F716CD">
        <w:rPr>
          <w:lang w:val="fr-FR"/>
        </w:rPr>
        <w:t>programme pour 2021 (A/75/6 (Sect. 20), par. 20.51</w:t>
      </w:r>
      <w:r w:rsidRPr="007C792E">
        <w:rPr>
          <w:lang w:val="fr-FR"/>
        </w:rPr>
        <w:t xml:space="preserve">), le Forum mondial a pour mission d’élaborer, d’harmoniser et de mettre à jour les Règlements ONU en vue d’améliorer les caractéristiques fonctionnelles des véhicules. Le présent document est soumis en vertu de ce mandat.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77523" w14:textId="5B6AAB7A" w:rsidR="00AC7ACA" w:rsidRPr="00AC7ACA" w:rsidRDefault="00AC7ACA">
    <w:pPr>
      <w:pStyle w:val="En-tte"/>
    </w:pPr>
    <w:fldSimple w:instr=" TITLE  \* MERGEFORMAT ">
      <w:r>
        <w:t>ECE/TRANS/WP.29/2021/100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BF2D9" w14:textId="68777041" w:rsidR="00AC7ACA" w:rsidRPr="00AC7ACA" w:rsidRDefault="00AC7ACA" w:rsidP="00AC7ACA">
    <w:pPr>
      <w:pStyle w:val="En-tte"/>
      <w:jc w:val="right"/>
    </w:pPr>
    <w:fldSimple w:instr=" TITLE  \* MERGEFORMAT ">
      <w:r>
        <w:t>ECE/TRANS/WP.29/2021/100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A2"/>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64C02"/>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622EA"/>
    <w:rsid w:val="00871C75"/>
    <w:rsid w:val="008767A2"/>
    <w:rsid w:val="008776DC"/>
    <w:rsid w:val="008D5EF9"/>
    <w:rsid w:val="009446C0"/>
    <w:rsid w:val="009705C8"/>
    <w:rsid w:val="009C1CF4"/>
    <w:rsid w:val="009F6B74"/>
    <w:rsid w:val="00A3029F"/>
    <w:rsid w:val="00A30353"/>
    <w:rsid w:val="00AA2814"/>
    <w:rsid w:val="00AC3823"/>
    <w:rsid w:val="00AC7ACA"/>
    <w:rsid w:val="00AE323C"/>
    <w:rsid w:val="00AF0CB5"/>
    <w:rsid w:val="00B00181"/>
    <w:rsid w:val="00B00B0D"/>
    <w:rsid w:val="00B45F2E"/>
    <w:rsid w:val="00B765F7"/>
    <w:rsid w:val="00B77993"/>
    <w:rsid w:val="00BA03D1"/>
    <w:rsid w:val="00BA0CA9"/>
    <w:rsid w:val="00C02897"/>
    <w:rsid w:val="00C35520"/>
    <w:rsid w:val="00C97039"/>
    <w:rsid w:val="00D3439C"/>
    <w:rsid w:val="00D7622E"/>
    <w:rsid w:val="00DB1831"/>
    <w:rsid w:val="00DD3BFD"/>
    <w:rsid w:val="00DF6678"/>
    <w:rsid w:val="00E0299A"/>
    <w:rsid w:val="00E85C74"/>
    <w:rsid w:val="00EA6547"/>
    <w:rsid w:val="00ED7237"/>
    <w:rsid w:val="00EF2E22"/>
    <w:rsid w:val="00F35BAF"/>
    <w:rsid w:val="00F660DF"/>
    <w:rsid w:val="00F716CD"/>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8F4B1F"/>
  <w15:docId w15:val="{3081AF23-4A54-40D9-AD64-56E38026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99"/>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uiPriority w:val="99"/>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locked/>
    <w:rsid w:val="00AC7ACA"/>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AC7ACA"/>
    <w:rPr>
      <w:rFonts w:ascii="Times New Roman" w:eastAsiaTheme="minorHAnsi" w:hAnsi="Times New Roman" w:cs="Times New Roman"/>
      <w:sz w:val="20"/>
      <w:szCs w:val="20"/>
      <w:lang w:eastAsia="en-US"/>
    </w:rPr>
  </w:style>
  <w:style w:type="paragraph" w:customStyle="1" w:styleId="Para">
    <w:name w:val="Para"/>
    <w:basedOn w:val="Normal"/>
    <w:qFormat/>
    <w:rsid w:val="00AC7ACA"/>
    <w:pPr>
      <w:widowControl w:val="0"/>
      <w:suppressAutoHyphens w:val="0"/>
      <w:kinsoku/>
      <w:overflowPunct/>
      <w:autoSpaceDE/>
      <w:autoSpaceDN/>
      <w:adjustRightInd/>
      <w:snapToGrid/>
      <w:spacing w:after="120" w:line="240" w:lineRule="exact"/>
      <w:ind w:left="2268" w:right="1134" w:hanging="1134"/>
      <w:jc w:val="both"/>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5</Pages>
  <Words>1834</Words>
  <Characters>10222</Characters>
  <Application>Microsoft Office Word</Application>
  <DocSecurity>0</DocSecurity>
  <Lines>222</Lines>
  <Paragraphs>89</Paragraphs>
  <ScaleCrop>false</ScaleCrop>
  <HeadingPairs>
    <vt:vector size="2" baseType="variant">
      <vt:variant>
        <vt:lpstr>Titre</vt:lpstr>
      </vt:variant>
      <vt:variant>
        <vt:i4>1</vt:i4>
      </vt:variant>
    </vt:vector>
  </HeadingPairs>
  <TitlesOfParts>
    <vt:vector size="1" baseType="lpstr">
      <vt:lpstr>ECE/TRANS/WP.29/2021/100</vt:lpstr>
    </vt:vector>
  </TitlesOfParts>
  <Company>DCM</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ECE/TRANS/WP.29/2021/100</dc:title>
  <dc:subject/>
  <dc:creator>Sandrine CLERE</dc:creator>
  <cp:keywords/>
  <cp:lastModifiedBy>Sandrine Clere</cp:lastModifiedBy>
  <cp:revision>2</cp:revision>
  <cp:lastPrinted>2014-05-14T10:59:00Z</cp:lastPrinted>
  <dcterms:created xsi:type="dcterms:W3CDTF">2021-09-16T12:03:00Z</dcterms:created>
  <dcterms:modified xsi:type="dcterms:W3CDTF">2021-09-16T12:03:00Z</dcterms:modified>
</cp:coreProperties>
</file>