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6397E9B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29D3763" w14:textId="77777777" w:rsidR="002D5AAC" w:rsidRDefault="002D5AAC" w:rsidP="00AB23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462AEED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8DD8B66" w14:textId="51E1ADC0" w:rsidR="002D5AAC" w:rsidRDefault="00AB23FA" w:rsidP="00AB23FA">
            <w:pPr>
              <w:jc w:val="right"/>
            </w:pPr>
            <w:r w:rsidRPr="00AB23FA">
              <w:rPr>
                <w:sz w:val="40"/>
              </w:rPr>
              <w:t>ECE</w:t>
            </w:r>
            <w:r>
              <w:t>/MP.PP/2021/41</w:t>
            </w:r>
          </w:p>
        </w:tc>
      </w:tr>
      <w:tr w:rsidR="002D5AAC" w14:paraId="5AB85EDB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6BABCC6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B48F990" wp14:editId="299AC269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4E8E82D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14EA06D" w14:textId="77777777" w:rsidR="002D5AAC" w:rsidRDefault="00AB23FA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3DB04F0" w14:textId="77777777" w:rsidR="00AB23FA" w:rsidRDefault="00AB23FA" w:rsidP="00AB23F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August 2021</w:t>
            </w:r>
          </w:p>
          <w:p w14:paraId="57DA82EE" w14:textId="77777777" w:rsidR="00AB23FA" w:rsidRDefault="00AB23FA" w:rsidP="00AB23F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61FBD93" w14:textId="78D7AD48" w:rsidR="00AB23FA" w:rsidRPr="008D53B6" w:rsidRDefault="00AB23FA" w:rsidP="00AB23F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E1BE913" w14:textId="77777777" w:rsidR="008A37C8" w:rsidRPr="00CC4825" w:rsidRDefault="008A37C8" w:rsidP="00CC4825">
      <w:pPr>
        <w:spacing w:before="120" w:after="120"/>
        <w:rPr>
          <w:b/>
          <w:sz w:val="28"/>
          <w:szCs w:val="28"/>
        </w:rPr>
      </w:pPr>
      <w:r w:rsidRPr="00CC4825">
        <w:rPr>
          <w:b/>
          <w:sz w:val="28"/>
          <w:szCs w:val="28"/>
        </w:rPr>
        <w:t>Европейская экономическая комиссия</w:t>
      </w:r>
    </w:p>
    <w:p w14:paraId="4B81D89D" w14:textId="451D8097" w:rsidR="00AB23FA" w:rsidRPr="00CC4825" w:rsidRDefault="00AB23FA" w:rsidP="00CC4825">
      <w:pPr>
        <w:spacing w:after="120"/>
        <w:rPr>
          <w:sz w:val="28"/>
          <w:szCs w:val="28"/>
        </w:rPr>
      </w:pPr>
      <w:r w:rsidRPr="00CC4825">
        <w:rPr>
          <w:sz w:val="28"/>
          <w:szCs w:val="28"/>
        </w:rPr>
        <w:t>Совещание Сторон Конвенции</w:t>
      </w:r>
      <w:r w:rsidR="00CC4825" w:rsidRPr="00CC4825">
        <w:rPr>
          <w:sz w:val="28"/>
          <w:szCs w:val="28"/>
        </w:rPr>
        <w:br/>
      </w:r>
      <w:r w:rsidRPr="00CC4825">
        <w:rPr>
          <w:sz w:val="28"/>
          <w:szCs w:val="28"/>
        </w:rPr>
        <w:t>о доступе к информации, участии</w:t>
      </w:r>
      <w:r w:rsidR="00CC4825" w:rsidRPr="00CC4825">
        <w:rPr>
          <w:sz w:val="28"/>
          <w:szCs w:val="28"/>
        </w:rPr>
        <w:br/>
      </w:r>
      <w:r w:rsidRPr="00CC4825">
        <w:rPr>
          <w:sz w:val="28"/>
          <w:szCs w:val="28"/>
        </w:rPr>
        <w:t>общественности в процессе принятия</w:t>
      </w:r>
      <w:r w:rsidR="00CC4825" w:rsidRPr="00CC4825">
        <w:rPr>
          <w:sz w:val="28"/>
          <w:szCs w:val="28"/>
        </w:rPr>
        <w:br/>
      </w:r>
      <w:r w:rsidRPr="00CC4825">
        <w:rPr>
          <w:sz w:val="28"/>
          <w:szCs w:val="28"/>
        </w:rPr>
        <w:t>решений и доступе к правосудию</w:t>
      </w:r>
      <w:r w:rsidR="00CC4825" w:rsidRPr="00CC4825">
        <w:rPr>
          <w:sz w:val="28"/>
          <w:szCs w:val="28"/>
        </w:rPr>
        <w:br/>
      </w:r>
      <w:r w:rsidRPr="00CC4825">
        <w:rPr>
          <w:sz w:val="28"/>
          <w:szCs w:val="28"/>
        </w:rPr>
        <w:t>по вопросам, касающимся окружающей среды</w:t>
      </w:r>
    </w:p>
    <w:p w14:paraId="4F5FD2E1" w14:textId="77777777" w:rsidR="00AB23FA" w:rsidRPr="00CC4825" w:rsidRDefault="00AB23FA" w:rsidP="00CC4825">
      <w:pPr>
        <w:rPr>
          <w:b/>
        </w:rPr>
      </w:pPr>
      <w:r w:rsidRPr="00CC4825">
        <w:rPr>
          <w:b/>
          <w:bCs/>
        </w:rPr>
        <w:t>Седьмая сессия</w:t>
      </w:r>
    </w:p>
    <w:p w14:paraId="2A29E565" w14:textId="77777777" w:rsidR="00AB23FA" w:rsidRPr="00CC4825" w:rsidRDefault="00AB23FA" w:rsidP="00CC4825">
      <w:r w:rsidRPr="00CC4825">
        <w:t>Женева, 18–20 октября 2021 года</w:t>
      </w:r>
    </w:p>
    <w:p w14:paraId="24521D7F" w14:textId="77777777" w:rsidR="00AB23FA" w:rsidRPr="00CC4825" w:rsidRDefault="00AB23FA" w:rsidP="00CC4825">
      <w:r w:rsidRPr="00CC4825">
        <w:t>Пункт 7 b) предварительной повестки дня</w:t>
      </w:r>
    </w:p>
    <w:p w14:paraId="7D4267C0" w14:textId="06179C74" w:rsidR="00AB23FA" w:rsidRPr="00CC4825" w:rsidRDefault="00AB23FA" w:rsidP="00CC4825">
      <w:r w:rsidRPr="00CC4825">
        <w:rPr>
          <w:b/>
          <w:bCs/>
        </w:rPr>
        <w:t>Процедуры и механизмы, способствующие осуществлению</w:t>
      </w:r>
      <w:r w:rsidR="00CC4825" w:rsidRPr="00CC4825">
        <w:rPr>
          <w:b/>
          <w:bCs/>
        </w:rPr>
        <w:br/>
      </w:r>
      <w:r w:rsidRPr="00CC4825">
        <w:rPr>
          <w:b/>
          <w:bCs/>
        </w:rPr>
        <w:t>Конвенции: механизм соблюдения</w:t>
      </w:r>
    </w:p>
    <w:p w14:paraId="7793300D" w14:textId="77777777" w:rsidR="00AB23FA" w:rsidRPr="00CC4825" w:rsidRDefault="00AB23FA" w:rsidP="00CC4825">
      <w:pPr>
        <w:pStyle w:val="HChG"/>
      </w:pPr>
      <w:r w:rsidRPr="00CC4825">
        <w:tab/>
      </w:r>
      <w:r w:rsidRPr="00CC4825">
        <w:tab/>
        <w:t>Проект решения VII/8r о соблюдении Украиной своих обязательств по Конвенции</w:t>
      </w:r>
    </w:p>
    <w:p w14:paraId="64A753F0" w14:textId="053DD3E2" w:rsidR="00AB23FA" w:rsidRPr="00CC4825" w:rsidRDefault="00AB23FA" w:rsidP="00CC4825">
      <w:pPr>
        <w:pStyle w:val="H1G"/>
        <w:rPr>
          <w:i/>
          <w:iCs/>
        </w:rPr>
      </w:pPr>
      <w:r w:rsidRPr="00CC4825">
        <w:tab/>
      </w:r>
      <w:r w:rsidR="00CC4825" w:rsidRPr="00CC4825">
        <w:tab/>
      </w:r>
      <w:r w:rsidRPr="00CC4825">
        <w:t xml:space="preserve">Подготовлен Президиумом </w:t>
      </w:r>
    </w:p>
    <w:p w14:paraId="024C09B7" w14:textId="77777777" w:rsidR="00AB23FA" w:rsidRPr="00AB23FA" w:rsidRDefault="00AB23FA" w:rsidP="00AB23FA">
      <w:pPr>
        <w:pStyle w:val="SingleTxtG"/>
        <w:rPr>
          <w:i/>
        </w:rPr>
      </w:pPr>
      <w:r w:rsidRPr="00AB23FA">
        <w:tab/>
      </w:r>
      <w:r w:rsidRPr="00AB23FA">
        <w:rPr>
          <w:i/>
          <w:iCs/>
        </w:rPr>
        <w:t>Совещание Сторон</w:t>
      </w:r>
      <w:r w:rsidRPr="00AB23FA">
        <w:t xml:space="preserve">, </w:t>
      </w:r>
    </w:p>
    <w:p w14:paraId="3A1D57B2" w14:textId="14ED568E" w:rsidR="00AB23FA" w:rsidRPr="00AB23FA" w:rsidRDefault="00AB23FA" w:rsidP="00AB23FA">
      <w:pPr>
        <w:pStyle w:val="SingleTxtG"/>
      </w:pPr>
      <w:r w:rsidRPr="00AB23FA">
        <w:tab/>
      </w:r>
      <w:r w:rsidRPr="00AB23FA">
        <w:rPr>
          <w:i/>
          <w:iCs/>
        </w:rPr>
        <w:t>действуя</w:t>
      </w:r>
      <w:r w:rsidRPr="00AB23FA">
        <w:t xml:space="preserve"> в соответствии с пунктом 37 приложения к его решению I/7 о рассмотрении соблюдения</w:t>
      </w:r>
      <w:r w:rsidR="00CC4825" w:rsidRPr="00AB23FA">
        <w:rPr>
          <w:sz w:val="18"/>
          <w:szCs w:val="18"/>
          <w:vertAlign w:val="superscript"/>
        </w:rPr>
        <w:footnoteReference w:id="1"/>
      </w:r>
      <w:r w:rsidRPr="00AB23FA">
        <w:t xml:space="preserve">, </w:t>
      </w:r>
    </w:p>
    <w:p w14:paraId="12BA1392" w14:textId="59D9487E" w:rsidR="00AB23FA" w:rsidRPr="00AB23FA" w:rsidRDefault="00AB23FA" w:rsidP="00AB23FA">
      <w:pPr>
        <w:pStyle w:val="SingleTxtG"/>
      </w:pPr>
      <w:r w:rsidRPr="00AB23FA">
        <w:tab/>
      </w:r>
      <w:r w:rsidRPr="00AB23FA">
        <w:rPr>
          <w:i/>
          <w:iCs/>
        </w:rPr>
        <w:t>принимая к сведению</w:t>
      </w:r>
      <w:r w:rsidRPr="00AB23FA">
        <w:t xml:space="preserve"> выводы Комитета по сообщению ACCC/C/2014/118 о соблюдении Украиной своих обязательств в отношении соглашений о разделе продукции и разрешений на добычу полезных ископаемых на Юзовском и Олесском нефтяных месторождениях</w:t>
      </w:r>
      <w:r w:rsidR="00CC4825" w:rsidRPr="00AB23FA">
        <w:rPr>
          <w:bCs/>
          <w:sz w:val="18"/>
          <w:szCs w:val="18"/>
          <w:vertAlign w:val="superscript"/>
        </w:rPr>
        <w:footnoteReference w:id="2"/>
      </w:r>
      <w:r w:rsidRPr="00AB23FA">
        <w:t xml:space="preserve">, </w:t>
      </w:r>
    </w:p>
    <w:p w14:paraId="078D9299" w14:textId="77777777" w:rsidR="00AB23FA" w:rsidRPr="00AB23FA" w:rsidRDefault="00AB23FA" w:rsidP="00AB23FA">
      <w:pPr>
        <w:pStyle w:val="SingleTxtG"/>
      </w:pPr>
      <w:r w:rsidRPr="00AB23FA">
        <w:tab/>
      </w:r>
      <w:r w:rsidRPr="00AB23FA">
        <w:rPr>
          <w:i/>
          <w:iCs/>
        </w:rPr>
        <w:t>будучи воодушевлено</w:t>
      </w:r>
      <w:r w:rsidRPr="00AB23FA">
        <w:t xml:space="preserve"> готовностью Украины конструктивно обсуждать с Комитетом соответствующие вопросы соблюдения, </w:t>
      </w:r>
    </w:p>
    <w:p w14:paraId="5D3DA0CB" w14:textId="0FBAB0BB" w:rsidR="00AB23FA" w:rsidRPr="00AB23FA" w:rsidRDefault="00CC4825" w:rsidP="00AB23FA">
      <w:pPr>
        <w:pStyle w:val="SingleTxtG"/>
      </w:pPr>
      <w:r>
        <w:tab/>
      </w:r>
      <w:r w:rsidR="00AB23FA" w:rsidRPr="00AB23FA">
        <w:t>1.</w:t>
      </w:r>
      <w:r w:rsidR="00AB23FA" w:rsidRPr="00AB23FA">
        <w:tab/>
      </w:r>
      <w:r w:rsidR="00AB23FA" w:rsidRPr="00AB23FA">
        <w:rPr>
          <w:i/>
          <w:iCs/>
        </w:rPr>
        <w:t xml:space="preserve">одобряет </w:t>
      </w:r>
      <w:r w:rsidR="00AB23FA" w:rsidRPr="00AB23FA">
        <w:t>выводы Комитета о том, что:</w:t>
      </w:r>
    </w:p>
    <w:p w14:paraId="204E61D7" w14:textId="42C16133" w:rsidR="00AB23FA" w:rsidRPr="00AB23FA" w:rsidRDefault="00CC4825" w:rsidP="00AB23FA">
      <w:pPr>
        <w:pStyle w:val="SingleTxtG"/>
      </w:pPr>
      <w:r>
        <w:tab/>
      </w:r>
      <w:r w:rsidR="00AB23FA" w:rsidRPr="00AB23FA">
        <w:t>a)</w:t>
      </w:r>
      <w:r w:rsidR="00AB23FA" w:rsidRPr="00AB23FA">
        <w:tab/>
        <w:t>не предоставив по запросу доступ ни к полному тексту соглашений о разделе продукции по Юзовскому и Олесскому нефтяным месторождениям, ни к их отредактированным версиям, соответствующая Сторона не выполнила требование пункта 1 статьи 4 Конвенции;</w:t>
      </w:r>
    </w:p>
    <w:p w14:paraId="7A0C43A1" w14:textId="715DAB18" w:rsidR="00AB23FA" w:rsidRPr="00AB23FA" w:rsidRDefault="00CC4825" w:rsidP="00AB23FA">
      <w:pPr>
        <w:pStyle w:val="SingleTxtG"/>
      </w:pPr>
      <w:r>
        <w:tab/>
      </w:r>
      <w:r w:rsidR="00AB23FA" w:rsidRPr="00AB23FA">
        <w:t>b)</w:t>
      </w:r>
      <w:r w:rsidR="00AB23FA" w:rsidRPr="00AB23FA">
        <w:tab/>
        <w:t>не проведя процедуру участия общественности в соответствии с требованиями статьи 6 в отношении проектов соглашений о разделе продукции по Юзовскому и Олесскому нефтяным месторождениям, соответствующая Сторона не выполнила требование пункта 1 a) статьи 6 Конвенции;</w:t>
      </w:r>
    </w:p>
    <w:p w14:paraId="438B5F1D" w14:textId="2499A34F" w:rsidR="00AB23FA" w:rsidRPr="00AB23FA" w:rsidRDefault="00CC4825" w:rsidP="00AB23FA">
      <w:pPr>
        <w:pStyle w:val="SingleTxtG"/>
      </w:pPr>
      <w:r>
        <w:lastRenderedPageBreak/>
        <w:tab/>
      </w:r>
      <w:r w:rsidR="00AB23FA" w:rsidRPr="00AB23FA">
        <w:t>c)</w:t>
      </w:r>
      <w:r w:rsidR="00AB23FA" w:rsidRPr="00AB23FA">
        <w:tab/>
        <w:t>создав правовую основу, согласно которой участие общественности в соответствии со статьей 6 Конвенции будет осуществляться только после того, как соглашение о разделе продукции уже буде</w:t>
      </w:r>
      <w:r>
        <w:t>т</w:t>
      </w:r>
      <w:r w:rsidR="00AB23FA" w:rsidRPr="00AB23FA">
        <w:t xml:space="preserve"> находиться в стадии реализации, соответствующая Сторона не выполнила требование пункта 4 статьи 6 Конвенции;</w:t>
      </w:r>
    </w:p>
    <w:p w14:paraId="54CCBD77" w14:textId="22BA6B47" w:rsidR="00AB23FA" w:rsidRPr="00AB23FA" w:rsidRDefault="00CC4825" w:rsidP="00AB23FA">
      <w:pPr>
        <w:pStyle w:val="SingleTxtG"/>
      </w:pPr>
      <w:r>
        <w:tab/>
      </w:r>
      <w:r w:rsidR="00AB23FA" w:rsidRPr="00AB23FA">
        <w:t>d)</w:t>
      </w:r>
      <w:r w:rsidR="00AB23FA" w:rsidRPr="00AB23FA">
        <w:tab/>
        <w:t>отказав неправительственной организации, отвечающей требованиям пункта 5 статьи 2, в праве оспаривать законность соглашения о разделе продукции, подпадающего под действие статьи 6, соответствующая Сторона не выполнила требования пункта 2 статьи 9 Конвенции;</w:t>
      </w:r>
    </w:p>
    <w:p w14:paraId="4D8D6794" w14:textId="64B24A93" w:rsidR="00AB23FA" w:rsidRPr="00AB23FA" w:rsidRDefault="00CC4825" w:rsidP="00AB23FA">
      <w:pPr>
        <w:pStyle w:val="SingleTxtG"/>
      </w:pPr>
      <w:r>
        <w:tab/>
      </w:r>
      <w:r w:rsidR="00AB23FA" w:rsidRPr="00AB23FA">
        <w:t>e)</w:t>
      </w:r>
      <w:r w:rsidR="00AB23FA" w:rsidRPr="00AB23FA">
        <w:tab/>
        <w:t xml:space="preserve">сохраняя правовую основу, согласно которой кассационные жалобы в соответствии с пунктом 2 статьи 9 Конвенции должны быть поданы в течение 20 дней с даты принятия оспариваемого решения, а не с даты получения истцом полного текста этого решения, соответствующая Сторона не соблюдает требование о том, что процедуры пересмотра согласно пункту 2 статьи 9 должны быть справедливыми в соответствии с пунктом 4 статьи 9 Конвенции; </w:t>
      </w:r>
    </w:p>
    <w:p w14:paraId="44CB8171" w14:textId="26E3C3B1" w:rsidR="00AB23FA" w:rsidRPr="00AB23FA" w:rsidRDefault="00CC4825" w:rsidP="00AB23FA">
      <w:pPr>
        <w:pStyle w:val="SingleTxtG"/>
      </w:pPr>
      <w:r>
        <w:tab/>
      </w:r>
      <w:r w:rsidR="00AB23FA" w:rsidRPr="00AB23FA">
        <w:t>f)</w:t>
      </w:r>
      <w:r w:rsidR="00AB23FA" w:rsidRPr="00AB23FA">
        <w:tab/>
        <w:t>не обеспечив раскрытие запрашиваемой экологической информации в кратчайшие сроки после того, как суд вынес решение о ее раскрытии, соответствующая Сторона не выполнила требование пункта 4 статьи 9 Конвенции об обеспечении адекватных и эффективных средств правовой защиты в отношении рассмотрения запросов на получение экологической информации;</w:t>
      </w:r>
    </w:p>
    <w:p w14:paraId="4E319C60" w14:textId="34709E6B" w:rsidR="00AB23FA" w:rsidRPr="00AB23FA" w:rsidRDefault="00CC4825" w:rsidP="00AB23FA">
      <w:pPr>
        <w:pStyle w:val="SingleTxtG"/>
      </w:pPr>
      <w:r>
        <w:tab/>
      </w:r>
      <w:r w:rsidR="00AB23FA" w:rsidRPr="00AB23FA">
        <w:t>2.</w:t>
      </w:r>
      <w:r w:rsidR="00AB23FA" w:rsidRPr="00AB23FA">
        <w:tab/>
      </w:r>
      <w:r w:rsidR="00AB23FA" w:rsidRPr="00AB23FA">
        <w:rPr>
          <w:i/>
          <w:iCs/>
        </w:rPr>
        <w:t>рекомендует</w:t>
      </w:r>
      <w:r w:rsidR="00AB23FA" w:rsidRPr="00AB23FA">
        <w:t xml:space="preserve"> соответствующей Стороне принять необходимые законодательные, нормативные, административные или другие меры для обеспечения того, чтобы:</w:t>
      </w:r>
    </w:p>
    <w:p w14:paraId="6048DDEC" w14:textId="710C5D06" w:rsidR="00AB23FA" w:rsidRPr="00AB23FA" w:rsidRDefault="00CC4825" w:rsidP="00AB23FA">
      <w:pPr>
        <w:pStyle w:val="SingleTxtG"/>
      </w:pPr>
      <w:r>
        <w:tab/>
      </w:r>
      <w:r w:rsidR="00AB23FA" w:rsidRPr="00AB23FA">
        <w:t>a)</w:t>
      </w:r>
      <w:r w:rsidR="00AB23FA" w:rsidRPr="00AB23FA">
        <w:tab/>
        <w:t>при условии внесения любых поправок в соответствии с пунктами 3 и 4 статьи 4 Конвенции, тексты соглашений о разделе продукции предоставлялись в полном объеме представителям общественности по запросу в соответствии со статьей</w:t>
      </w:r>
      <w:r>
        <w:t> </w:t>
      </w:r>
      <w:r w:rsidR="00AB23FA" w:rsidRPr="00AB23FA">
        <w:t>4 Конвенции;</w:t>
      </w:r>
    </w:p>
    <w:p w14:paraId="667698C6" w14:textId="0259B2AF" w:rsidR="00AB23FA" w:rsidRPr="00AB23FA" w:rsidRDefault="00CC4825" w:rsidP="00AB23FA">
      <w:pPr>
        <w:pStyle w:val="SingleTxtG"/>
      </w:pPr>
      <w:r>
        <w:tab/>
      </w:r>
      <w:r w:rsidR="00AB23FA" w:rsidRPr="00AB23FA">
        <w:t>b)</w:t>
      </w:r>
      <w:r w:rsidR="00AB23FA" w:rsidRPr="00AB23FA">
        <w:tab/>
        <w:t>участие общественности, отвечающее требованиям статьи 6 Конвенции, осуществлялось в отношении проектов соглашений о разделе продукции до их утверждения, на ранней стадии, когда открыты все возможности и возможно эффективное участие общественности;</w:t>
      </w:r>
    </w:p>
    <w:p w14:paraId="6ECFCF4D" w14:textId="46288EA8" w:rsidR="00AB23FA" w:rsidRPr="00AB23FA" w:rsidRDefault="00CC4825" w:rsidP="00AB23FA">
      <w:pPr>
        <w:pStyle w:val="SingleTxtG"/>
      </w:pPr>
      <w:r>
        <w:tab/>
      </w:r>
      <w:r w:rsidR="00AB23FA" w:rsidRPr="00AB23FA">
        <w:t>c)</w:t>
      </w:r>
      <w:r w:rsidR="00AB23FA" w:rsidRPr="00AB23FA">
        <w:tab/>
        <w:t>неправительственные организации, отвечающие требованиям пункта 5 статьи 2, считались имеющими право на участие в процедурах пересмотра в соответствии с пунктом 2 статьи 9 Конвенции;</w:t>
      </w:r>
    </w:p>
    <w:p w14:paraId="3550A1FA" w14:textId="1CF5ADE2" w:rsidR="00AB23FA" w:rsidRPr="00AB23FA" w:rsidRDefault="00CC4825" w:rsidP="00AB23FA">
      <w:pPr>
        <w:pStyle w:val="SingleTxtG"/>
      </w:pPr>
      <w:r>
        <w:tab/>
      </w:r>
      <w:r w:rsidR="00AB23FA" w:rsidRPr="00AB23FA">
        <w:t>d)</w:t>
      </w:r>
      <w:r w:rsidR="00AB23FA" w:rsidRPr="00AB23FA">
        <w:tab/>
        <w:t>срок для подачи кассационной жалобы, подпадающей под сферу действия пункта 2 статьи 9 Конвенции, исчислялся с даты получения истцом полного текста оспариваемого судебного решения;</w:t>
      </w:r>
    </w:p>
    <w:p w14:paraId="7162C7F6" w14:textId="181C8255" w:rsidR="00AB23FA" w:rsidRPr="00AB23FA" w:rsidRDefault="00CC4825" w:rsidP="00AB23FA">
      <w:pPr>
        <w:pStyle w:val="SingleTxtG"/>
      </w:pPr>
      <w:r>
        <w:tab/>
      </w:r>
      <w:r w:rsidR="00AB23FA" w:rsidRPr="00AB23FA">
        <w:t>e)</w:t>
      </w:r>
      <w:r w:rsidR="00AB23FA" w:rsidRPr="00AB23FA">
        <w:tab/>
        <w:t>в наличии имелись адекватные и эффективные средства правовой защиты, обеспечивающие незамедлительное выполнение предписаний судов государственным органам о раскрытии экологической информации;</w:t>
      </w:r>
    </w:p>
    <w:p w14:paraId="759E27E4" w14:textId="18C0B872" w:rsidR="00AB23FA" w:rsidRPr="00AB23FA" w:rsidRDefault="00CC4825" w:rsidP="00AB23FA">
      <w:pPr>
        <w:pStyle w:val="SingleTxtG"/>
      </w:pPr>
      <w:r>
        <w:tab/>
      </w:r>
      <w:r w:rsidR="00AB23FA" w:rsidRPr="00AB23FA">
        <w:t>3.</w:t>
      </w:r>
      <w:r w:rsidR="00AB23FA" w:rsidRPr="00AB23FA">
        <w:tab/>
      </w:r>
      <w:r w:rsidR="00AB23FA" w:rsidRPr="00AB23FA">
        <w:rPr>
          <w:i/>
          <w:iCs/>
        </w:rPr>
        <w:t>просит</w:t>
      </w:r>
      <w:r w:rsidR="00AB23FA" w:rsidRPr="00AB23FA">
        <w:t xml:space="preserve"> соответствующую Сторону:</w:t>
      </w:r>
    </w:p>
    <w:p w14:paraId="4F6D5C06" w14:textId="5F7A40C4" w:rsidR="00AB23FA" w:rsidRPr="00AB23FA" w:rsidRDefault="00CC4825" w:rsidP="00AB23FA">
      <w:pPr>
        <w:pStyle w:val="SingleTxtG"/>
      </w:pPr>
      <w:r>
        <w:tab/>
      </w:r>
      <w:r w:rsidR="00AB23FA" w:rsidRPr="00AB23FA">
        <w:t>a)</w:t>
      </w:r>
      <w:r w:rsidR="00AB23FA" w:rsidRPr="00AB23FA">
        <w:tab/>
        <w:t>представить к 1 июля 2022 года Комитету план действий и график выполнения вышеизложенных рекомендаций;</w:t>
      </w:r>
    </w:p>
    <w:p w14:paraId="3170384F" w14:textId="70138D7F" w:rsidR="00AB23FA" w:rsidRPr="00AB23FA" w:rsidRDefault="00CC4825" w:rsidP="00AB23FA">
      <w:pPr>
        <w:pStyle w:val="SingleTxtG"/>
      </w:pPr>
      <w:r>
        <w:tab/>
      </w:r>
      <w:r w:rsidR="00AB23FA" w:rsidRPr="00AB23FA">
        <w:t>b)</w:t>
      </w:r>
      <w:r w:rsidR="00AB23FA" w:rsidRPr="00AB23FA">
        <w:tab/>
        <w:t>представить Комитету к 1 октября 2023 года и 1 октября 2024 года подробные доклады о ходе работы, содержащие информацию о принятых мерах и достигнутых результатах в выполнении плана действий и вышеизложенных рекомендаций;</w:t>
      </w:r>
    </w:p>
    <w:p w14:paraId="392CF848" w14:textId="3928295D" w:rsidR="00AB23FA" w:rsidRPr="00AB23FA" w:rsidRDefault="00CC4825" w:rsidP="00AB23FA">
      <w:pPr>
        <w:pStyle w:val="SingleTxtG"/>
      </w:pPr>
      <w:r>
        <w:tab/>
      </w:r>
      <w:r w:rsidR="00AB23FA" w:rsidRPr="00AB23FA">
        <w:t>c)</w:t>
      </w:r>
      <w:r w:rsidR="00AB23FA" w:rsidRPr="00AB23FA">
        <w:tab/>
        <w:t xml:space="preserve">представить любую другую информацию, которую может запросить Комитет, с тем чтобы помочь ему рассмотреть прогресс, достигнутый соответствующей Стороной в выполнении вышеизложенных рекомендаций; </w:t>
      </w:r>
    </w:p>
    <w:p w14:paraId="0D3DA3DF" w14:textId="54C7A1BC" w:rsidR="00AB23FA" w:rsidRPr="00AB23FA" w:rsidRDefault="00CC4825" w:rsidP="00AB23FA">
      <w:pPr>
        <w:pStyle w:val="SingleTxtG"/>
      </w:pPr>
      <w:r>
        <w:tab/>
      </w:r>
      <w:r w:rsidR="00AB23FA" w:rsidRPr="00AB23FA">
        <w:t>d)</w:t>
      </w:r>
      <w:r w:rsidR="00AB23FA" w:rsidRPr="00AB23FA">
        <w:tab/>
        <w:t>принять участие (очно или виртуально) в заседаниях Комитета, на которых будет рассматриваться прогресс, достигнутый соответствующей Стороной в выполнении вышеизложенных рекомендаций;</w:t>
      </w:r>
    </w:p>
    <w:p w14:paraId="1C5A9ADC" w14:textId="0994980B" w:rsidR="00E12C5F" w:rsidRDefault="00CC4825" w:rsidP="00CC4825">
      <w:pPr>
        <w:pStyle w:val="SingleTxtG"/>
      </w:pPr>
      <w:r>
        <w:lastRenderedPageBreak/>
        <w:tab/>
      </w:r>
      <w:r w:rsidR="00AB23FA" w:rsidRPr="00AB23FA">
        <w:t>4.</w:t>
      </w:r>
      <w:r w:rsidR="00AB23FA" w:rsidRPr="00AB23FA">
        <w:tab/>
      </w:r>
      <w:r w:rsidR="00AB23FA" w:rsidRPr="00AB23FA">
        <w:rPr>
          <w:i/>
          <w:iCs/>
        </w:rPr>
        <w:t xml:space="preserve">обязуется </w:t>
      </w:r>
      <w:r w:rsidR="00AB23FA" w:rsidRPr="00AB23FA">
        <w:t>рассмотреть сложившуюся ситуацию на своей восьмой сессии.</w:t>
      </w:r>
    </w:p>
    <w:p w14:paraId="66B2C283" w14:textId="72DD1678" w:rsidR="00CC4825" w:rsidRPr="00CC4825" w:rsidRDefault="00CC4825" w:rsidP="00CC4825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C4825" w:rsidRPr="00CC4825" w:rsidSect="00AB23F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2ADFF" w14:textId="77777777" w:rsidR="008044BE" w:rsidRPr="00A312BC" w:rsidRDefault="008044BE" w:rsidP="00A312BC"/>
  </w:endnote>
  <w:endnote w:type="continuationSeparator" w:id="0">
    <w:p w14:paraId="407BA936" w14:textId="77777777" w:rsidR="008044BE" w:rsidRPr="00A312BC" w:rsidRDefault="008044B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065E5" w14:textId="28036B70" w:rsidR="00AB23FA" w:rsidRPr="00AB23FA" w:rsidRDefault="00AB23FA">
    <w:pPr>
      <w:pStyle w:val="a8"/>
    </w:pPr>
    <w:r w:rsidRPr="00AB23FA">
      <w:rPr>
        <w:b/>
        <w:sz w:val="18"/>
      </w:rPr>
      <w:fldChar w:fldCharType="begin"/>
    </w:r>
    <w:r w:rsidRPr="00AB23FA">
      <w:rPr>
        <w:b/>
        <w:sz w:val="18"/>
      </w:rPr>
      <w:instrText xml:space="preserve"> PAGE  \* MERGEFORMAT </w:instrText>
    </w:r>
    <w:r w:rsidRPr="00AB23FA">
      <w:rPr>
        <w:b/>
        <w:sz w:val="18"/>
      </w:rPr>
      <w:fldChar w:fldCharType="separate"/>
    </w:r>
    <w:r w:rsidRPr="00AB23FA">
      <w:rPr>
        <w:b/>
        <w:noProof/>
        <w:sz w:val="18"/>
      </w:rPr>
      <w:t>2</w:t>
    </w:r>
    <w:r w:rsidRPr="00AB23FA">
      <w:rPr>
        <w:b/>
        <w:sz w:val="18"/>
      </w:rPr>
      <w:fldChar w:fldCharType="end"/>
    </w:r>
    <w:r>
      <w:rPr>
        <w:b/>
        <w:sz w:val="18"/>
      </w:rPr>
      <w:tab/>
    </w:r>
    <w:r>
      <w:t>GE.21-10874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AC2BA" w14:textId="683182BC" w:rsidR="00AB23FA" w:rsidRPr="00AB23FA" w:rsidRDefault="00AB23FA" w:rsidP="00AB23FA">
    <w:pPr>
      <w:pStyle w:val="a8"/>
      <w:tabs>
        <w:tab w:val="clear" w:pos="9639"/>
        <w:tab w:val="right" w:pos="9638"/>
      </w:tabs>
      <w:rPr>
        <w:b/>
        <w:sz w:val="18"/>
      </w:rPr>
    </w:pPr>
    <w:r>
      <w:t>GE.21-10874</w:t>
    </w:r>
    <w:r>
      <w:tab/>
    </w:r>
    <w:r w:rsidRPr="00AB23FA">
      <w:rPr>
        <w:b/>
        <w:sz w:val="18"/>
      </w:rPr>
      <w:fldChar w:fldCharType="begin"/>
    </w:r>
    <w:r w:rsidRPr="00AB23FA">
      <w:rPr>
        <w:b/>
        <w:sz w:val="18"/>
      </w:rPr>
      <w:instrText xml:space="preserve"> PAGE  \* MERGEFORMAT </w:instrText>
    </w:r>
    <w:r w:rsidRPr="00AB23FA">
      <w:rPr>
        <w:b/>
        <w:sz w:val="18"/>
      </w:rPr>
      <w:fldChar w:fldCharType="separate"/>
    </w:r>
    <w:r w:rsidRPr="00AB23FA">
      <w:rPr>
        <w:b/>
        <w:noProof/>
        <w:sz w:val="18"/>
      </w:rPr>
      <w:t>3</w:t>
    </w:r>
    <w:r w:rsidRPr="00AB23F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75AF8" w14:textId="6968B7BD" w:rsidR="00042B72" w:rsidRPr="00AB23FA" w:rsidRDefault="00AB23FA" w:rsidP="00AB23FA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448A8F4" wp14:editId="7C5AAFD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21-10874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E052CB4" wp14:editId="5EA0D389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825">
      <w:t xml:space="preserve">  200821  240821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0F95B" w14:textId="77777777" w:rsidR="008044BE" w:rsidRPr="001075E9" w:rsidRDefault="008044B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38A3AC2" w14:textId="77777777" w:rsidR="008044BE" w:rsidRDefault="008044B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01E50F6" w14:textId="77777777" w:rsidR="00CC4825" w:rsidRPr="00DF5C72" w:rsidRDefault="00CC4825" w:rsidP="00CC4825">
      <w:pPr>
        <w:pStyle w:val="ad"/>
      </w:pPr>
      <w:r>
        <w:tab/>
      </w:r>
      <w:r>
        <w:rPr>
          <w:rStyle w:val="aa"/>
        </w:rPr>
        <w:footnoteRef/>
      </w:r>
      <w:r>
        <w:tab/>
        <w:t>ECE/MP.PP/2/Add.8.</w:t>
      </w:r>
    </w:p>
  </w:footnote>
  <w:footnote w:id="2">
    <w:p w14:paraId="7FBEDF6A" w14:textId="77777777" w:rsidR="00CC4825" w:rsidRPr="00DF5C72" w:rsidRDefault="00CC4825" w:rsidP="00CC4825">
      <w:pPr>
        <w:pStyle w:val="ad"/>
      </w:pPr>
      <w:r>
        <w:tab/>
      </w:r>
      <w:r>
        <w:rPr>
          <w:rStyle w:val="aa"/>
        </w:rPr>
        <w:footnoteRef/>
      </w:r>
      <w:r>
        <w:tab/>
        <w:t>ECE/MP.PP/C.1/2021/18, готовится к выпуску.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A271C" w14:textId="5F34D274" w:rsidR="00AB23FA" w:rsidRPr="00AB23FA" w:rsidRDefault="00AB23FA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75251D">
      <w:t>ECE/</w:t>
    </w:r>
    <w:proofErr w:type="gramStart"/>
    <w:r w:rsidR="0075251D">
      <w:t>MP.PP</w:t>
    </w:r>
    <w:proofErr w:type="gramEnd"/>
    <w:r w:rsidR="0075251D">
      <w:t>/2021/41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02E2F" w14:textId="638910C7" w:rsidR="00AB23FA" w:rsidRPr="00AB23FA" w:rsidRDefault="00AB23FA" w:rsidP="00AB23FA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75251D">
      <w:t>ECE/</w:t>
    </w:r>
    <w:proofErr w:type="gramStart"/>
    <w:r w:rsidR="0075251D">
      <w:t>MP.PP</w:t>
    </w:r>
    <w:proofErr w:type="gramEnd"/>
    <w:r w:rsidR="0075251D">
      <w:t>/2021/41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BE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251D"/>
    <w:rsid w:val="00757357"/>
    <w:rsid w:val="00792497"/>
    <w:rsid w:val="008044BE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23FA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C4825"/>
    <w:rsid w:val="00CE5A1A"/>
    <w:rsid w:val="00CF55F6"/>
    <w:rsid w:val="00D33374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928B8F"/>
  <w15:docId w15:val="{AB897040-1D5C-4310-B4CE-B0DAB2D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4</TotalTime>
  <Pages>3</Pages>
  <Words>653</Words>
  <Characters>4382</Characters>
  <Application>Microsoft Office Word</Application>
  <DocSecurity>0</DocSecurity>
  <Lines>398</Lines>
  <Paragraphs>167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ECE/MP.PP/2021/41</vt:lpstr>
      <vt:lpstr>A/</vt:lpstr>
      <vt:lpstr>A/</vt:lpstr>
    </vt:vector>
  </TitlesOfParts>
  <Company>DCM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ECE/MP.PP/2021/41</dc:title>
  <dc:subject/>
  <dc:creator>Uliana ANTIPOVA</dc:creator>
  <cp:keywords/>
  <cp:lastModifiedBy>Uliana Antipova</cp:lastModifiedBy>
  <cp:revision>3</cp:revision>
  <cp:lastPrinted>2021-08-24T10:57:00Z</cp:lastPrinted>
  <dcterms:created xsi:type="dcterms:W3CDTF">2021-08-24T10:56:00Z</dcterms:created>
  <dcterms:modified xsi:type="dcterms:W3CDTF">2021-08-24T10:59:00Z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