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C61F6A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C69C6E" w14:textId="77777777" w:rsidR="002D5AAC" w:rsidRDefault="002D5AAC" w:rsidP="00FE599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56BDC6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5F3932D" w14:textId="54086755" w:rsidR="002D5AAC" w:rsidRDefault="00FE5997" w:rsidP="00FE5997">
            <w:pPr>
              <w:jc w:val="right"/>
            </w:pPr>
            <w:r w:rsidRPr="00FE5997">
              <w:rPr>
                <w:sz w:val="40"/>
              </w:rPr>
              <w:t>ECE</w:t>
            </w:r>
            <w:r>
              <w:t>/MP.PP/2021/40</w:t>
            </w:r>
          </w:p>
        </w:tc>
      </w:tr>
      <w:tr w:rsidR="002D5AAC" w:rsidRPr="00FE5997" w14:paraId="54620CD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3FF4D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6BEEB1D" wp14:editId="354E6CA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A1320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224E300" w14:textId="77777777" w:rsidR="002D5AAC" w:rsidRDefault="00FE599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EC4957F" w14:textId="77777777" w:rsidR="00FE5997" w:rsidRDefault="00FE5997" w:rsidP="00FE59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2021</w:t>
            </w:r>
          </w:p>
          <w:p w14:paraId="5E6AE88C" w14:textId="77777777" w:rsidR="00FE5997" w:rsidRDefault="00FE5997" w:rsidP="00FE59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009006C" w14:textId="25DC5146" w:rsidR="00FE5997" w:rsidRPr="008D53B6" w:rsidRDefault="00FE5997" w:rsidP="00FE59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092A91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EB32340" w14:textId="65E2B87E" w:rsidR="00FE5997" w:rsidRPr="00EE44C4" w:rsidRDefault="00FE5997" w:rsidP="00FE5997">
      <w:pPr>
        <w:spacing w:before="120"/>
        <w:rPr>
          <w:sz w:val="28"/>
          <w:szCs w:val="28"/>
        </w:rPr>
      </w:pPr>
      <w:r w:rsidRPr="00EE44C4">
        <w:rPr>
          <w:sz w:val="28"/>
          <w:szCs w:val="28"/>
        </w:rPr>
        <w:t xml:space="preserve">Совещание Сторон Конвенции о доступе </w:t>
      </w:r>
      <w:r w:rsidR="00EE44C4">
        <w:rPr>
          <w:sz w:val="28"/>
          <w:szCs w:val="28"/>
        </w:rPr>
        <w:br/>
      </w:r>
      <w:r w:rsidRPr="00EE44C4">
        <w:rPr>
          <w:sz w:val="28"/>
          <w:szCs w:val="28"/>
        </w:rPr>
        <w:t xml:space="preserve">к информации, участии общественности </w:t>
      </w:r>
      <w:r w:rsidR="00EE44C4">
        <w:rPr>
          <w:sz w:val="28"/>
          <w:szCs w:val="28"/>
        </w:rPr>
        <w:br/>
      </w:r>
      <w:r w:rsidRPr="00EE44C4">
        <w:rPr>
          <w:sz w:val="28"/>
          <w:szCs w:val="28"/>
        </w:rPr>
        <w:t xml:space="preserve">в процессе принятия решений и доступе </w:t>
      </w:r>
      <w:r w:rsidR="00EE44C4">
        <w:rPr>
          <w:sz w:val="28"/>
          <w:szCs w:val="28"/>
        </w:rPr>
        <w:br/>
      </w:r>
      <w:r w:rsidRPr="00EE44C4">
        <w:rPr>
          <w:sz w:val="28"/>
          <w:szCs w:val="28"/>
        </w:rPr>
        <w:t xml:space="preserve">к правосудию по вопросам, касающимся </w:t>
      </w:r>
      <w:r w:rsidR="00EE44C4">
        <w:rPr>
          <w:sz w:val="28"/>
          <w:szCs w:val="28"/>
        </w:rPr>
        <w:br/>
      </w:r>
      <w:r w:rsidRPr="00EE44C4">
        <w:rPr>
          <w:sz w:val="28"/>
          <w:szCs w:val="28"/>
        </w:rPr>
        <w:t>окружающей среды</w:t>
      </w:r>
    </w:p>
    <w:p w14:paraId="595C05C5" w14:textId="77777777" w:rsidR="00FE5997" w:rsidRPr="0069583D" w:rsidRDefault="00FE5997" w:rsidP="00FE5997">
      <w:pPr>
        <w:spacing w:before="120"/>
        <w:rPr>
          <w:b/>
          <w:bCs/>
        </w:rPr>
      </w:pPr>
      <w:r>
        <w:rPr>
          <w:b/>
          <w:bCs/>
        </w:rPr>
        <w:t>Седьмая сессия</w:t>
      </w:r>
    </w:p>
    <w:p w14:paraId="3A564742" w14:textId="77777777" w:rsidR="00FE5997" w:rsidRPr="0069583D" w:rsidRDefault="00FE5997" w:rsidP="00FE5997">
      <w:r>
        <w:t>Женева, 18–20 октября 2021 года</w:t>
      </w:r>
      <w:bookmarkStart w:id="0" w:name="_Hlk78550232"/>
      <w:bookmarkEnd w:id="0"/>
    </w:p>
    <w:p w14:paraId="1AF89003" w14:textId="77777777" w:rsidR="00FE5997" w:rsidRPr="0069583D" w:rsidRDefault="00FE5997" w:rsidP="00FE5997">
      <w:r>
        <w:t>Пункт 7 b) предварительной повестки дня</w:t>
      </w:r>
    </w:p>
    <w:p w14:paraId="47DBEB48" w14:textId="45CCB99A" w:rsidR="00E12C5F" w:rsidRDefault="00FE5997" w:rsidP="00FE5997">
      <w:r>
        <w:rPr>
          <w:b/>
          <w:bCs/>
        </w:rPr>
        <w:t xml:space="preserve">Процедуры и механизмы, способствующие осуществлению </w:t>
      </w:r>
      <w:r w:rsidR="00EE44C4">
        <w:rPr>
          <w:b/>
          <w:bCs/>
        </w:rPr>
        <w:br/>
      </w:r>
      <w:r>
        <w:rPr>
          <w:b/>
          <w:bCs/>
        </w:rPr>
        <w:t>Конвенции: механизм соблюдения</w:t>
      </w:r>
    </w:p>
    <w:p w14:paraId="5C469982" w14:textId="77777777" w:rsidR="00FE5997" w:rsidRPr="0069583D" w:rsidRDefault="00FE5997" w:rsidP="00EE44C4">
      <w:pPr>
        <w:pStyle w:val="HChG"/>
      </w:pPr>
      <w:r>
        <w:tab/>
      </w:r>
      <w:r>
        <w:tab/>
        <w:t>Проект решения VII/8q о соблюдении Туркменистаном своих обязательств по Конвенции</w:t>
      </w:r>
    </w:p>
    <w:p w14:paraId="1B7BF648" w14:textId="77777777" w:rsidR="00FE5997" w:rsidRPr="0069583D" w:rsidRDefault="00FE5997" w:rsidP="00EE44C4">
      <w:pPr>
        <w:pStyle w:val="H1G"/>
        <w:rPr>
          <w:i/>
          <w:iCs/>
          <w:sz w:val="20"/>
        </w:rPr>
      </w:pPr>
      <w:r>
        <w:tab/>
      </w:r>
      <w:r>
        <w:tab/>
        <w:t xml:space="preserve">Подготовлен Президиумом </w:t>
      </w:r>
    </w:p>
    <w:p w14:paraId="7DA3EAC4" w14:textId="32E1FA38" w:rsidR="00FE5997" w:rsidRPr="0069583D" w:rsidRDefault="00FE5997" w:rsidP="00FE5997">
      <w:pPr>
        <w:pStyle w:val="SingleTxtG"/>
        <w:rPr>
          <w:i/>
        </w:rPr>
      </w:pPr>
      <w:r>
        <w:tab/>
      </w:r>
      <w:r>
        <w:rPr>
          <w:i/>
          <w:iCs/>
        </w:rPr>
        <w:t>Совещание Сторон,</w:t>
      </w:r>
      <w:r>
        <w:t xml:space="preserve"> </w:t>
      </w:r>
    </w:p>
    <w:p w14:paraId="14724D67" w14:textId="224A26CC" w:rsidR="00FE5997" w:rsidRPr="0069583D" w:rsidRDefault="00FE5997" w:rsidP="00FE5997">
      <w:pPr>
        <w:pStyle w:val="SingleTxtG"/>
      </w:pPr>
      <w:r>
        <w:tab/>
      </w:r>
      <w:r>
        <w:rPr>
          <w:i/>
          <w:iCs/>
        </w:rPr>
        <w:t>действуя</w:t>
      </w:r>
      <w:r>
        <w:t xml:space="preserve"> в соответствии с пунктом 37 приложения к его решению I/7 о рассмотрении соблюдения</w:t>
      </w:r>
      <w:r>
        <w:rPr>
          <w:rStyle w:val="aa"/>
        </w:rPr>
        <w:footnoteReference w:id="1"/>
      </w:r>
      <w:r w:rsidR="00EE44C4">
        <w:t>,</w:t>
      </w:r>
      <w:r>
        <w:t xml:space="preserve"> </w:t>
      </w:r>
    </w:p>
    <w:p w14:paraId="001026FD" w14:textId="611E5D52" w:rsidR="00FE5997" w:rsidRPr="0069583D" w:rsidRDefault="00FE5997" w:rsidP="00FE5997">
      <w:pPr>
        <w:pStyle w:val="SingleTxtG"/>
        <w:rPr>
          <w:rFonts w:asciiTheme="majorBidi" w:hAnsiTheme="majorBidi" w:cstheme="majorBidi"/>
        </w:rPr>
      </w:pPr>
      <w:r>
        <w:tab/>
      </w:r>
      <w:r>
        <w:rPr>
          <w:i/>
          <w:iCs/>
        </w:rPr>
        <w:t xml:space="preserve">ссылаясь </w:t>
      </w:r>
      <w:r>
        <w:t>на пункт 19 своего решения VI/8 по общим вопросам соблюдения, принятого на шестой сессии (</w:t>
      </w:r>
      <w:proofErr w:type="spellStart"/>
      <w:r>
        <w:t>Будва</w:t>
      </w:r>
      <w:proofErr w:type="spellEnd"/>
      <w:r>
        <w:t>, Черногория, 11</w:t>
      </w:r>
      <w:r w:rsidR="00EE44C4">
        <w:t>–</w:t>
      </w:r>
      <w:r>
        <w:t>13 сентября 2017 года)</w:t>
      </w:r>
      <w:r w:rsidR="00EE44C4">
        <w:rPr>
          <w:rStyle w:val="aa"/>
          <w:spacing w:val="1"/>
        </w:rPr>
        <w:footnoteReference w:id="2"/>
      </w:r>
      <w:r>
        <w:t>, в</w:t>
      </w:r>
      <w:r w:rsidR="00EE44C4">
        <w:t> </w:t>
      </w:r>
      <w:r>
        <w:t>котором он просил Комитет по вопросам соблюдения рассмотреть вопрос о соблюдении Туркменистаном пунктов 1, 4 и 9 статьи 3 Конвенции в отношении возможности для иностранных граждан и лиц без гражданства создавать неправительственные организации, содействующие охране окружающей среды, и</w:t>
      </w:r>
      <w:r w:rsidR="00EE44C4">
        <w:t> </w:t>
      </w:r>
      <w:r>
        <w:t>участвовать в их деятельности,</w:t>
      </w:r>
    </w:p>
    <w:p w14:paraId="06B45EBA" w14:textId="4EB16081" w:rsidR="00FE5997" w:rsidRPr="0069583D" w:rsidRDefault="00FE5997" w:rsidP="00FE5997">
      <w:pPr>
        <w:pStyle w:val="SingleTxtG"/>
      </w:pPr>
      <w:r>
        <w:tab/>
      </w:r>
      <w:r>
        <w:rPr>
          <w:i/>
          <w:iCs/>
        </w:rPr>
        <w:t>принимая к сведению</w:t>
      </w:r>
      <w:r>
        <w:t xml:space="preserve"> доклад Комитета в отношении пункта 19 решения VI/8 по общим вопросам соблюдения, касающегося соблюдения Туркменистаном своих обязательств по Конвенции</w:t>
      </w:r>
      <w:r>
        <w:rPr>
          <w:rStyle w:val="aa"/>
        </w:rPr>
        <w:footnoteReference w:id="3"/>
      </w:r>
      <w:r w:rsidR="00EE44C4">
        <w:t>,</w:t>
      </w:r>
    </w:p>
    <w:p w14:paraId="50A2BC7E" w14:textId="05D00258" w:rsidR="00FE5997" w:rsidRPr="0069583D" w:rsidRDefault="00FE5997" w:rsidP="00FE5997">
      <w:pPr>
        <w:pStyle w:val="SingleTxtG"/>
        <w:rPr>
          <w:rFonts w:asciiTheme="majorBidi" w:hAnsiTheme="majorBidi" w:cstheme="majorBidi"/>
        </w:rPr>
      </w:pPr>
      <w:r>
        <w:tab/>
      </w:r>
      <w:r>
        <w:rPr>
          <w:i/>
          <w:iCs/>
        </w:rPr>
        <w:t>будучи воодушевлено</w:t>
      </w:r>
      <w:r>
        <w:t xml:space="preserve"> готовностью Туркменистана конструктивно обсуждать с Комитетом соответствующие вопросы соблюдения, </w:t>
      </w:r>
    </w:p>
    <w:p w14:paraId="0E261ABE" w14:textId="17F69667" w:rsidR="00FE5997" w:rsidRPr="0069583D" w:rsidRDefault="00EE44C4" w:rsidP="00FE5997">
      <w:pPr>
        <w:pStyle w:val="SingleTxtG"/>
        <w:tabs>
          <w:tab w:val="left" w:pos="1134"/>
        </w:tabs>
        <w:rPr>
          <w:rFonts w:asciiTheme="majorBidi" w:hAnsiTheme="majorBidi" w:cstheme="majorBidi"/>
        </w:rPr>
      </w:pPr>
      <w:r>
        <w:tab/>
      </w:r>
      <w:r w:rsidR="00FE5997">
        <w:t>1.</w:t>
      </w:r>
      <w:r w:rsidR="00FE5997">
        <w:tab/>
      </w:r>
      <w:r w:rsidR="00FE5997">
        <w:rPr>
          <w:i/>
          <w:iCs/>
        </w:rPr>
        <w:t xml:space="preserve">одобряет </w:t>
      </w:r>
      <w:r w:rsidR="00FE5997">
        <w:t>выводы Комитета о том, что:</w:t>
      </w:r>
    </w:p>
    <w:p w14:paraId="3826CCC5" w14:textId="1234A23C" w:rsidR="00FE5997" w:rsidRPr="0069583D" w:rsidRDefault="00EE44C4" w:rsidP="00EE44C4">
      <w:pPr>
        <w:pStyle w:val="SingleTxtG"/>
        <w:spacing w:after="100"/>
      </w:pPr>
      <w:r>
        <w:tab/>
      </w:r>
      <w:r w:rsidR="00FE5997">
        <w:t>a)</w:t>
      </w:r>
      <w:r w:rsidR="00FE5997">
        <w:tab/>
        <w:t xml:space="preserve">в отсутствие законодательной базы, четко гарантирующей иностранным гражданам и лицам без гражданства возможность участвовать в деятельности общественных объединений и создавать их наравне с гражданами Туркменистана, </w:t>
      </w:r>
      <w:r w:rsidR="00FE5997">
        <w:lastRenderedPageBreak/>
        <w:t>соответствующая Сторона по-прежнему не обеспечивает соблюдение пункта 9 статьи</w:t>
      </w:r>
      <w:r>
        <w:t> </w:t>
      </w:r>
      <w:r w:rsidR="00FE5997">
        <w:t>3 Конвенции;</w:t>
      </w:r>
    </w:p>
    <w:p w14:paraId="438A66F3" w14:textId="5D986764" w:rsidR="00FE5997" w:rsidRPr="0069583D" w:rsidRDefault="00EE44C4" w:rsidP="00EE44C4">
      <w:pPr>
        <w:pStyle w:val="SingleTxtG"/>
        <w:spacing w:after="100"/>
      </w:pPr>
      <w:r>
        <w:tab/>
      </w:r>
      <w:r w:rsidR="00FE5997">
        <w:t>b)</w:t>
      </w:r>
      <w:r w:rsidR="00FE5997">
        <w:tab/>
        <w:t>с учетом сохраняющейся неясности в отношении того, как на практике будет применяться запрет на деятельность незарегистрированных общественных объединений, предусмотренный пунктом 2 статьи 7 Закона об общественных объединениях 2014 года, соответствующая Сторона пока не продемонстрировала, что она обеспечила соблюдение пункта 4 статьи 3 Конвенции</w:t>
      </w:r>
      <w:r>
        <w:t>;</w:t>
      </w:r>
    </w:p>
    <w:p w14:paraId="2F9C59C3" w14:textId="3BFFE8ED" w:rsidR="00FE5997" w:rsidRPr="0069583D" w:rsidRDefault="00EE44C4" w:rsidP="00EE44C4">
      <w:pPr>
        <w:pStyle w:val="SingleTxtG"/>
        <w:spacing w:after="100"/>
      </w:pPr>
      <w:r>
        <w:tab/>
      </w:r>
      <w:r w:rsidR="00FE5997">
        <w:t>c)</w:t>
      </w:r>
      <w:r w:rsidR="00FE5997">
        <w:tab/>
        <w:t>в свете выводов Комитета, изложенных в подпунктах a) и b) выше</w:t>
      </w:r>
      <w:r>
        <w:t>,</w:t>
      </w:r>
      <w:r w:rsidR="00FE5997">
        <w:t xml:space="preserve"> Комитет считает, что соответствующая Сторона пока не продемонстрировала, что она обеспечила соблюдение обязательства по пункту 1 статьи 3 Конвенции, касающегося обеспечения четкой, открытой и согласованной структуры для осуществления положений пунктов 4 и 9 статьи 3 Конвенции</w:t>
      </w:r>
      <w:r>
        <w:t>;</w:t>
      </w:r>
    </w:p>
    <w:p w14:paraId="1C2C4D62" w14:textId="3AA3B163" w:rsidR="00FE5997" w:rsidRPr="00414D8C" w:rsidRDefault="00EE44C4" w:rsidP="00EE44C4">
      <w:pPr>
        <w:pStyle w:val="SingleTxtG"/>
        <w:spacing w:after="100"/>
        <w:rPr>
          <w:spacing w:val="1"/>
        </w:rPr>
      </w:pPr>
      <w:r>
        <w:tab/>
      </w:r>
      <w:r w:rsidR="00FE5997">
        <w:t>2.</w:t>
      </w:r>
      <w:r w:rsidR="00FE5997">
        <w:tab/>
      </w:r>
      <w:r w:rsidR="00FE5997">
        <w:rPr>
          <w:i/>
          <w:iCs/>
        </w:rPr>
        <w:t>рекомендует</w:t>
      </w:r>
      <w:r w:rsidR="00FE5997">
        <w:t xml:space="preserve"> соответствующей Стороне в срочном порядке принять необходимые законодательные, нормативные, административные и практические меры для обеспечения того, чтобы е</w:t>
      </w:r>
      <w:r>
        <w:t>е</w:t>
      </w:r>
      <w:r w:rsidR="00FE5997">
        <w:t xml:space="preserve"> правовая основа:</w:t>
      </w:r>
    </w:p>
    <w:p w14:paraId="6AA15D46" w14:textId="34D8F876" w:rsidR="00FE5997" w:rsidRPr="00414D8C" w:rsidRDefault="00EE44C4" w:rsidP="00EE44C4">
      <w:pPr>
        <w:pStyle w:val="SingleTxtG"/>
        <w:spacing w:after="100"/>
      </w:pPr>
      <w:r>
        <w:tab/>
      </w:r>
      <w:r w:rsidR="00FE5997">
        <w:t>a)</w:t>
      </w:r>
      <w:r w:rsidR="00FE5997">
        <w:tab/>
        <w:t xml:space="preserve">четко устанавливала, что иностранные граждане и лица без гражданства имеют такое же право создавать неправительственные организации, содействующие охране окружающей среды, и участвовать в их деятельности, что и граждане Туркменистана; </w:t>
      </w:r>
    </w:p>
    <w:p w14:paraId="4B843ADE" w14:textId="02C08403" w:rsidR="00FE5997" w:rsidRPr="0069583D" w:rsidRDefault="00EE44C4" w:rsidP="00EE44C4">
      <w:pPr>
        <w:pStyle w:val="SingleTxtG"/>
        <w:spacing w:after="100"/>
      </w:pPr>
      <w:r>
        <w:tab/>
      </w:r>
      <w:r w:rsidR="00FE5997">
        <w:t>b)</w:t>
      </w:r>
      <w:r w:rsidR="00FE5997">
        <w:tab/>
        <w:t>обеспечивала ясность в отношении того, что представители общественности, решившие объединиться для осуществления своих прав, предусмотренных пунктом 2 статьи 9 Закона об охране природы, например для ведения деятельности по оздоровлению окружающей среды или участия в демонстрациях по вопросам охраны природы, и при этом желающие выступать под единым названием, не будут считаться действующими как «незарегистрированное общественное объединение» и, следовательно, их деятельность не будет считаться запрещенной в соответствии с пунктом 2 статьи 7 Закона об общественных объединениях 2014 года;</w:t>
      </w:r>
    </w:p>
    <w:p w14:paraId="2AD33AD4" w14:textId="2E9522F5" w:rsidR="00FE5997" w:rsidRPr="00414D8C" w:rsidRDefault="00EE44C4" w:rsidP="002062DA">
      <w:pPr>
        <w:pStyle w:val="SingleTxtG"/>
      </w:pPr>
      <w:r>
        <w:tab/>
      </w:r>
      <w:r w:rsidR="00FE5997">
        <w:t>3.</w:t>
      </w:r>
      <w:r w:rsidR="00FE5997">
        <w:tab/>
      </w:r>
      <w:r w:rsidR="00FE5997">
        <w:rPr>
          <w:i/>
          <w:iCs/>
        </w:rPr>
        <w:t>призывает</w:t>
      </w:r>
      <w:r w:rsidR="00FE5997">
        <w:t xml:space="preserve"> все соответствующие ведомства заинтересованной Стороны, включая Министерство юстиции, сотрудничать друг с другом в целях успешного выполнения вышеизложенных рекомендаций;</w:t>
      </w:r>
    </w:p>
    <w:p w14:paraId="0484AB3D" w14:textId="2A6AEFDE" w:rsidR="00FE5997" w:rsidRPr="00E664B5" w:rsidRDefault="00EE44C4" w:rsidP="002062DA">
      <w:pPr>
        <w:pStyle w:val="SingleTxtG"/>
      </w:pPr>
      <w:r>
        <w:tab/>
      </w:r>
      <w:r w:rsidR="00FE5997">
        <w:t>4.</w:t>
      </w:r>
      <w:r w:rsidR="00FE5997">
        <w:tab/>
      </w:r>
      <w:r w:rsidR="00FE5997">
        <w:rPr>
          <w:i/>
          <w:iCs/>
        </w:rPr>
        <w:t>просит</w:t>
      </w:r>
      <w:r w:rsidR="00FE5997">
        <w:t xml:space="preserve"> соответствующую Сторону:</w:t>
      </w:r>
    </w:p>
    <w:p w14:paraId="70A9FCED" w14:textId="77777777" w:rsidR="00FE5997" w:rsidRPr="00414D8C" w:rsidRDefault="00FE5997" w:rsidP="00EE44C4">
      <w:pPr>
        <w:pStyle w:val="SingleTxtG"/>
        <w:spacing w:after="100"/>
        <w:ind w:firstLine="567"/>
        <w:rPr>
          <w:rFonts w:asciiTheme="majorBidi" w:hAnsiTheme="majorBidi" w:cstheme="majorBidi"/>
        </w:rPr>
      </w:pPr>
      <w:r>
        <w:t>a)</w:t>
      </w:r>
      <w:r>
        <w:tab/>
        <w:t>представить к 1 июля 2022 года Комитету план действий и график выполнения вышеизложенных рекомендаций;</w:t>
      </w:r>
    </w:p>
    <w:p w14:paraId="44591206" w14:textId="77777777" w:rsidR="00FE5997" w:rsidRPr="00414D8C" w:rsidRDefault="00FE5997" w:rsidP="00EE44C4">
      <w:pPr>
        <w:pStyle w:val="SingleTxtG"/>
        <w:spacing w:after="100"/>
        <w:ind w:firstLine="567"/>
        <w:rPr>
          <w:rFonts w:asciiTheme="majorBidi" w:hAnsiTheme="majorBidi" w:cstheme="majorBidi"/>
        </w:rPr>
      </w:pPr>
      <w:r>
        <w:t>b)</w:t>
      </w:r>
      <w:r>
        <w:tab/>
        <w:t>представить Комитету к 1 октября 2023 года и 1 октября 2024 года подробные доклады о ходе работы, содержащие информацию о принятых мерах и достигнутых результатах в выполнении плана действий и вышеизложенных рекомендаций;</w:t>
      </w:r>
    </w:p>
    <w:p w14:paraId="281548D2" w14:textId="77777777" w:rsidR="00FE5997" w:rsidRPr="00414D8C" w:rsidRDefault="00FE5997" w:rsidP="00EE44C4">
      <w:pPr>
        <w:pStyle w:val="SingleTxtG"/>
        <w:spacing w:after="100"/>
        <w:ind w:firstLine="567"/>
        <w:rPr>
          <w:rFonts w:asciiTheme="majorBidi" w:hAnsiTheme="majorBidi" w:cstheme="majorBidi"/>
        </w:rPr>
      </w:pPr>
      <w:r>
        <w:t>c)</w:t>
      </w:r>
      <w:r>
        <w:tab/>
        <w:t xml:space="preserve">представить любую другую информацию, которую может запросить Комитет, с тем чтобы помочь ему рассмотреть прогресс, достигнутый соответствующей Стороной в выполнении вышеизложенных рекомендаций; </w:t>
      </w:r>
    </w:p>
    <w:p w14:paraId="5397758E" w14:textId="62309770" w:rsidR="00FE5997" w:rsidRPr="00414D8C" w:rsidRDefault="00FE5997" w:rsidP="00EE44C4">
      <w:pPr>
        <w:pStyle w:val="SingleTxtG"/>
        <w:spacing w:after="100"/>
        <w:ind w:firstLine="567"/>
        <w:rPr>
          <w:rFonts w:asciiTheme="majorBidi" w:hAnsiTheme="majorBidi" w:cstheme="majorBidi"/>
        </w:rPr>
      </w:pPr>
      <w:r>
        <w:t>d)</w:t>
      </w:r>
      <w:r>
        <w:tab/>
        <w:t>принять участие (очно или виртуально) в заседаниях Комитета, на</w:t>
      </w:r>
      <w:r w:rsidR="00EE44C4">
        <w:t> </w:t>
      </w:r>
      <w:r>
        <w:t>которых будет рассматриваться прогресс, достигнутый соответствующей Стороной в выполнении вышеизложенных рекомендаций;</w:t>
      </w:r>
    </w:p>
    <w:p w14:paraId="7485BD8C" w14:textId="7D2E8BD6" w:rsidR="00FE5997" w:rsidRPr="0069583D" w:rsidRDefault="00EE44C4" w:rsidP="00EE44C4">
      <w:pPr>
        <w:pStyle w:val="SingleTxtG"/>
        <w:rPr>
          <w:rFonts w:asciiTheme="majorBidi" w:hAnsiTheme="majorBidi" w:cstheme="majorBidi"/>
        </w:rPr>
      </w:pPr>
      <w:r>
        <w:tab/>
      </w:r>
      <w:r w:rsidR="00FE5997">
        <w:t>5.</w:t>
      </w:r>
      <w:r w:rsidR="00FE5997">
        <w:tab/>
      </w:r>
      <w:r w:rsidR="00FE5997">
        <w:rPr>
          <w:i/>
          <w:iCs/>
        </w:rPr>
        <w:t>постановляет</w:t>
      </w:r>
      <w:r w:rsidR="00FE5997">
        <w:t xml:space="preserve"> вынести предупреждение соответствующей Стороне, которое вступит в силу 1 января 2024 года, если соответствующая Сторона полностью не выполнит условия, изложенные в подпунктах a) и b) пункта 2 выше, и не уведомит секретариат об этом до 1 октября 2023 года;</w:t>
      </w:r>
    </w:p>
    <w:p w14:paraId="49C59274" w14:textId="7DB77D03" w:rsidR="00FE5997" w:rsidRPr="00414D8C" w:rsidRDefault="00EE44C4" w:rsidP="00EE44C4">
      <w:pPr>
        <w:pStyle w:val="SingleTxtG"/>
        <w:rPr>
          <w:rFonts w:asciiTheme="majorBidi" w:hAnsiTheme="majorBidi" w:cstheme="majorBidi"/>
        </w:rPr>
      </w:pPr>
      <w:r>
        <w:tab/>
      </w:r>
      <w:r w:rsidR="00FE5997">
        <w:t>6.</w:t>
      </w:r>
      <w:r w:rsidR="00FE5997">
        <w:tab/>
      </w:r>
      <w:r w:rsidR="00FE5997">
        <w:rPr>
          <w:i/>
          <w:iCs/>
        </w:rPr>
        <w:t>просит</w:t>
      </w:r>
      <w:r w:rsidR="00FE5997">
        <w:t xml:space="preserve"> Комитет определить успешность выполнения подпунктов a) и b) пункта 2 выше для целей вышеуказанного пункта 5;</w:t>
      </w:r>
    </w:p>
    <w:p w14:paraId="676B9A90" w14:textId="0343C811" w:rsidR="00FE5997" w:rsidRDefault="00EE44C4" w:rsidP="00EE44C4">
      <w:pPr>
        <w:pStyle w:val="SingleTxtG"/>
      </w:pPr>
      <w:r>
        <w:tab/>
      </w:r>
      <w:r w:rsidR="00FE5997">
        <w:t>7.</w:t>
      </w:r>
      <w:r w:rsidR="00FE5997">
        <w:tab/>
      </w:r>
      <w:r w:rsidR="00FE5997">
        <w:rPr>
          <w:i/>
          <w:iCs/>
        </w:rPr>
        <w:t>обязуется</w:t>
      </w:r>
      <w:r w:rsidR="00FE5997">
        <w:t xml:space="preserve"> рассмотреть сложившуюся ситуацию на своей восьмой сессии.</w:t>
      </w:r>
    </w:p>
    <w:p w14:paraId="648058E9" w14:textId="389D312E" w:rsidR="00FE5997" w:rsidRPr="00FE5997" w:rsidRDefault="00FE5997" w:rsidP="00EE44C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E5997" w:rsidRPr="00FE5997" w:rsidSect="00FE599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4BA78" w14:textId="77777777" w:rsidR="00B13636" w:rsidRPr="00A312BC" w:rsidRDefault="00B13636" w:rsidP="00A312BC"/>
  </w:endnote>
  <w:endnote w:type="continuationSeparator" w:id="0">
    <w:p w14:paraId="62DC1E1B" w14:textId="77777777" w:rsidR="00B13636" w:rsidRPr="00A312BC" w:rsidRDefault="00B1363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87B7F" w14:textId="03CB304A" w:rsidR="00FE5997" w:rsidRPr="00FE5997" w:rsidRDefault="00FE5997">
    <w:pPr>
      <w:pStyle w:val="a8"/>
    </w:pPr>
    <w:r w:rsidRPr="00FE5997">
      <w:rPr>
        <w:b/>
        <w:sz w:val="18"/>
      </w:rPr>
      <w:fldChar w:fldCharType="begin"/>
    </w:r>
    <w:r w:rsidRPr="00FE5997">
      <w:rPr>
        <w:b/>
        <w:sz w:val="18"/>
      </w:rPr>
      <w:instrText xml:space="preserve"> PAGE  \* MERGEFORMAT </w:instrText>
    </w:r>
    <w:r w:rsidRPr="00FE5997">
      <w:rPr>
        <w:b/>
        <w:sz w:val="18"/>
      </w:rPr>
      <w:fldChar w:fldCharType="separate"/>
    </w:r>
    <w:r w:rsidRPr="00FE5997">
      <w:rPr>
        <w:b/>
        <w:noProof/>
        <w:sz w:val="18"/>
      </w:rPr>
      <w:t>2</w:t>
    </w:r>
    <w:r w:rsidRPr="00FE5997">
      <w:rPr>
        <w:b/>
        <w:sz w:val="18"/>
      </w:rPr>
      <w:fldChar w:fldCharType="end"/>
    </w:r>
    <w:r>
      <w:rPr>
        <w:b/>
        <w:sz w:val="18"/>
      </w:rPr>
      <w:tab/>
    </w:r>
    <w:r>
      <w:t>GE.21-10879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69FA4" w14:textId="07FDB8E0" w:rsidR="00FE5997" w:rsidRPr="00FE5997" w:rsidRDefault="00FE5997" w:rsidP="00FE5997">
    <w:pPr>
      <w:pStyle w:val="a8"/>
      <w:tabs>
        <w:tab w:val="clear" w:pos="9639"/>
        <w:tab w:val="right" w:pos="9638"/>
      </w:tabs>
      <w:rPr>
        <w:b/>
        <w:sz w:val="18"/>
      </w:rPr>
    </w:pPr>
    <w:r>
      <w:t>GE.21-10879</w:t>
    </w:r>
    <w:r>
      <w:tab/>
    </w:r>
    <w:r w:rsidRPr="00FE5997">
      <w:rPr>
        <w:b/>
        <w:sz w:val="18"/>
      </w:rPr>
      <w:fldChar w:fldCharType="begin"/>
    </w:r>
    <w:r w:rsidRPr="00FE5997">
      <w:rPr>
        <w:b/>
        <w:sz w:val="18"/>
      </w:rPr>
      <w:instrText xml:space="preserve"> PAGE  \* MERGEFORMAT </w:instrText>
    </w:r>
    <w:r w:rsidRPr="00FE5997">
      <w:rPr>
        <w:b/>
        <w:sz w:val="18"/>
      </w:rPr>
      <w:fldChar w:fldCharType="separate"/>
    </w:r>
    <w:r w:rsidRPr="00FE5997">
      <w:rPr>
        <w:b/>
        <w:noProof/>
        <w:sz w:val="18"/>
      </w:rPr>
      <w:t>3</w:t>
    </w:r>
    <w:r w:rsidRPr="00FE599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15D1" w14:textId="26E384E1" w:rsidR="00042B72" w:rsidRPr="00FE5997" w:rsidRDefault="00FE5997" w:rsidP="00FE599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D08E695" wp14:editId="70F59AF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10879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3585540" wp14:editId="13B23AC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2DA">
      <w:t xml:space="preserve">  200821  240821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B60EB" w14:textId="77777777" w:rsidR="00B13636" w:rsidRPr="001075E9" w:rsidRDefault="00B1363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578F1F" w14:textId="77777777" w:rsidR="00B13636" w:rsidRDefault="00B1363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96EF922" w14:textId="77777777" w:rsidR="00FE5997" w:rsidRPr="00FE5997" w:rsidRDefault="00FE5997" w:rsidP="00FE5997">
      <w:pPr>
        <w:pStyle w:val="ad"/>
        <w:rPr>
          <w:lang w:val="en-US"/>
        </w:rPr>
      </w:pPr>
      <w:r>
        <w:tab/>
      </w:r>
      <w:r w:rsidRPr="00A268FE">
        <w:rPr>
          <w:rStyle w:val="aa"/>
          <w:szCs w:val="18"/>
        </w:rPr>
        <w:footnoteRef/>
      </w:r>
      <w:r w:rsidRPr="00414D8C">
        <w:rPr>
          <w:lang w:val="en-US"/>
        </w:rPr>
        <w:tab/>
        <w:t>ECE/</w:t>
      </w:r>
      <w:proofErr w:type="gramStart"/>
      <w:r w:rsidRPr="00414D8C">
        <w:rPr>
          <w:lang w:val="en-US"/>
        </w:rPr>
        <w:t>MP.PP</w:t>
      </w:r>
      <w:proofErr w:type="gramEnd"/>
      <w:r w:rsidRPr="00414D8C">
        <w:rPr>
          <w:lang w:val="en-US"/>
        </w:rPr>
        <w:t>/2/Add.8.</w:t>
      </w:r>
    </w:p>
  </w:footnote>
  <w:footnote w:id="2">
    <w:p w14:paraId="599E10EE" w14:textId="77777777" w:rsidR="00EE44C4" w:rsidRPr="00FE5997" w:rsidRDefault="00EE44C4" w:rsidP="00EE44C4">
      <w:pPr>
        <w:pStyle w:val="ad"/>
        <w:rPr>
          <w:lang w:val="en-US"/>
        </w:rPr>
      </w:pPr>
      <w:r w:rsidRPr="00414D8C">
        <w:rPr>
          <w:lang w:val="en-US"/>
        </w:rPr>
        <w:tab/>
      </w:r>
      <w:r>
        <w:rPr>
          <w:rStyle w:val="aa"/>
        </w:rPr>
        <w:footnoteRef/>
      </w:r>
      <w:r w:rsidRPr="00414D8C">
        <w:rPr>
          <w:lang w:val="en-US"/>
        </w:rPr>
        <w:tab/>
        <w:t>ECE/</w:t>
      </w:r>
      <w:proofErr w:type="gramStart"/>
      <w:r w:rsidRPr="00414D8C">
        <w:rPr>
          <w:lang w:val="en-US"/>
        </w:rPr>
        <w:t>MP.PP</w:t>
      </w:r>
      <w:proofErr w:type="gramEnd"/>
      <w:r w:rsidRPr="00414D8C">
        <w:rPr>
          <w:lang w:val="en-US"/>
        </w:rPr>
        <w:t>/2017/2/Add.1.</w:t>
      </w:r>
    </w:p>
  </w:footnote>
  <w:footnote w:id="3">
    <w:p w14:paraId="540BFC0C" w14:textId="77777777" w:rsidR="00FE5997" w:rsidRPr="0069583D" w:rsidRDefault="00FE5997" w:rsidP="00FE5997">
      <w:pPr>
        <w:pStyle w:val="ad"/>
      </w:pPr>
      <w:r w:rsidRPr="00414D8C">
        <w:rPr>
          <w:lang w:val="en-US"/>
        </w:rPr>
        <w:tab/>
      </w:r>
      <w:r w:rsidRPr="00A268FE">
        <w:rPr>
          <w:rStyle w:val="aa"/>
          <w:szCs w:val="18"/>
        </w:rPr>
        <w:footnoteRef/>
      </w:r>
      <w:r>
        <w:tab/>
        <w:t>ECE/MP.PP/2021/58, готовится к выпуску.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2B594" w14:textId="06C78CFD" w:rsidR="00FE5997" w:rsidRPr="00FE5997" w:rsidRDefault="00FE599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B736CC">
      <w:t>ECE/</w:t>
    </w:r>
    <w:proofErr w:type="gramStart"/>
    <w:r w:rsidR="00B736CC">
      <w:t>MP.PP</w:t>
    </w:r>
    <w:proofErr w:type="gramEnd"/>
    <w:r w:rsidR="00B736CC">
      <w:t>/2021/40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EA23D" w14:textId="16E732E2" w:rsidR="00FE5997" w:rsidRPr="00FE5997" w:rsidRDefault="00FE5997" w:rsidP="00FE599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736CC">
      <w:t>ECE/</w:t>
    </w:r>
    <w:proofErr w:type="gramStart"/>
    <w:r w:rsidR="00B736CC">
      <w:t>MP.PP</w:t>
    </w:r>
    <w:proofErr w:type="gramEnd"/>
    <w:r w:rsidR="00B736CC">
      <w:t>/2021/40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732D6A"/>
    <w:multiLevelType w:val="hybridMultilevel"/>
    <w:tmpl w:val="3CAAAD8C"/>
    <w:lvl w:ilvl="0" w:tplc="CEA648AC">
      <w:start w:val="1"/>
      <w:numFmt w:val="decimal"/>
      <w:lvlText w:val="%1."/>
      <w:lvlJc w:val="left"/>
      <w:pPr>
        <w:tabs>
          <w:tab w:val="num" w:pos="1710"/>
        </w:tabs>
        <w:ind w:left="1710" w:hanging="576"/>
      </w:pPr>
      <w:rPr>
        <w:color w:val="auto"/>
        <w:vertAlign w:val="baseline"/>
        <w:lang w:val="en-GB"/>
      </w:rPr>
    </w:lvl>
    <w:lvl w:ilvl="1" w:tplc="0B1C8860">
      <w:start w:val="1"/>
      <w:numFmt w:val="decimal"/>
      <w:lvlText w:val="%2)"/>
      <w:lvlJc w:val="left"/>
      <w:pPr>
        <w:tabs>
          <w:tab w:val="num" w:pos="2574"/>
        </w:tabs>
        <w:ind w:left="2574" w:hanging="72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3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62D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2113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3636"/>
    <w:rsid w:val="00B36DF7"/>
    <w:rsid w:val="00B539E7"/>
    <w:rsid w:val="00B62458"/>
    <w:rsid w:val="00B736CC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44C4"/>
    <w:rsid w:val="00EF1360"/>
    <w:rsid w:val="00EF3220"/>
    <w:rsid w:val="00F2523A"/>
    <w:rsid w:val="00F43903"/>
    <w:rsid w:val="00F94155"/>
    <w:rsid w:val="00F9783F"/>
    <w:rsid w:val="00FD2EF7"/>
    <w:rsid w:val="00FE447E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6CCD3F"/>
  <w15:docId w15:val="{8E9ED171-406E-4031-BD27-A8B99546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E599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641</Words>
  <Characters>4315</Characters>
  <Application>Microsoft Office Word</Application>
  <DocSecurity>0</DocSecurity>
  <Lines>95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ECE/MP.PP/2021/40</vt:lpstr>
      <vt:lpstr>A/</vt:lpstr>
      <vt:lpstr>A/</vt:lpstr>
    </vt:vector>
  </TitlesOfParts>
  <Company>DCM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ECE/MP.PP/2021/40</dc:title>
  <dc:subject/>
  <dc:creator>Marina KOROTKOVA</dc:creator>
  <cp:keywords/>
  <cp:lastModifiedBy>Marina KOROTKOVA</cp:lastModifiedBy>
  <cp:revision>3</cp:revision>
  <cp:lastPrinted>2021-08-24T12:45:00Z</cp:lastPrinted>
  <dcterms:created xsi:type="dcterms:W3CDTF">2021-08-24T12:45:00Z</dcterms:created>
  <dcterms:modified xsi:type="dcterms:W3CDTF">2021-08-24T12:45:00Z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