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D2559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5686FD" w14:textId="77777777" w:rsidR="002D5AAC" w:rsidRDefault="002D5AAC" w:rsidP="00360F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8582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FBE6CE" w14:textId="63ADA7CF" w:rsidR="002D5AAC" w:rsidRDefault="00360FDF" w:rsidP="00360FDF">
            <w:pPr>
              <w:jc w:val="right"/>
            </w:pPr>
            <w:r w:rsidRPr="00360FDF">
              <w:rPr>
                <w:sz w:val="40"/>
              </w:rPr>
              <w:t>ECE</w:t>
            </w:r>
            <w:r>
              <w:t>/MP.PP/2021/34</w:t>
            </w:r>
          </w:p>
        </w:tc>
      </w:tr>
      <w:tr w:rsidR="002D5AAC" w:rsidRPr="00360FDF" w14:paraId="519715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2A32C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7DA951" wp14:editId="35D57F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EB13F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C07C3C" w14:textId="77777777" w:rsidR="002D5AAC" w:rsidRDefault="00360F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DD8698" w14:textId="77777777" w:rsidR="00360FDF" w:rsidRDefault="00360FDF" w:rsidP="00360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0942946E" w14:textId="77777777" w:rsidR="00360FDF" w:rsidRDefault="00360FDF" w:rsidP="00360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691D54" w14:textId="24EAE274" w:rsidR="00360FDF" w:rsidRPr="008D53B6" w:rsidRDefault="00360FDF" w:rsidP="00360F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2D38A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43D2F2" w14:textId="685706A3" w:rsidR="00360FDF" w:rsidRPr="0073690B" w:rsidRDefault="00360FDF" w:rsidP="00360FDF">
      <w:pPr>
        <w:spacing w:before="120"/>
        <w:rPr>
          <w:sz w:val="28"/>
          <w:szCs w:val="28"/>
        </w:rPr>
      </w:pPr>
      <w:r w:rsidRPr="0073690B">
        <w:rPr>
          <w:sz w:val="28"/>
          <w:szCs w:val="28"/>
        </w:rPr>
        <w:t xml:space="preserve">Совещание Сторон Конвенции о доступе </w:t>
      </w:r>
      <w:r w:rsidR="0073690B">
        <w:rPr>
          <w:sz w:val="28"/>
          <w:szCs w:val="28"/>
        </w:rPr>
        <w:br/>
      </w:r>
      <w:r w:rsidRPr="0073690B">
        <w:rPr>
          <w:sz w:val="28"/>
          <w:szCs w:val="28"/>
        </w:rPr>
        <w:t xml:space="preserve">к информации, участии общественности </w:t>
      </w:r>
      <w:r w:rsidR="0073690B">
        <w:rPr>
          <w:sz w:val="28"/>
          <w:szCs w:val="28"/>
        </w:rPr>
        <w:br/>
      </w:r>
      <w:r w:rsidRPr="0073690B">
        <w:rPr>
          <w:sz w:val="28"/>
          <w:szCs w:val="28"/>
        </w:rPr>
        <w:t xml:space="preserve">в процессе принятия решений и доступе </w:t>
      </w:r>
      <w:r w:rsidR="0073690B">
        <w:rPr>
          <w:sz w:val="28"/>
          <w:szCs w:val="28"/>
        </w:rPr>
        <w:br/>
      </w:r>
      <w:r w:rsidRPr="0073690B">
        <w:rPr>
          <w:sz w:val="28"/>
          <w:szCs w:val="28"/>
        </w:rPr>
        <w:t xml:space="preserve">к правосудию по вопросам, касающимся </w:t>
      </w:r>
      <w:r w:rsidR="0073690B">
        <w:rPr>
          <w:sz w:val="28"/>
          <w:szCs w:val="28"/>
        </w:rPr>
        <w:br/>
      </w:r>
      <w:r w:rsidRPr="0073690B">
        <w:rPr>
          <w:sz w:val="28"/>
          <w:szCs w:val="28"/>
        </w:rPr>
        <w:t>окружающей среды</w:t>
      </w:r>
    </w:p>
    <w:p w14:paraId="7700668D" w14:textId="77777777" w:rsidR="00360FDF" w:rsidRPr="0095708A" w:rsidRDefault="00360FDF" w:rsidP="00360FDF">
      <w:pPr>
        <w:spacing w:before="120"/>
        <w:rPr>
          <w:b/>
          <w:bCs/>
        </w:rPr>
      </w:pPr>
      <w:r>
        <w:rPr>
          <w:b/>
          <w:bCs/>
        </w:rPr>
        <w:t>Седьмая сессия</w:t>
      </w:r>
    </w:p>
    <w:p w14:paraId="656B2ADA" w14:textId="77777777" w:rsidR="00360FDF" w:rsidRPr="0095708A" w:rsidRDefault="00360FDF" w:rsidP="00360FDF">
      <w:r>
        <w:t>Женева, 18–20 октября 2021 года</w:t>
      </w:r>
    </w:p>
    <w:p w14:paraId="5B57E24F" w14:textId="77777777" w:rsidR="00360FDF" w:rsidRPr="0095708A" w:rsidRDefault="00360FDF" w:rsidP="00360FDF">
      <w:r>
        <w:t>Пункт 7 b) предварительной повестки дня</w:t>
      </w:r>
    </w:p>
    <w:p w14:paraId="6161D47C" w14:textId="6DA67700" w:rsidR="00E12C5F" w:rsidRDefault="00360FDF" w:rsidP="00360FDF">
      <w:r>
        <w:rPr>
          <w:b/>
          <w:bCs/>
        </w:rPr>
        <w:t xml:space="preserve">Процедуры и механизмы, способствующие осуществлению </w:t>
      </w:r>
      <w:r w:rsidR="0073690B">
        <w:rPr>
          <w:b/>
          <w:bCs/>
        </w:rPr>
        <w:br/>
      </w:r>
      <w:r>
        <w:rPr>
          <w:b/>
          <w:bCs/>
        </w:rPr>
        <w:t>Конвенции: механизм соблюдения</w:t>
      </w:r>
    </w:p>
    <w:p w14:paraId="12184E47" w14:textId="77777777" w:rsidR="00360FDF" w:rsidRPr="0095708A" w:rsidRDefault="00360FDF" w:rsidP="0073690B">
      <w:pPr>
        <w:pStyle w:val="HChG"/>
      </w:pPr>
      <w:r>
        <w:tab/>
      </w:r>
      <w:r>
        <w:tab/>
        <w:t>Проект решения VII/8k о соблюдении Казахстаном своих обязательств по Конвенции</w:t>
      </w:r>
    </w:p>
    <w:p w14:paraId="497FC6E5" w14:textId="77777777" w:rsidR="00360FDF" w:rsidRPr="0095708A" w:rsidRDefault="00360FDF" w:rsidP="0073690B">
      <w:pPr>
        <w:pStyle w:val="H1G"/>
        <w:rPr>
          <w:i/>
          <w:iCs/>
          <w:sz w:val="20"/>
        </w:rPr>
      </w:pPr>
      <w:r>
        <w:tab/>
      </w:r>
      <w:r>
        <w:tab/>
        <w:t xml:space="preserve">Подготовлен Президиумом </w:t>
      </w:r>
    </w:p>
    <w:p w14:paraId="45FE1582" w14:textId="308B499D" w:rsidR="00360FDF" w:rsidRPr="0095708A" w:rsidRDefault="00360FDF" w:rsidP="00360FDF">
      <w:pPr>
        <w:pStyle w:val="SingleTxtG"/>
        <w:rPr>
          <w:i/>
        </w:rPr>
      </w:pPr>
      <w:r>
        <w:tab/>
      </w:r>
      <w:r>
        <w:rPr>
          <w:i/>
          <w:iCs/>
        </w:rPr>
        <w:t>Совещание Сторон,</w:t>
      </w:r>
      <w:r>
        <w:t xml:space="preserve"> </w:t>
      </w:r>
    </w:p>
    <w:p w14:paraId="3F8BFFA8" w14:textId="208A8C07" w:rsidR="00360FDF" w:rsidRPr="0095708A" w:rsidRDefault="00360FDF" w:rsidP="00360FDF">
      <w:pPr>
        <w:pStyle w:val="SingleTxtG"/>
      </w:pPr>
      <w:r>
        <w:tab/>
      </w:r>
      <w:r>
        <w:rPr>
          <w:i/>
          <w:iCs/>
        </w:rPr>
        <w:t>действуя</w:t>
      </w:r>
      <w:r>
        <w:t xml:space="preserve"> в соответствии с пунктом 37 приложения к его решению I/7 о рассмотрении соблюдения</w:t>
      </w:r>
      <w:r>
        <w:rPr>
          <w:rStyle w:val="aa"/>
        </w:rPr>
        <w:footnoteReference w:id="1"/>
      </w:r>
      <w:r w:rsidR="0073690B" w:rsidRPr="0073690B">
        <w:t>,</w:t>
      </w:r>
      <w:r>
        <w:t xml:space="preserve"> </w:t>
      </w:r>
    </w:p>
    <w:p w14:paraId="78DBAB4A" w14:textId="436860B9" w:rsidR="00360FDF" w:rsidRPr="0073690B" w:rsidRDefault="00360FDF" w:rsidP="00360FDF">
      <w:pPr>
        <w:pStyle w:val="SingleTxtG"/>
      </w:pPr>
      <w:r>
        <w:tab/>
      </w:r>
      <w:r>
        <w:rPr>
          <w:i/>
          <w:iCs/>
        </w:rPr>
        <w:t>памятуя</w:t>
      </w:r>
      <w:r>
        <w:t xml:space="preserve"> о выводах и рекомендациях, изложенных в его решении VI/8g о соблюдении Казахстаном своих обязательств</w:t>
      </w:r>
      <w:r>
        <w:rPr>
          <w:rStyle w:val="aa"/>
        </w:rPr>
        <w:footnoteReference w:id="2"/>
      </w:r>
      <w:r w:rsidR="0073690B" w:rsidRPr="0073690B">
        <w:t>,</w:t>
      </w:r>
    </w:p>
    <w:p w14:paraId="1E473F3B" w14:textId="3717D92D" w:rsidR="00360FDF" w:rsidRPr="0073690B" w:rsidRDefault="00360FDF" w:rsidP="00360FDF">
      <w:pPr>
        <w:pStyle w:val="SingleTxtG"/>
      </w:pPr>
      <w:r>
        <w:tab/>
      </w:r>
      <w:r>
        <w:rPr>
          <w:i/>
          <w:iCs/>
        </w:rPr>
        <w:t>принимая к сведению</w:t>
      </w:r>
      <w:r>
        <w:t xml:space="preserve"> доклад Комитета по соблюдению,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</w:t>
      </w:r>
      <w:r w:rsidR="0073690B">
        <w:rPr>
          <w:lang w:val="en-US"/>
        </w:rPr>
        <w:t> </w:t>
      </w:r>
      <w:r>
        <w:t>ходе осуществления решения о соблюдении Казахстаном своих обязательств по Конвенции</w:t>
      </w:r>
      <w:r>
        <w:rPr>
          <w:rStyle w:val="aa"/>
        </w:rPr>
        <w:footnoteReference w:id="3"/>
      </w:r>
      <w:r w:rsidR="0073690B" w:rsidRPr="0073690B">
        <w:t>,</w:t>
      </w:r>
    </w:p>
    <w:p w14:paraId="2E516BF6" w14:textId="7B496A58" w:rsidR="00360FDF" w:rsidRPr="0095708A" w:rsidRDefault="00360FDF" w:rsidP="00360FDF">
      <w:pPr>
        <w:pStyle w:val="SingleTxtG"/>
        <w:rPr>
          <w:rFonts w:eastAsia="Calibri"/>
        </w:rPr>
      </w:pPr>
      <w:r>
        <w:tab/>
      </w:r>
      <w:r w:rsidRPr="00C31A8C">
        <w:rPr>
          <w:i/>
          <w:iCs/>
        </w:rPr>
        <w:t>будучи воодушевлено</w:t>
      </w:r>
      <w:r>
        <w:t xml:space="preserve"> готовностью Казахстана конструктивно обсуждать с Комитетом соответствующие вопросы соблюдения, </w:t>
      </w:r>
    </w:p>
    <w:p w14:paraId="04A798AF" w14:textId="5F6686AC" w:rsidR="00360FDF" w:rsidRPr="0011225D" w:rsidRDefault="00360FDF" w:rsidP="00360FDF">
      <w:pPr>
        <w:pStyle w:val="SingleTxtG"/>
      </w:pPr>
      <w:r>
        <w:tab/>
      </w:r>
      <w:r>
        <w:t>1.</w:t>
      </w:r>
      <w:r>
        <w:tab/>
      </w:r>
      <w:r w:rsidRPr="00C31A8C">
        <w:rPr>
          <w:i/>
          <w:iCs/>
        </w:rPr>
        <w:t>одобряет</w:t>
      </w:r>
      <w:r>
        <w:t xml:space="preserve"> выводы Комитета о том, что, приветствуя достигнутый прогресс, он тем не менее считает, что соответствующая Сторона еще не продемонстрировала, что она выполнила требования пунктов 2 и 5 решения VI/8g;</w:t>
      </w:r>
    </w:p>
    <w:p w14:paraId="2C991CA9" w14:textId="7F32EACC" w:rsidR="00360FDF" w:rsidRPr="0011225D" w:rsidRDefault="00360FDF" w:rsidP="00360FDF">
      <w:pPr>
        <w:pStyle w:val="SingleTxtG"/>
      </w:pPr>
      <w:r>
        <w:tab/>
      </w:r>
      <w:r>
        <w:t>2.</w:t>
      </w:r>
      <w:r>
        <w:tab/>
      </w:r>
      <w:r>
        <w:rPr>
          <w:i/>
          <w:iCs/>
        </w:rPr>
        <w:t>подтверждает</w:t>
      </w:r>
      <w:r>
        <w:t xml:space="preserve"> свое решение VI/8g и просит соответствующую Сторону в неотложном порядке принять необходимые законодательные, нормативные и административные меры, а также меры практического характера для обеспечения того, чтобы:</w:t>
      </w:r>
    </w:p>
    <w:p w14:paraId="08ED43E2" w14:textId="5852E548" w:rsidR="00360FDF" w:rsidRPr="0011225D" w:rsidRDefault="00360FDF" w:rsidP="00360FDF">
      <w:pPr>
        <w:pStyle w:val="SingleTxtG"/>
      </w:pPr>
      <w:r>
        <w:lastRenderedPageBreak/>
        <w:tab/>
      </w:r>
      <w:r>
        <w:t>a)</w:t>
      </w:r>
      <w:r>
        <w:tab/>
        <w:t xml:space="preserve">обязательные требования в отношении содержания публичного уведомления, как это предусмотрено в пункте 2 статьи 6 Конвенции, были подробно изложены в законодательстве; </w:t>
      </w:r>
    </w:p>
    <w:p w14:paraId="1151E954" w14:textId="3EC2F58D" w:rsidR="00360FDF" w:rsidRPr="0095708A" w:rsidRDefault="00360FDF" w:rsidP="00360FDF">
      <w:pPr>
        <w:pStyle w:val="SingleTxtG"/>
      </w:pPr>
      <w:r>
        <w:tab/>
      </w:r>
      <w:r>
        <w:t>b)</w:t>
      </w:r>
      <w:r>
        <w:tab/>
        <w:t xml:space="preserve">сроки, установленные для процедур принятия решений, подпадающих под действие статей 6 или 7 Конвенции, были достаточными, чтобы дать общественности возможность для подготовки и эффективного участия, и чтобы: </w:t>
      </w:r>
    </w:p>
    <w:p w14:paraId="0E710626" w14:textId="465AE590" w:rsidR="00360FDF" w:rsidRPr="0011225D" w:rsidRDefault="00360FDF" w:rsidP="00360FDF">
      <w:pPr>
        <w:pStyle w:val="SingleTxtG"/>
        <w:ind w:left="1701" w:hanging="567"/>
      </w:pPr>
      <w:r>
        <w:tab/>
      </w:r>
      <w:r>
        <w:t>i)</w:t>
      </w:r>
      <w:r>
        <w:tab/>
        <w:t xml:space="preserve">насколько это возможно, эти сроки не пересекались с праздниками и другими нерабочими днями; </w:t>
      </w:r>
    </w:p>
    <w:p w14:paraId="21058FFC" w14:textId="472C2345" w:rsidR="00360FDF" w:rsidRPr="0011225D" w:rsidRDefault="00360FDF" w:rsidP="00360FDF">
      <w:pPr>
        <w:pStyle w:val="SingleTxtG"/>
        <w:ind w:left="1701" w:hanging="567"/>
      </w:pPr>
      <w:r>
        <w:tab/>
      </w:r>
      <w:proofErr w:type="spellStart"/>
      <w:r>
        <w:t>ii</w:t>
      </w:r>
      <w:proofErr w:type="spellEnd"/>
      <w:r>
        <w:t>)</w:t>
      </w:r>
      <w:r>
        <w:tab/>
        <w:t xml:space="preserve">при определении соответствующих сроков учитывались объем и сложность проекта или плана, программы или политики;  </w:t>
      </w:r>
    </w:p>
    <w:p w14:paraId="6D718884" w14:textId="5D100D00" w:rsidR="00360FDF" w:rsidRPr="0011225D" w:rsidRDefault="00360FDF" w:rsidP="00360FDF">
      <w:pPr>
        <w:pStyle w:val="SingleTxtG"/>
      </w:pPr>
      <w:r>
        <w:tab/>
      </w:r>
      <w:r>
        <w:t>c)</w:t>
      </w:r>
      <w:r>
        <w:tab/>
        <w:t xml:space="preserve">установить четкое и последовательное требование о том, что вся информация, касающаяся процесса принятия решений, должна быть доступна общественности в соответствии с пунктом 6 статьи 6 Конвенции; </w:t>
      </w:r>
    </w:p>
    <w:p w14:paraId="378F2537" w14:textId="34CAA45B" w:rsidR="00360FDF" w:rsidRPr="0011225D" w:rsidRDefault="00360FDF" w:rsidP="00360FDF">
      <w:pPr>
        <w:pStyle w:val="SingleTxtG"/>
      </w:pPr>
      <w:r>
        <w:tab/>
      </w:r>
      <w:r>
        <w:t>d)</w:t>
      </w:r>
      <w:r>
        <w:tab/>
        <w:t xml:space="preserve">в соответствии с пунктом 7 статьи 6 Конвенции представление замечаний общественностью не было ограничено только обоснованными или «разумными» замечаниями; </w:t>
      </w:r>
    </w:p>
    <w:p w14:paraId="0993932A" w14:textId="18D1698A" w:rsidR="00360FDF" w:rsidRPr="0011225D" w:rsidRDefault="00360FDF" w:rsidP="00360FDF">
      <w:pPr>
        <w:pStyle w:val="SingleTxtG"/>
      </w:pPr>
      <w:r>
        <w:tab/>
      </w:r>
      <w:r>
        <w:t>e)</w:t>
      </w:r>
      <w:r>
        <w:tab/>
        <w:t xml:space="preserve">установить соответствующие процедуры, которые не ограничиваются публикацией решений только на веб-сайтах, для оперативного уведомления общественности о заключениях экологической экспертизы, а также для содействия доступу общественности к таким решениям в соответствии с пунктом 9 статьи 6 Конвенции; </w:t>
      </w:r>
    </w:p>
    <w:p w14:paraId="7D81601C" w14:textId="61CC496F" w:rsidR="00360FDF" w:rsidRPr="0011225D" w:rsidRDefault="00360FDF" w:rsidP="00360FDF">
      <w:pPr>
        <w:pStyle w:val="SingleTxtG"/>
      </w:pPr>
      <w:r>
        <w:tab/>
      </w:r>
      <w:r>
        <w:t>f)</w:t>
      </w:r>
      <w:r>
        <w:tab/>
        <w:t>обеспечить наличие и предоставление общественности через публично доступные списки или реестры копий принятых решений вместе с другой информацией, имеющей значение для процесса принятия решений;</w:t>
      </w:r>
    </w:p>
    <w:p w14:paraId="675118AB" w14:textId="6D26E919" w:rsidR="00360FDF" w:rsidRPr="0095708A" w:rsidRDefault="00360FDF" w:rsidP="00360FDF">
      <w:pPr>
        <w:pStyle w:val="SingleTxtG"/>
      </w:pPr>
      <w:r>
        <w:tab/>
      </w:r>
      <w:r>
        <w:t>g)</w:t>
      </w:r>
      <w:r>
        <w:tab/>
        <w:t xml:space="preserve">обеспечить принятие соответствующих практических и/или иных мер для обеспечения участия общественности в процессе подготовки планов, относящихся к сфере действия статьи 7 Конвенции, включая четкие требования для обеспечения того, чтобы: </w:t>
      </w:r>
    </w:p>
    <w:p w14:paraId="2D2C33C3" w14:textId="39863834" w:rsidR="00360FDF" w:rsidRPr="0011225D" w:rsidRDefault="00360FDF" w:rsidP="00360FDF">
      <w:pPr>
        <w:pStyle w:val="SingleTxtG"/>
        <w:ind w:left="1701" w:hanging="567"/>
      </w:pPr>
      <w:r>
        <w:tab/>
      </w:r>
      <w:r>
        <w:t>i)</w:t>
      </w:r>
      <w:r>
        <w:tab/>
        <w:t xml:space="preserve">необходимая информация доводилась до сведения общественности; </w:t>
      </w:r>
    </w:p>
    <w:p w14:paraId="13CA78F0" w14:textId="0349992E" w:rsidR="00360FDF" w:rsidRPr="0011225D" w:rsidRDefault="00360FDF" w:rsidP="00360FDF">
      <w:pPr>
        <w:pStyle w:val="SingleTxtG"/>
        <w:ind w:left="1701" w:hanging="567"/>
      </w:pPr>
      <w:r>
        <w:tab/>
      </w:r>
      <w:proofErr w:type="spellStart"/>
      <w:r>
        <w:t>ii</w:t>
      </w:r>
      <w:proofErr w:type="spellEnd"/>
      <w:r>
        <w:t>)</w:t>
      </w:r>
      <w:r>
        <w:tab/>
        <w:t xml:space="preserve">общественность, которая может принимать участие в процессе, определялась соответствующим государственным органом; </w:t>
      </w:r>
    </w:p>
    <w:p w14:paraId="598E5266" w14:textId="69D74A48" w:rsidR="00360FDF" w:rsidRPr="0011225D" w:rsidRDefault="00360FDF" w:rsidP="00360FDF">
      <w:pPr>
        <w:pStyle w:val="SingleTxtG"/>
      </w:pPr>
      <w:r>
        <w:tab/>
      </w:r>
      <w:proofErr w:type="spellStart"/>
      <w:r>
        <w:t>iii</w:t>
      </w:r>
      <w:proofErr w:type="spellEnd"/>
      <w:r>
        <w:t>)</w:t>
      </w:r>
      <w:r>
        <w:tab/>
        <w:t>требования пунктов 3, 4 и 8 статьи 6 Конвенции соблюдались;</w:t>
      </w:r>
    </w:p>
    <w:p w14:paraId="43FBEA45" w14:textId="7D98CC01" w:rsidR="00360FDF" w:rsidRPr="0095708A" w:rsidRDefault="00360FDF" w:rsidP="00360FDF">
      <w:pPr>
        <w:pStyle w:val="SingleTxtG"/>
      </w:pPr>
      <w:r>
        <w:tab/>
      </w:r>
      <w:r>
        <w:t>3.</w:t>
      </w:r>
      <w:r>
        <w:tab/>
      </w:r>
      <w:r>
        <w:rPr>
          <w:i/>
          <w:iCs/>
        </w:rPr>
        <w:t xml:space="preserve">просит </w:t>
      </w:r>
      <w:r>
        <w:t>соответствующую Сторону:</w:t>
      </w:r>
    </w:p>
    <w:p w14:paraId="32574364" w14:textId="0784680F" w:rsidR="00360FDF" w:rsidRPr="0011225D" w:rsidRDefault="00360FDF" w:rsidP="00360FDF">
      <w:pPr>
        <w:pStyle w:val="SingleTxtG"/>
      </w:pPr>
      <w:r>
        <w:tab/>
      </w:r>
      <w:r>
        <w:t>a)</w:t>
      </w:r>
      <w:r>
        <w:tab/>
        <w:t>представить Комитету к 1 июля 2022 года включающий график план действий по выполнению рекомендаций, изложенных в пункте 2 выше;</w:t>
      </w:r>
    </w:p>
    <w:p w14:paraId="58C12380" w14:textId="0351E968" w:rsidR="00360FDF" w:rsidRPr="0011225D" w:rsidRDefault="00360FDF" w:rsidP="00360FDF">
      <w:pPr>
        <w:pStyle w:val="SingleTxtG"/>
      </w:pPr>
      <w:r>
        <w:tab/>
      </w:r>
      <w:r>
        <w:t>b)</w:t>
      </w:r>
      <w:r>
        <w:tab/>
        <w:t>представить Комитету к 1 октября 2023 года и 1 октября 2024 года доклады о ходе работы, содержащие информацию о принятых мерах и результатах, достигнутых в деле выполнения плана действий и рекомендаций, изложенных в пункте</w:t>
      </w:r>
      <w:r w:rsidR="00882C2F" w:rsidRPr="00882C2F">
        <w:t xml:space="preserve"> </w:t>
      </w:r>
      <w:r>
        <w:t>2 выше;</w:t>
      </w:r>
    </w:p>
    <w:p w14:paraId="047BCCFB" w14:textId="218E5926" w:rsidR="00360FDF" w:rsidRPr="0011225D" w:rsidRDefault="00360FDF" w:rsidP="00360FDF">
      <w:pPr>
        <w:pStyle w:val="SingleTxtG"/>
      </w:pPr>
      <w:r>
        <w:tab/>
      </w:r>
      <w:r>
        <w:t>c)</w:t>
      </w:r>
      <w:r>
        <w:tab/>
        <w:t xml:space="preserve"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рекомендаций, изложенных в пункте 2 выше; </w:t>
      </w:r>
    </w:p>
    <w:p w14:paraId="1C7366BE" w14:textId="00AA5513" w:rsidR="00360FDF" w:rsidRPr="0011225D" w:rsidRDefault="00360FDF" w:rsidP="00360FDF">
      <w:pPr>
        <w:pStyle w:val="SingleTxtG"/>
      </w:pPr>
      <w:r>
        <w:tab/>
      </w:r>
      <w:r>
        <w:t>d)</w:t>
      </w:r>
      <w:r>
        <w:tab/>
        <w:t>принять участие (очно или виртуально) в заседаниях Комитета, на которых будет рассматриваться прогресс, достигнутый соответствующей Стороной в выполнении рекомендаций, изложенных в пункте 2 выше;</w:t>
      </w:r>
    </w:p>
    <w:p w14:paraId="6CA03CA7" w14:textId="618C5932" w:rsidR="00360FDF" w:rsidRDefault="00360FDF" w:rsidP="00360FDF">
      <w:pPr>
        <w:pStyle w:val="SingleTxtG"/>
      </w:pPr>
      <w:r>
        <w:tab/>
      </w:r>
      <w:r>
        <w:t>4.</w:t>
      </w:r>
      <w:r>
        <w:tab/>
      </w:r>
      <w:r>
        <w:rPr>
          <w:i/>
          <w:iCs/>
        </w:rPr>
        <w:t>обязуется</w:t>
      </w:r>
      <w:r>
        <w:t xml:space="preserve"> рассмотреть сложившуюся ситуацию на своей восьмой сессии.</w:t>
      </w:r>
    </w:p>
    <w:p w14:paraId="28118F0B" w14:textId="16103E49" w:rsidR="00360FDF" w:rsidRPr="00360FDF" w:rsidRDefault="00360FDF" w:rsidP="00360F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0FDF" w:rsidRPr="00360FDF" w:rsidSect="00360F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888F" w14:textId="77777777" w:rsidR="000F3EF3" w:rsidRPr="00A312BC" w:rsidRDefault="000F3EF3" w:rsidP="00A312BC"/>
  </w:endnote>
  <w:endnote w:type="continuationSeparator" w:id="0">
    <w:p w14:paraId="3295FC39" w14:textId="77777777" w:rsidR="000F3EF3" w:rsidRPr="00A312BC" w:rsidRDefault="000F3E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B170" w14:textId="5376AA2F" w:rsidR="00360FDF" w:rsidRPr="00360FDF" w:rsidRDefault="00360FDF">
    <w:pPr>
      <w:pStyle w:val="a8"/>
    </w:pPr>
    <w:r w:rsidRPr="00360FDF">
      <w:rPr>
        <w:b/>
        <w:sz w:val="18"/>
      </w:rPr>
      <w:fldChar w:fldCharType="begin"/>
    </w:r>
    <w:r w:rsidRPr="00360FDF">
      <w:rPr>
        <w:b/>
        <w:sz w:val="18"/>
      </w:rPr>
      <w:instrText xml:space="preserve"> PAGE  \* MERGEFORMAT </w:instrText>
    </w:r>
    <w:r w:rsidRPr="00360FDF">
      <w:rPr>
        <w:b/>
        <w:sz w:val="18"/>
      </w:rPr>
      <w:fldChar w:fldCharType="separate"/>
    </w:r>
    <w:r w:rsidRPr="00360FDF">
      <w:rPr>
        <w:b/>
        <w:noProof/>
        <w:sz w:val="18"/>
      </w:rPr>
      <w:t>2</w:t>
    </w:r>
    <w:r w:rsidRPr="00360FDF">
      <w:rPr>
        <w:b/>
        <w:sz w:val="18"/>
      </w:rPr>
      <w:fldChar w:fldCharType="end"/>
    </w:r>
    <w:r>
      <w:rPr>
        <w:b/>
        <w:sz w:val="18"/>
      </w:rPr>
      <w:tab/>
    </w:r>
    <w:r>
      <w:t>GE.21-10878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6F83" w14:textId="7F6EEA55" w:rsidR="00360FDF" w:rsidRPr="00360FDF" w:rsidRDefault="00360FDF" w:rsidP="00360FDF">
    <w:pPr>
      <w:pStyle w:val="a8"/>
      <w:tabs>
        <w:tab w:val="clear" w:pos="9639"/>
        <w:tab w:val="right" w:pos="9638"/>
      </w:tabs>
      <w:rPr>
        <w:b/>
        <w:sz w:val="18"/>
      </w:rPr>
    </w:pPr>
    <w:r>
      <w:t>GE.21-10878</w:t>
    </w:r>
    <w:r>
      <w:tab/>
    </w:r>
    <w:r w:rsidRPr="00360FDF">
      <w:rPr>
        <w:b/>
        <w:sz w:val="18"/>
      </w:rPr>
      <w:fldChar w:fldCharType="begin"/>
    </w:r>
    <w:r w:rsidRPr="00360FDF">
      <w:rPr>
        <w:b/>
        <w:sz w:val="18"/>
      </w:rPr>
      <w:instrText xml:space="preserve"> PAGE  \* MERGEFORMAT </w:instrText>
    </w:r>
    <w:r w:rsidRPr="00360FDF">
      <w:rPr>
        <w:b/>
        <w:sz w:val="18"/>
      </w:rPr>
      <w:fldChar w:fldCharType="separate"/>
    </w:r>
    <w:r w:rsidRPr="00360FDF">
      <w:rPr>
        <w:b/>
        <w:noProof/>
        <w:sz w:val="18"/>
      </w:rPr>
      <w:t>3</w:t>
    </w:r>
    <w:r w:rsidRPr="00360F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3899" w14:textId="19F93995" w:rsidR="00042B72" w:rsidRPr="00882C2F" w:rsidRDefault="00360FDF" w:rsidP="00360FD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5375EB" wp14:editId="7A3AA1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10878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8C8291" wp14:editId="3BD367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C2F">
      <w:rPr>
        <w:lang w:val="en-US"/>
      </w:rPr>
      <w:t xml:space="preserve">  200821  230821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CA11" w14:textId="77777777" w:rsidR="000F3EF3" w:rsidRPr="001075E9" w:rsidRDefault="000F3E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1F25CE" w14:textId="77777777" w:rsidR="000F3EF3" w:rsidRDefault="000F3E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09F534" w14:textId="77777777" w:rsidR="00360FDF" w:rsidRPr="00360FDF" w:rsidRDefault="00360FDF" w:rsidP="00360FDF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11225D">
        <w:rPr>
          <w:lang w:val="en-US"/>
        </w:rPr>
        <w:tab/>
        <w:t>ECE/</w:t>
      </w:r>
      <w:proofErr w:type="gramStart"/>
      <w:r w:rsidRPr="0011225D">
        <w:rPr>
          <w:lang w:val="en-US"/>
        </w:rPr>
        <w:t>MP.PP</w:t>
      </w:r>
      <w:proofErr w:type="gramEnd"/>
      <w:r w:rsidRPr="0011225D">
        <w:rPr>
          <w:lang w:val="en-US"/>
        </w:rPr>
        <w:t>/2/Add.8.</w:t>
      </w:r>
    </w:p>
  </w:footnote>
  <w:footnote w:id="2">
    <w:p w14:paraId="0810A2E3" w14:textId="77777777" w:rsidR="00360FDF" w:rsidRPr="00360FDF" w:rsidRDefault="00360FDF" w:rsidP="00360FDF">
      <w:pPr>
        <w:pStyle w:val="ad"/>
        <w:rPr>
          <w:lang w:val="en-US"/>
        </w:rPr>
      </w:pPr>
      <w:r w:rsidRPr="0011225D">
        <w:rPr>
          <w:lang w:val="en-US"/>
        </w:rPr>
        <w:tab/>
      </w:r>
      <w:r>
        <w:rPr>
          <w:rStyle w:val="aa"/>
        </w:rPr>
        <w:footnoteRef/>
      </w:r>
      <w:r w:rsidRPr="0011225D">
        <w:rPr>
          <w:lang w:val="en-US"/>
        </w:rPr>
        <w:tab/>
        <w:t>ECE/</w:t>
      </w:r>
      <w:proofErr w:type="gramStart"/>
      <w:r w:rsidRPr="0011225D">
        <w:rPr>
          <w:lang w:val="en-US"/>
        </w:rPr>
        <w:t>MP.PP</w:t>
      </w:r>
      <w:proofErr w:type="gramEnd"/>
      <w:r w:rsidRPr="0011225D">
        <w:rPr>
          <w:lang w:val="en-US"/>
        </w:rPr>
        <w:t>/2017/2/Add.1.</w:t>
      </w:r>
    </w:p>
  </w:footnote>
  <w:footnote w:id="3">
    <w:p w14:paraId="01458D86" w14:textId="77777777" w:rsidR="00360FDF" w:rsidRPr="0095708A" w:rsidRDefault="00360FDF" w:rsidP="00360FDF">
      <w:pPr>
        <w:pStyle w:val="ad"/>
      </w:pPr>
      <w:r w:rsidRPr="0011225D">
        <w:rPr>
          <w:lang w:val="en-US"/>
        </w:rPr>
        <w:tab/>
      </w:r>
      <w:r>
        <w:rPr>
          <w:rStyle w:val="aa"/>
        </w:rPr>
        <w:footnoteRef/>
      </w:r>
      <w:r>
        <w:tab/>
        <w:t>ECE/MP.PP/2021/53,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872B" w14:textId="09DAA8C4" w:rsidR="00360FDF" w:rsidRPr="00360FDF" w:rsidRDefault="00360FD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56D97">
      <w:t>ECE/</w:t>
    </w:r>
    <w:proofErr w:type="gramStart"/>
    <w:r w:rsidR="00456D97">
      <w:t>MP.PP</w:t>
    </w:r>
    <w:proofErr w:type="gramEnd"/>
    <w:r w:rsidR="00456D97">
      <w:t>/2021/34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9A5F" w14:textId="3BCB6BA2" w:rsidR="00360FDF" w:rsidRPr="00360FDF" w:rsidRDefault="00360FDF" w:rsidP="00360F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56D97">
      <w:t>ECE/</w:t>
    </w:r>
    <w:proofErr w:type="gramStart"/>
    <w:r w:rsidR="00456D97">
      <w:t>MP.PP</w:t>
    </w:r>
    <w:proofErr w:type="gramEnd"/>
    <w:r w:rsidR="00456D97">
      <w:t>/2021/34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F3"/>
    <w:rsid w:val="00033EE1"/>
    <w:rsid w:val="00042B72"/>
    <w:rsid w:val="000558BD"/>
    <w:rsid w:val="000B57E7"/>
    <w:rsid w:val="000B6373"/>
    <w:rsid w:val="000E4E5B"/>
    <w:rsid w:val="000F09DF"/>
    <w:rsid w:val="000F3EF3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FD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D9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690B"/>
    <w:rsid w:val="00757357"/>
    <w:rsid w:val="00792497"/>
    <w:rsid w:val="00806737"/>
    <w:rsid w:val="00825F8D"/>
    <w:rsid w:val="00834B71"/>
    <w:rsid w:val="0086445C"/>
    <w:rsid w:val="00882C2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3F5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656873"/>
  <w15:docId w15:val="{FDBEE009-1842-4FCB-9F35-2D5F687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60FD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590</Words>
  <Characters>3935</Characters>
  <Application>Microsoft Office Word</Application>
  <DocSecurity>0</DocSecurity>
  <Lines>91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ECE/MP.PP/2021/34</vt:lpstr>
      <vt:lpstr>A/</vt:lpstr>
      <vt:lpstr>A/</vt:lpstr>
    </vt:vector>
  </TitlesOfParts>
  <Company>DCM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ECE/MP.PP/2021/34</dc:title>
  <dc:subject/>
  <dc:creator>Marina KOROTKOVA</dc:creator>
  <cp:keywords/>
  <cp:lastModifiedBy>Marina KOROTKOVA</cp:lastModifiedBy>
  <cp:revision>3</cp:revision>
  <cp:lastPrinted>2021-08-23T12:50:00Z</cp:lastPrinted>
  <dcterms:created xsi:type="dcterms:W3CDTF">2021-08-23T12:50:00Z</dcterms:created>
  <dcterms:modified xsi:type="dcterms:W3CDTF">2021-08-23T12:51:00Z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