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B58B5" w14:paraId="0FBD406A" w14:textId="77777777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891E475" w14:textId="77777777" w:rsidR="00A14420" w:rsidRPr="00DB58B5" w:rsidRDefault="00A14420" w:rsidP="005E3E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F60770" w14:textId="77777777" w:rsidR="00A14420" w:rsidRPr="00DB58B5" w:rsidRDefault="00A14420" w:rsidP="00DF5712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C883098" w14:textId="07B64FAB" w:rsidR="00A14420" w:rsidRPr="00DB58B5" w:rsidRDefault="005E3E58" w:rsidP="005E3E58">
            <w:pPr>
              <w:jc w:val="right"/>
            </w:pPr>
            <w:r w:rsidRPr="005E3E58">
              <w:rPr>
                <w:sz w:val="40"/>
              </w:rPr>
              <w:t>ECE</w:t>
            </w:r>
            <w:r>
              <w:t>/MP.PP/2021/31</w:t>
            </w:r>
          </w:p>
        </w:tc>
      </w:tr>
      <w:tr w:rsidR="00A14420" w:rsidRPr="00DB58B5" w14:paraId="7D4C4659" w14:textId="77777777" w:rsidTr="00DF571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A5CEC76" w14:textId="77777777" w:rsidR="00A14420" w:rsidRPr="00DB58B5" w:rsidRDefault="00A14420" w:rsidP="00DF5712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500BC23" wp14:editId="783E6DC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E84F6D" w14:textId="77777777" w:rsidR="00A14420" w:rsidRPr="00740562" w:rsidRDefault="00A14420" w:rsidP="00DF57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D2C6E48" w14:textId="77777777" w:rsidR="00A14420" w:rsidRDefault="005E3E58" w:rsidP="00DF5712">
            <w:pPr>
              <w:spacing w:before="240"/>
            </w:pPr>
            <w:r>
              <w:t>Distr. générale</w:t>
            </w:r>
          </w:p>
          <w:p w14:paraId="52684C11" w14:textId="77777777" w:rsidR="005E3E58" w:rsidRDefault="005E3E58" w:rsidP="005E3E58">
            <w:pPr>
              <w:spacing w:line="240" w:lineRule="exact"/>
            </w:pPr>
            <w:r>
              <w:t>9 août 2021</w:t>
            </w:r>
          </w:p>
          <w:p w14:paraId="49BD6075" w14:textId="77777777" w:rsidR="005E3E58" w:rsidRDefault="005E3E58" w:rsidP="005E3E58">
            <w:pPr>
              <w:spacing w:line="240" w:lineRule="exact"/>
            </w:pPr>
            <w:r>
              <w:t>Français</w:t>
            </w:r>
          </w:p>
          <w:p w14:paraId="303BB2EF" w14:textId="4CB8E1B8" w:rsidR="005E3E58" w:rsidRPr="00DB58B5" w:rsidRDefault="005E3E58" w:rsidP="005E3E58">
            <w:pPr>
              <w:spacing w:line="240" w:lineRule="exact"/>
            </w:pPr>
            <w:r>
              <w:t>Original : anglais</w:t>
            </w:r>
          </w:p>
        </w:tc>
      </w:tr>
    </w:tbl>
    <w:p w14:paraId="7233C821" w14:textId="77777777" w:rsidR="00C554CE" w:rsidRDefault="00C554CE" w:rsidP="00C554CE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99F2B52" w14:textId="77777777" w:rsidR="005E3E58" w:rsidRPr="00750247" w:rsidRDefault="005E3E58" w:rsidP="00C554CE">
      <w:pPr>
        <w:spacing w:before="120"/>
        <w:rPr>
          <w:sz w:val="28"/>
          <w:szCs w:val="28"/>
        </w:rPr>
      </w:pPr>
      <w:r w:rsidRPr="00750247">
        <w:rPr>
          <w:sz w:val="28"/>
          <w:szCs w:val="28"/>
        </w:rPr>
        <w:t>Réunion des Parties à la Convention sur l’accès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à l’information,</w:t>
      </w:r>
      <w:r>
        <w:rPr>
          <w:sz w:val="28"/>
          <w:szCs w:val="28"/>
        </w:rPr>
        <w:t xml:space="preserve"> </w:t>
      </w:r>
      <w:r w:rsidRPr="00750247">
        <w:rPr>
          <w:sz w:val="28"/>
          <w:szCs w:val="28"/>
        </w:rPr>
        <w:t>la participation du public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au processus décisionnel</w:t>
      </w:r>
      <w:r>
        <w:rPr>
          <w:sz w:val="28"/>
          <w:szCs w:val="28"/>
        </w:rPr>
        <w:t xml:space="preserve"> </w:t>
      </w:r>
      <w:r w:rsidRPr="00750247">
        <w:rPr>
          <w:sz w:val="28"/>
          <w:szCs w:val="28"/>
        </w:rPr>
        <w:t>et l’accès à la justice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en matière d’environnement</w:t>
      </w:r>
    </w:p>
    <w:p w14:paraId="65553867" w14:textId="77777777" w:rsidR="005E3E58" w:rsidRPr="00271A4C" w:rsidRDefault="005E3E58" w:rsidP="005E3E58">
      <w:pPr>
        <w:spacing w:before="120"/>
        <w:rPr>
          <w:rFonts w:asciiTheme="majorBidi" w:hAnsiTheme="majorBidi" w:cstheme="majorBidi"/>
          <w:b/>
          <w:bCs/>
        </w:rPr>
      </w:pPr>
      <w:r>
        <w:rPr>
          <w:b/>
          <w:bCs/>
          <w:lang w:val="fr-FR"/>
        </w:rPr>
        <w:t>Septième session</w:t>
      </w:r>
    </w:p>
    <w:p w14:paraId="1161B0C5" w14:textId="77777777" w:rsidR="005E3E58" w:rsidRPr="00271A4C" w:rsidRDefault="005E3E58" w:rsidP="005E3E58">
      <w:pPr>
        <w:rPr>
          <w:rFonts w:asciiTheme="majorBidi" w:hAnsiTheme="majorBidi" w:cstheme="majorBidi"/>
        </w:rPr>
      </w:pPr>
      <w:r>
        <w:rPr>
          <w:lang w:val="fr-FR"/>
        </w:rPr>
        <w:t>Genève, 18-20 octobre 2021</w:t>
      </w:r>
    </w:p>
    <w:p w14:paraId="6BC737E0" w14:textId="77777777" w:rsidR="005E3E58" w:rsidRPr="00271A4C" w:rsidRDefault="005E3E58" w:rsidP="005E3E58">
      <w:pPr>
        <w:rPr>
          <w:rFonts w:asciiTheme="majorBidi" w:hAnsiTheme="majorBidi" w:cstheme="majorBidi"/>
        </w:rPr>
      </w:pPr>
      <w:r>
        <w:rPr>
          <w:lang w:val="fr-FR"/>
        </w:rPr>
        <w:t>Point 7 b) de l’ordre du jour provisoire</w:t>
      </w:r>
    </w:p>
    <w:p w14:paraId="54B7830F" w14:textId="4AEF0618" w:rsidR="005E3E58" w:rsidRPr="00271A4C" w:rsidRDefault="005E3E58" w:rsidP="005E3E58">
      <w:pPr>
        <w:rPr>
          <w:rFonts w:asciiTheme="majorBidi" w:hAnsiTheme="majorBidi" w:cstheme="majorBidi"/>
          <w:b/>
        </w:rPr>
      </w:pPr>
      <w:r>
        <w:rPr>
          <w:b/>
          <w:bCs/>
          <w:lang w:val="fr-FR"/>
        </w:rPr>
        <w:t>Procédures et mécanismes facilitant l’application de la Convention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  <w:r>
        <w:rPr>
          <w:b/>
          <w:bCs/>
          <w:lang w:val="fr-FR"/>
        </w:rPr>
        <w:br/>
        <w:t>mécanisme d’examen du respect des dispositions</w:t>
      </w:r>
    </w:p>
    <w:p w14:paraId="1F2BCBDD" w14:textId="77777777" w:rsidR="005E3E58" w:rsidRPr="00271A4C" w:rsidRDefault="005E3E58" w:rsidP="005E3E58">
      <w:pPr>
        <w:pStyle w:val="HChG"/>
        <w:rPr>
          <w:rFonts w:asciiTheme="majorBidi" w:hAnsiTheme="majorBidi" w:cstheme="majorBidi"/>
        </w:rPr>
      </w:pPr>
      <w:r>
        <w:rPr>
          <w:lang w:val="fr-FR"/>
        </w:rPr>
        <w:tab/>
      </w:r>
      <w:r>
        <w:rPr>
          <w:lang w:val="fr-FR"/>
        </w:rPr>
        <w:tab/>
        <w:t>Projet de décision VII/8h sur le respect par la Hongrie</w:t>
      </w:r>
      <w:r>
        <w:rPr>
          <w:lang w:val="fr-FR"/>
        </w:rPr>
        <w:br/>
        <w:t>des obligations que lui impose la Convention</w:t>
      </w:r>
    </w:p>
    <w:p w14:paraId="6E38A8F6" w14:textId="77777777" w:rsidR="005E3E58" w:rsidRPr="00271A4C" w:rsidRDefault="005E3E58" w:rsidP="005E3E58">
      <w:pPr>
        <w:pStyle w:val="H1G"/>
        <w:rPr>
          <w:rFonts w:asciiTheme="majorBidi" w:hAnsiTheme="majorBidi" w:cstheme="majorBidi"/>
          <w:i/>
          <w:iCs/>
          <w:sz w:val="20"/>
        </w:rPr>
      </w:pPr>
      <w:r>
        <w:rPr>
          <w:lang w:val="fr-FR"/>
        </w:rPr>
        <w:tab/>
      </w:r>
      <w:r>
        <w:rPr>
          <w:lang w:val="fr-FR"/>
        </w:rPr>
        <w:tab/>
        <w:t xml:space="preserve">Document établi par le Bureau </w:t>
      </w:r>
    </w:p>
    <w:p w14:paraId="46836726" w14:textId="77777777" w:rsidR="005E3E58" w:rsidRPr="005E3E58" w:rsidRDefault="005E3E58" w:rsidP="005E3E58">
      <w:pPr>
        <w:pStyle w:val="SingleTxtG"/>
        <w:rPr>
          <w:i/>
        </w:rPr>
      </w:pPr>
      <w:r w:rsidRPr="005E3E58">
        <w:rPr>
          <w:lang w:val="fr-FR"/>
        </w:rPr>
        <w:tab/>
      </w:r>
      <w:r w:rsidRPr="005E3E58">
        <w:rPr>
          <w:i/>
          <w:iCs/>
          <w:lang w:val="fr-FR"/>
        </w:rPr>
        <w:t>La Réunion des Parties</w:t>
      </w:r>
      <w:r w:rsidRPr="005E3E58">
        <w:rPr>
          <w:lang w:val="fr-FR"/>
        </w:rPr>
        <w:t xml:space="preserve">, </w:t>
      </w:r>
    </w:p>
    <w:p w14:paraId="3A19045B" w14:textId="4EC99697" w:rsidR="005E3E58" w:rsidRPr="005E3E58" w:rsidRDefault="005E3E58" w:rsidP="005E3E58">
      <w:pPr>
        <w:pStyle w:val="SingleTxtG"/>
      </w:pPr>
      <w:r w:rsidRPr="005E3E58">
        <w:rPr>
          <w:lang w:val="fr-FR"/>
        </w:rPr>
        <w:tab/>
      </w:r>
      <w:r w:rsidRPr="005E3E58">
        <w:rPr>
          <w:i/>
          <w:iCs/>
          <w:lang w:val="fr-FR"/>
        </w:rPr>
        <w:t>Agissant</w:t>
      </w:r>
      <w:r w:rsidRPr="005E3E58">
        <w:rPr>
          <w:lang w:val="fr-FR"/>
        </w:rPr>
        <w:t xml:space="preserve"> en vertu du paragraphe 37 de l’annexe à sa décision I/7 sur l’examen du respect des dispositions</w:t>
      </w:r>
      <w:r w:rsidRPr="005E3E58">
        <w:rPr>
          <w:rStyle w:val="Appelnotedebasdep"/>
          <w:lang w:val="fr-FR"/>
        </w:rPr>
        <w:footnoteReference w:id="2"/>
      </w:r>
      <w:r w:rsidRPr="005E3E58">
        <w:rPr>
          <w:lang w:val="fr-FR"/>
        </w:rPr>
        <w:t>,</w:t>
      </w:r>
    </w:p>
    <w:p w14:paraId="6CC8F1F2" w14:textId="509B9771" w:rsidR="005E3E58" w:rsidRPr="005E3E58" w:rsidRDefault="005E3E58" w:rsidP="005E3E58">
      <w:pPr>
        <w:pStyle w:val="SingleTxtG"/>
      </w:pPr>
      <w:r w:rsidRPr="005E3E58">
        <w:rPr>
          <w:lang w:val="fr-FR"/>
        </w:rPr>
        <w:tab/>
      </w:r>
      <w:r w:rsidRPr="005E3E58">
        <w:rPr>
          <w:i/>
          <w:iCs/>
          <w:lang w:val="fr-FR"/>
        </w:rPr>
        <w:t>Prenant note</w:t>
      </w:r>
      <w:r w:rsidRPr="005E3E58">
        <w:rPr>
          <w:lang w:val="fr-FR"/>
        </w:rPr>
        <w:t xml:space="preserve"> des conclusions du Comité sur la communication ACCC/C/2014/105, relatives au respect par la Hongrie des dispositions de la Convention en ce qui concerne l’accès à l’information et la participation du public au processus décisionnel dans le cadre des plans de construction de nouvelles unités à la centrale nucléaire de Paks</w:t>
      </w:r>
      <w:r w:rsidRPr="005E3E58">
        <w:rPr>
          <w:rStyle w:val="Appelnotedebasdep"/>
          <w:lang w:val="fr-FR"/>
        </w:rPr>
        <w:footnoteReference w:id="3"/>
      </w:r>
      <w:r w:rsidRPr="005E3E58">
        <w:rPr>
          <w:lang w:val="fr-FR"/>
        </w:rPr>
        <w:t>,</w:t>
      </w:r>
    </w:p>
    <w:p w14:paraId="73F6B76A" w14:textId="7C0D97AC" w:rsidR="005E3E58" w:rsidRPr="005E3E58" w:rsidRDefault="005E3E58" w:rsidP="005E3E58">
      <w:pPr>
        <w:pStyle w:val="SingleTxtG"/>
      </w:pPr>
      <w:r w:rsidRPr="005E3E58">
        <w:rPr>
          <w:lang w:val="fr-FR"/>
        </w:rPr>
        <w:tab/>
      </w:r>
      <w:r w:rsidRPr="005E3E58">
        <w:rPr>
          <w:i/>
          <w:iCs/>
          <w:lang w:val="fr-FR"/>
        </w:rPr>
        <w:t>Encouragée</w:t>
      </w:r>
      <w:r w:rsidRPr="005E3E58">
        <w:rPr>
          <w:lang w:val="fr-FR"/>
        </w:rPr>
        <w:t xml:space="preserve"> par la volonté de la Hongrie d’examiner de façon constructive avec le Comité les points relatifs au respect des dispositions en question,</w:t>
      </w:r>
    </w:p>
    <w:p w14:paraId="5AE749EE" w14:textId="5C2FC7B4" w:rsidR="005E3E58" w:rsidRPr="005E3E58" w:rsidRDefault="005E3E58" w:rsidP="005E3E58">
      <w:pPr>
        <w:pStyle w:val="SingleTxtG"/>
      </w:pPr>
      <w:r>
        <w:rPr>
          <w:lang w:val="fr-FR"/>
        </w:rPr>
        <w:tab/>
      </w:r>
      <w:r w:rsidRPr="005E3E58">
        <w:rPr>
          <w:lang w:val="fr-FR"/>
        </w:rPr>
        <w:t>1.</w:t>
      </w:r>
      <w:r w:rsidRPr="005E3E58">
        <w:rPr>
          <w:lang w:val="fr-FR"/>
        </w:rPr>
        <w:tab/>
      </w:r>
      <w:r w:rsidRPr="005E3E58">
        <w:rPr>
          <w:i/>
          <w:iCs/>
          <w:lang w:val="fr-FR"/>
        </w:rPr>
        <w:t>Fait siennes</w:t>
      </w:r>
      <w:r w:rsidRPr="005E3E58">
        <w:rPr>
          <w:lang w:val="fr-FR"/>
        </w:rPr>
        <w:t xml:space="preserve"> les conclusions du Comité selon lesquelles, en ne publiant pas l’« analyse de l’évaluation » du projet de politique énergétique 2007</w:t>
      </w:r>
      <w:r>
        <w:rPr>
          <w:lang w:val="fr-FR"/>
        </w:rPr>
        <w:t>-</w:t>
      </w:r>
      <w:r w:rsidRPr="005E3E58">
        <w:rPr>
          <w:lang w:val="fr-FR"/>
        </w:rPr>
        <w:t>2020, élaborée conformément aux articles 43 (par. 1) et 44 (par. 2) du Code de l’environnement, la Partie concernée n’a pas respecté l’article 7, dernière phrase, lu conjointement avec l’article</w:t>
      </w:r>
      <w:r>
        <w:rPr>
          <w:lang w:val="fr-FR"/>
        </w:rPr>
        <w:t> </w:t>
      </w:r>
      <w:r w:rsidRPr="005E3E58">
        <w:rPr>
          <w:lang w:val="fr-FR"/>
        </w:rPr>
        <w:t>5 (par. 7 a)) de la Convention</w:t>
      </w:r>
      <w:r>
        <w:rPr>
          <w:lang w:val="fr-FR"/>
        </w:rPr>
        <w:t> </w:t>
      </w:r>
      <w:r w:rsidRPr="005E3E58">
        <w:rPr>
          <w:lang w:val="fr-FR"/>
        </w:rPr>
        <w:t>;</w:t>
      </w:r>
    </w:p>
    <w:p w14:paraId="760C0301" w14:textId="2224795B" w:rsidR="005E3E58" w:rsidRPr="005E3E58" w:rsidRDefault="005E3E58" w:rsidP="005E3E58">
      <w:pPr>
        <w:pStyle w:val="SingleTxtG"/>
        <w:rPr>
          <w:u w:val="single"/>
        </w:rPr>
      </w:pPr>
      <w:r>
        <w:rPr>
          <w:lang w:val="fr-FR"/>
        </w:rPr>
        <w:tab/>
      </w:r>
      <w:r w:rsidRPr="005E3E58">
        <w:rPr>
          <w:lang w:val="fr-FR"/>
        </w:rPr>
        <w:t>2.</w:t>
      </w:r>
      <w:r w:rsidRPr="005E3E58">
        <w:rPr>
          <w:lang w:val="fr-FR"/>
        </w:rPr>
        <w:tab/>
      </w:r>
      <w:r w:rsidRPr="005E3E58">
        <w:rPr>
          <w:i/>
          <w:iCs/>
          <w:lang w:val="fr-FR"/>
        </w:rPr>
        <w:t xml:space="preserve">Recommande </w:t>
      </w:r>
      <w:r w:rsidRPr="005E3E58">
        <w:rPr>
          <w:lang w:val="fr-FR"/>
        </w:rPr>
        <w:t>à la Partie concernée de prendre les mesures législatives, réglementaires, administratives et pratiques nécessaires pour faire en sorte que les « analyses de l’évaluation » des politiques relatives à l’environnement, élaborées conformément aux articles</w:t>
      </w:r>
      <w:r>
        <w:rPr>
          <w:lang w:val="fr-FR"/>
        </w:rPr>
        <w:t> </w:t>
      </w:r>
      <w:r w:rsidRPr="005E3E58">
        <w:rPr>
          <w:lang w:val="fr-FR"/>
        </w:rPr>
        <w:t>43 (par. 1) et 44 (par. 2) du Code de l’environnement ou à toute loi qui les remplacerait, soient mises à la disposition du public afin que celui-ci dispose effectivement de la possibilité de participer au titre de l’article 7, dernière phrase, de la Convention</w:t>
      </w:r>
      <w:r>
        <w:rPr>
          <w:lang w:val="fr-FR"/>
        </w:rPr>
        <w:t> </w:t>
      </w:r>
      <w:r w:rsidRPr="005E3E58">
        <w:rPr>
          <w:lang w:val="fr-FR"/>
        </w:rPr>
        <w:t>;</w:t>
      </w:r>
    </w:p>
    <w:p w14:paraId="45DC2B82" w14:textId="08DF5D9B" w:rsidR="005E3E58" w:rsidRPr="005E3E58" w:rsidRDefault="005E3E58" w:rsidP="005E3E58">
      <w:pPr>
        <w:pStyle w:val="SingleTxtG"/>
        <w:keepNext/>
      </w:pPr>
      <w:r>
        <w:rPr>
          <w:lang w:val="fr-FR"/>
        </w:rPr>
        <w:lastRenderedPageBreak/>
        <w:tab/>
      </w:r>
      <w:r w:rsidRPr="005E3E58">
        <w:rPr>
          <w:lang w:val="fr-FR"/>
        </w:rPr>
        <w:t>3.</w:t>
      </w:r>
      <w:r w:rsidRPr="005E3E58">
        <w:rPr>
          <w:lang w:val="fr-FR"/>
        </w:rPr>
        <w:tab/>
      </w:r>
      <w:r w:rsidRPr="005E3E58">
        <w:rPr>
          <w:i/>
          <w:iCs/>
          <w:lang w:val="fr-FR"/>
        </w:rPr>
        <w:t xml:space="preserve">Demande </w:t>
      </w:r>
      <w:r w:rsidRPr="005E3E58">
        <w:rPr>
          <w:lang w:val="fr-FR"/>
        </w:rPr>
        <w:t>à la Partie concernée de</w:t>
      </w:r>
      <w:r>
        <w:rPr>
          <w:lang w:val="fr-FR"/>
        </w:rPr>
        <w:t> </w:t>
      </w:r>
      <w:r w:rsidRPr="005E3E58">
        <w:rPr>
          <w:lang w:val="fr-FR"/>
        </w:rPr>
        <w:t>:</w:t>
      </w:r>
    </w:p>
    <w:p w14:paraId="2A7DF4AB" w14:textId="0F802269" w:rsidR="005E3E58" w:rsidRPr="005E3E58" w:rsidRDefault="005E3E58" w:rsidP="005E3E58">
      <w:pPr>
        <w:pStyle w:val="SingleTxtG"/>
      </w:pPr>
      <w:r>
        <w:tab/>
      </w:r>
      <w:r w:rsidRPr="005E3E58">
        <w:rPr>
          <w:lang w:val="fr-FR"/>
        </w:rPr>
        <w:t>a)</w:t>
      </w:r>
      <w:r w:rsidRPr="005E3E58">
        <w:rPr>
          <w:lang w:val="fr-FR"/>
        </w:rPr>
        <w:tab/>
        <w:t>Soumettre au Comité un plan d’action pour l’application de la recommandation susmentionnée, y compris un calendrier, au plus tard le 1</w:t>
      </w:r>
      <w:r w:rsidRPr="005E3E58">
        <w:rPr>
          <w:vertAlign w:val="superscript"/>
          <w:lang w:val="fr-FR"/>
        </w:rPr>
        <w:t>er</w:t>
      </w:r>
      <w:r w:rsidRPr="005E3E58">
        <w:rPr>
          <w:lang w:val="fr-FR"/>
        </w:rPr>
        <w:t> juillet 2022</w:t>
      </w:r>
      <w:r>
        <w:rPr>
          <w:lang w:val="fr-FR"/>
        </w:rPr>
        <w:t> </w:t>
      </w:r>
      <w:r w:rsidRPr="005E3E58">
        <w:rPr>
          <w:lang w:val="fr-FR"/>
        </w:rPr>
        <w:t>;</w:t>
      </w:r>
    </w:p>
    <w:p w14:paraId="3D2000D0" w14:textId="0C00BDBF" w:rsidR="005E3E58" w:rsidRPr="005E3E58" w:rsidRDefault="005E3E58" w:rsidP="005E3E58">
      <w:pPr>
        <w:pStyle w:val="SingleTxtG"/>
      </w:pPr>
      <w:r>
        <w:rPr>
          <w:lang w:val="fr-FR"/>
        </w:rPr>
        <w:tab/>
      </w:r>
      <w:r w:rsidRPr="005E3E58">
        <w:rPr>
          <w:lang w:val="fr-FR"/>
        </w:rPr>
        <w:t>b)</w:t>
      </w:r>
      <w:r w:rsidRPr="005E3E58">
        <w:rPr>
          <w:lang w:val="fr-FR"/>
        </w:rPr>
        <w:tab/>
        <w:t>Fournir au Comité, au plus tard les 1</w:t>
      </w:r>
      <w:r w:rsidRPr="005E3E58">
        <w:rPr>
          <w:vertAlign w:val="superscript"/>
          <w:lang w:val="fr-FR"/>
        </w:rPr>
        <w:t>er</w:t>
      </w:r>
      <w:r w:rsidRPr="005E3E58">
        <w:rPr>
          <w:lang w:val="fr-FR"/>
        </w:rPr>
        <w:t xml:space="preserve"> octobre 2023 et 2024, des rapports d’étape détaillés sur les mesures prises aux fins de l’application du plan d’action et de la recommandation susmentionnée et sur les résultats obtenus</w:t>
      </w:r>
      <w:r>
        <w:rPr>
          <w:lang w:val="fr-FR"/>
        </w:rPr>
        <w:t> </w:t>
      </w:r>
      <w:r w:rsidRPr="005E3E58">
        <w:rPr>
          <w:lang w:val="fr-FR"/>
        </w:rPr>
        <w:t>;</w:t>
      </w:r>
    </w:p>
    <w:p w14:paraId="0FCC0A5A" w14:textId="42ECA17F" w:rsidR="005E3E58" w:rsidRPr="005E3E58" w:rsidRDefault="005E3E58" w:rsidP="005E3E58">
      <w:pPr>
        <w:pStyle w:val="SingleTxtG"/>
      </w:pPr>
      <w:r>
        <w:rPr>
          <w:lang w:val="fr-FR"/>
        </w:rPr>
        <w:tab/>
      </w:r>
      <w:r w:rsidRPr="005E3E58">
        <w:rPr>
          <w:lang w:val="fr-FR"/>
        </w:rPr>
        <w:t>c)</w:t>
      </w:r>
      <w:r w:rsidRPr="005E3E58">
        <w:rPr>
          <w:lang w:val="fr-FR"/>
        </w:rPr>
        <w:tab/>
        <w:t>Fournir tout autre renseignement que pourrait lui demander le Comité pour l’aider à examiner les progrès qui auront été accomplis dans l’application de la recommandation susmentionnée</w:t>
      </w:r>
      <w:r>
        <w:rPr>
          <w:lang w:val="fr-FR"/>
        </w:rPr>
        <w:t> </w:t>
      </w:r>
      <w:r w:rsidRPr="005E3E58">
        <w:rPr>
          <w:lang w:val="fr-FR"/>
        </w:rPr>
        <w:t xml:space="preserve">; </w:t>
      </w:r>
    </w:p>
    <w:p w14:paraId="21B5C98E" w14:textId="0DC07AE9" w:rsidR="005E3E58" w:rsidRPr="005E3E58" w:rsidRDefault="005E3E58" w:rsidP="005E3E58">
      <w:pPr>
        <w:pStyle w:val="SingleTxtG"/>
      </w:pPr>
      <w:r>
        <w:rPr>
          <w:lang w:val="fr-FR"/>
        </w:rPr>
        <w:tab/>
      </w:r>
      <w:r w:rsidRPr="005E3E58">
        <w:rPr>
          <w:lang w:val="fr-FR"/>
        </w:rPr>
        <w:t>d)</w:t>
      </w:r>
      <w:r w:rsidRPr="005E3E58">
        <w:rPr>
          <w:lang w:val="fr-FR"/>
        </w:rPr>
        <w:tab/>
        <w:t>Participer (en personne ou virtuellement) aux réunions du Comité au cours desquelles les progrès accomplis par la Partie concernée dans l’application de la recommandation susmentionnée seront examinés</w:t>
      </w:r>
      <w:r>
        <w:rPr>
          <w:lang w:val="fr-FR"/>
        </w:rPr>
        <w:t> </w:t>
      </w:r>
      <w:r w:rsidRPr="005E3E58">
        <w:rPr>
          <w:lang w:val="fr-FR"/>
        </w:rPr>
        <w:t>;</w:t>
      </w:r>
    </w:p>
    <w:p w14:paraId="56022287" w14:textId="2C37FBA9" w:rsidR="005E3E58" w:rsidRPr="005E3E58" w:rsidRDefault="005E3E58" w:rsidP="005E3E58">
      <w:pPr>
        <w:pStyle w:val="SingleTxtG"/>
      </w:pPr>
      <w:r>
        <w:rPr>
          <w:lang w:val="fr-FR"/>
        </w:rPr>
        <w:tab/>
      </w:r>
      <w:r w:rsidRPr="005E3E58">
        <w:rPr>
          <w:lang w:val="fr-FR"/>
        </w:rPr>
        <w:t>4.</w:t>
      </w:r>
      <w:r w:rsidRPr="005E3E58">
        <w:rPr>
          <w:lang w:val="fr-FR"/>
        </w:rPr>
        <w:tab/>
      </w:r>
      <w:r w:rsidRPr="005E3E58">
        <w:rPr>
          <w:i/>
          <w:iCs/>
          <w:lang w:val="fr-FR"/>
        </w:rPr>
        <w:t xml:space="preserve">Décide </w:t>
      </w:r>
      <w:r w:rsidRPr="005E3E58">
        <w:rPr>
          <w:lang w:val="fr-FR"/>
        </w:rPr>
        <w:t>de faire le point sur la situation à sa huitième session.</w:t>
      </w:r>
    </w:p>
    <w:p w14:paraId="78EFCCE5" w14:textId="7ABE5304" w:rsidR="005F26E5" w:rsidRPr="005E3E58" w:rsidRDefault="005E3E58" w:rsidP="005E3E5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26E5" w:rsidRPr="005E3E58" w:rsidSect="005E3E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49780" w14:textId="77777777" w:rsidR="007D0FEE" w:rsidRDefault="007D0FEE" w:rsidP="00F95C08">
      <w:pPr>
        <w:spacing w:line="240" w:lineRule="auto"/>
      </w:pPr>
    </w:p>
  </w:endnote>
  <w:endnote w:type="continuationSeparator" w:id="0">
    <w:p w14:paraId="508EA969" w14:textId="77777777" w:rsidR="007D0FEE" w:rsidRPr="00AC3823" w:rsidRDefault="007D0FEE" w:rsidP="00AC3823">
      <w:pPr>
        <w:pStyle w:val="Pieddepage"/>
      </w:pPr>
    </w:p>
  </w:endnote>
  <w:endnote w:type="continuationNotice" w:id="1">
    <w:p w14:paraId="5CB9A45F" w14:textId="77777777" w:rsidR="007D0FEE" w:rsidRDefault="007D0F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29654" w14:textId="02AEBBB3" w:rsidR="005E3E58" w:rsidRPr="005E3E58" w:rsidRDefault="005E3E58" w:rsidP="005E3E58">
    <w:pPr>
      <w:pStyle w:val="Pieddepage"/>
      <w:tabs>
        <w:tab w:val="right" w:pos="9638"/>
      </w:tabs>
    </w:pPr>
    <w:r w:rsidRPr="005E3E58">
      <w:rPr>
        <w:b/>
        <w:sz w:val="18"/>
      </w:rPr>
      <w:fldChar w:fldCharType="begin"/>
    </w:r>
    <w:r w:rsidRPr="005E3E58">
      <w:rPr>
        <w:b/>
        <w:sz w:val="18"/>
      </w:rPr>
      <w:instrText xml:space="preserve"> PAGE  \* MERGEFORMAT </w:instrText>
    </w:r>
    <w:r w:rsidRPr="005E3E58">
      <w:rPr>
        <w:b/>
        <w:sz w:val="18"/>
      </w:rPr>
      <w:fldChar w:fldCharType="separate"/>
    </w:r>
    <w:r w:rsidRPr="005E3E58">
      <w:rPr>
        <w:b/>
        <w:noProof/>
        <w:sz w:val="18"/>
      </w:rPr>
      <w:t>2</w:t>
    </w:r>
    <w:r w:rsidRPr="005E3E58">
      <w:rPr>
        <w:b/>
        <w:sz w:val="18"/>
      </w:rPr>
      <w:fldChar w:fldCharType="end"/>
    </w:r>
    <w:r>
      <w:rPr>
        <w:b/>
        <w:sz w:val="18"/>
      </w:rPr>
      <w:tab/>
    </w:r>
    <w:r>
      <w:t>GE.21-10876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4AF4" w14:textId="04A727F7" w:rsidR="005E3E58" w:rsidRPr="005E3E58" w:rsidRDefault="005E3E58" w:rsidP="005E3E58">
    <w:pPr>
      <w:pStyle w:val="Pieddepage"/>
      <w:tabs>
        <w:tab w:val="right" w:pos="9638"/>
      </w:tabs>
      <w:rPr>
        <w:b/>
        <w:sz w:val="18"/>
      </w:rPr>
    </w:pPr>
    <w:r>
      <w:t>GE.21-10876</w:t>
    </w:r>
    <w:r>
      <w:tab/>
    </w:r>
    <w:r w:rsidRPr="005E3E58">
      <w:rPr>
        <w:b/>
        <w:sz w:val="18"/>
      </w:rPr>
      <w:fldChar w:fldCharType="begin"/>
    </w:r>
    <w:r w:rsidRPr="005E3E58">
      <w:rPr>
        <w:b/>
        <w:sz w:val="18"/>
      </w:rPr>
      <w:instrText xml:space="preserve"> PAGE  \* MERGEFORMAT </w:instrText>
    </w:r>
    <w:r w:rsidRPr="005E3E58">
      <w:rPr>
        <w:b/>
        <w:sz w:val="18"/>
      </w:rPr>
      <w:fldChar w:fldCharType="separate"/>
    </w:r>
    <w:r w:rsidRPr="005E3E58">
      <w:rPr>
        <w:b/>
        <w:noProof/>
        <w:sz w:val="18"/>
      </w:rPr>
      <w:t>3</w:t>
    </w:r>
    <w:r w:rsidRPr="005E3E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2E6FC" w14:textId="375D68E2" w:rsidR="00A14420" w:rsidRPr="005E3E58" w:rsidRDefault="005E3E58" w:rsidP="005E3E58">
    <w:pPr>
      <w:pStyle w:val="Pieddepage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D09CE40" wp14:editId="61B16AC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21-10876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D925967" wp14:editId="44989B4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111021    111021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FD5B" w14:textId="77777777" w:rsidR="007D0FEE" w:rsidRPr="00AC3823" w:rsidRDefault="007D0FE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AB8B30" w14:textId="77777777" w:rsidR="007D0FEE" w:rsidRPr="00AC3823" w:rsidRDefault="007D0FE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3E9CA29" w14:textId="77777777" w:rsidR="007D0FEE" w:rsidRPr="00AC3823" w:rsidRDefault="007D0FEE">
      <w:pPr>
        <w:spacing w:line="240" w:lineRule="auto"/>
        <w:rPr>
          <w:sz w:val="2"/>
          <w:szCs w:val="2"/>
        </w:rPr>
      </w:pPr>
    </w:p>
  </w:footnote>
  <w:footnote w:id="2">
    <w:p w14:paraId="59E8AF24" w14:textId="77777777" w:rsidR="005E3E58" w:rsidRPr="00271A4C" w:rsidRDefault="005E3E58" w:rsidP="005E3E58">
      <w:pPr>
        <w:pStyle w:val="Notedebasdepage"/>
      </w:pPr>
      <w:r w:rsidRPr="001B2B9F">
        <w:rPr>
          <w:lang w:val="fr-FR"/>
        </w:rPr>
        <w:tab/>
      </w:r>
      <w:r w:rsidRPr="001B2B9F">
        <w:rPr>
          <w:rStyle w:val="Appelnotedebasdep"/>
          <w:sz w:val="20"/>
          <w:lang w:val="fr-FR"/>
        </w:rPr>
        <w:footnoteRef/>
      </w:r>
      <w:r w:rsidRPr="001B2B9F">
        <w:rPr>
          <w:lang w:val="fr-FR"/>
        </w:rPr>
        <w:tab/>
        <w:t>ECE/MP.PP/2/Add.8.</w:t>
      </w:r>
    </w:p>
  </w:footnote>
  <w:footnote w:id="3">
    <w:p w14:paraId="4E93D92F" w14:textId="77777777" w:rsidR="005E3E58" w:rsidRPr="00271A4C" w:rsidRDefault="005E3E58" w:rsidP="005E3E58">
      <w:pPr>
        <w:pStyle w:val="Notedebasdepage"/>
      </w:pPr>
      <w:r w:rsidRPr="001B2B9F">
        <w:rPr>
          <w:lang w:val="fr-FR"/>
        </w:rPr>
        <w:tab/>
      </w:r>
      <w:r w:rsidRPr="001B2B9F">
        <w:rPr>
          <w:rStyle w:val="Appelnotedebasdep"/>
          <w:sz w:val="20"/>
          <w:lang w:val="fr-FR"/>
        </w:rPr>
        <w:footnoteRef/>
      </w:r>
      <w:r w:rsidRPr="001B2B9F">
        <w:rPr>
          <w:lang w:val="fr-FR"/>
        </w:rPr>
        <w:tab/>
      </w:r>
      <w:r w:rsidRPr="005E3E58">
        <w:t>ECE</w:t>
      </w:r>
      <w:r w:rsidRPr="001B2B9F">
        <w:rPr>
          <w:lang w:val="fr-FR"/>
        </w:rPr>
        <w:t>/MP.PP/C.1/2021/16, à paraître.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AC772" w14:textId="14A3B9DA" w:rsidR="005E3E58" w:rsidRPr="005E3E58" w:rsidRDefault="005E3E58">
    <w:pPr>
      <w:pStyle w:val="En-tte"/>
    </w:pPr>
    <w:fldSimple w:instr=" TITLE  \* MERGEFORMAT ">
      <w:r>
        <w:t>ECE/MP.PP/2021/31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8F553" w14:textId="320B2A49" w:rsidR="005E3E58" w:rsidRPr="005E3E58" w:rsidRDefault="005E3E58" w:rsidP="005E3E58">
    <w:pPr>
      <w:pStyle w:val="En-tte"/>
      <w:jc w:val="right"/>
    </w:pPr>
    <w:fldSimple w:instr=" TITLE  \* MERGEFORMAT ">
      <w:r>
        <w:t>ECE/MP.PP/2021/31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EE"/>
    <w:rsid w:val="00017F94"/>
    <w:rsid w:val="00023842"/>
    <w:rsid w:val="00031189"/>
    <w:rsid w:val="000334F9"/>
    <w:rsid w:val="0007796D"/>
    <w:rsid w:val="000B7790"/>
    <w:rsid w:val="00111F2F"/>
    <w:rsid w:val="0014365E"/>
    <w:rsid w:val="00176178"/>
    <w:rsid w:val="001F525A"/>
    <w:rsid w:val="00223272"/>
    <w:rsid w:val="0024779E"/>
    <w:rsid w:val="002832AC"/>
    <w:rsid w:val="002B40F9"/>
    <w:rsid w:val="002D7C93"/>
    <w:rsid w:val="00441C3B"/>
    <w:rsid w:val="00446FE5"/>
    <w:rsid w:val="00452396"/>
    <w:rsid w:val="004E468C"/>
    <w:rsid w:val="005505B7"/>
    <w:rsid w:val="00573BE5"/>
    <w:rsid w:val="00586ED3"/>
    <w:rsid w:val="00596AA9"/>
    <w:rsid w:val="005D6D16"/>
    <w:rsid w:val="005E3E58"/>
    <w:rsid w:val="005F26E5"/>
    <w:rsid w:val="006C0E3B"/>
    <w:rsid w:val="0071601D"/>
    <w:rsid w:val="007A5FC4"/>
    <w:rsid w:val="007A62E6"/>
    <w:rsid w:val="007D0FEE"/>
    <w:rsid w:val="0080684C"/>
    <w:rsid w:val="00871C75"/>
    <w:rsid w:val="008776DC"/>
    <w:rsid w:val="008D6B3F"/>
    <w:rsid w:val="0090540F"/>
    <w:rsid w:val="009705C8"/>
    <w:rsid w:val="009C1CF4"/>
    <w:rsid w:val="00A14420"/>
    <w:rsid w:val="00A30353"/>
    <w:rsid w:val="00AC3823"/>
    <w:rsid w:val="00AE323C"/>
    <w:rsid w:val="00B00181"/>
    <w:rsid w:val="00B00B0D"/>
    <w:rsid w:val="00B61815"/>
    <w:rsid w:val="00B765F7"/>
    <w:rsid w:val="00BA0CA9"/>
    <w:rsid w:val="00C02897"/>
    <w:rsid w:val="00C554CE"/>
    <w:rsid w:val="00CE26D2"/>
    <w:rsid w:val="00D3090D"/>
    <w:rsid w:val="00D3439C"/>
    <w:rsid w:val="00D503D3"/>
    <w:rsid w:val="00DB1831"/>
    <w:rsid w:val="00DD3BFD"/>
    <w:rsid w:val="00DF5712"/>
    <w:rsid w:val="00DF6678"/>
    <w:rsid w:val="00E96BD6"/>
    <w:rsid w:val="00ED5F56"/>
    <w:rsid w:val="00EE22F9"/>
    <w:rsid w:val="00EF2E22"/>
    <w:rsid w:val="00F274A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CCD3FF"/>
  <w15:docId w15:val="{FF47F78A-1511-4BF8-BB02-3F4D109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E22F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EE22F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E22F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E22F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E22F9"/>
  </w:style>
  <w:style w:type="character" w:customStyle="1" w:styleId="NotedefinCar">
    <w:name w:val="Note de fin Car"/>
    <w:aliases w:val="2_G Car"/>
    <w:basedOn w:val="Policepardfaut"/>
    <w:link w:val="Notedefin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E22F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ECE_MP.dotm</Template>
  <TotalTime>0</TotalTime>
  <Pages>2</Pages>
  <Words>480</Words>
  <Characters>2590</Characters>
  <Application>Microsoft Office Word</Application>
  <DocSecurity>0</DocSecurity>
  <Lines>56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ECE/MP.PP/2021/31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2021-10-11T09:31:00Z</dcterms:created>
  <dcterms:modified xsi:type="dcterms:W3CDTF">2021-10-11T09:31:00Z</dcterms:modified>
</cp:coreProperties>
</file>