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F8B45D7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0DE4484" w14:textId="77777777" w:rsidR="002D5AAC" w:rsidRDefault="002D5AAC" w:rsidP="00F773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9F772D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4FE6C3E" w14:textId="29711869" w:rsidR="002D5AAC" w:rsidRDefault="00F773C8" w:rsidP="00F773C8">
            <w:pPr>
              <w:jc w:val="right"/>
            </w:pPr>
            <w:r w:rsidRPr="00F773C8">
              <w:rPr>
                <w:sz w:val="40"/>
              </w:rPr>
              <w:t>ECE</w:t>
            </w:r>
            <w:r>
              <w:t>/MP.PP/2021/28</w:t>
            </w:r>
          </w:p>
        </w:tc>
      </w:tr>
      <w:tr w:rsidR="002D5AAC" w14:paraId="3C99950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D030F3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AEEA955" wp14:editId="70E2F26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96C719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3C5959D" w14:textId="77777777" w:rsidR="002D5AAC" w:rsidRDefault="00F773C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C9B6810" w14:textId="77777777" w:rsidR="00F773C8" w:rsidRDefault="00F773C8" w:rsidP="00F773C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August 2021</w:t>
            </w:r>
          </w:p>
          <w:p w14:paraId="228F4884" w14:textId="77777777" w:rsidR="00F773C8" w:rsidRDefault="00F773C8" w:rsidP="00F773C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04EDDA4" w14:textId="6EFB14C8" w:rsidR="00F773C8" w:rsidRPr="008D53B6" w:rsidRDefault="00F773C8" w:rsidP="00F773C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AF5F23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0D1ABF2" w14:textId="369997DD" w:rsidR="00F773C8" w:rsidRPr="00F773C8" w:rsidRDefault="00F773C8" w:rsidP="00F773C8">
      <w:pPr>
        <w:spacing w:before="120"/>
        <w:ind w:right="1133"/>
        <w:rPr>
          <w:sz w:val="28"/>
          <w:szCs w:val="28"/>
        </w:rPr>
      </w:pPr>
      <w:r w:rsidRPr="00F773C8">
        <w:rPr>
          <w:sz w:val="28"/>
          <w:szCs w:val="28"/>
        </w:rPr>
        <w:t xml:space="preserve">Совещание Сторон Конвенции о доступе </w:t>
      </w:r>
      <w:r>
        <w:rPr>
          <w:sz w:val="28"/>
          <w:szCs w:val="28"/>
        </w:rPr>
        <w:br/>
      </w:r>
      <w:r w:rsidRPr="00F773C8">
        <w:rPr>
          <w:sz w:val="28"/>
          <w:szCs w:val="28"/>
        </w:rPr>
        <w:t xml:space="preserve">к информации, участии общественности </w:t>
      </w:r>
      <w:r>
        <w:rPr>
          <w:sz w:val="28"/>
          <w:szCs w:val="28"/>
        </w:rPr>
        <w:br/>
      </w:r>
      <w:r w:rsidRPr="00F773C8">
        <w:rPr>
          <w:sz w:val="28"/>
          <w:szCs w:val="28"/>
        </w:rPr>
        <w:t xml:space="preserve">в процессе принятия решений и доступе </w:t>
      </w:r>
      <w:r>
        <w:rPr>
          <w:sz w:val="28"/>
          <w:szCs w:val="28"/>
        </w:rPr>
        <w:br/>
      </w:r>
      <w:r w:rsidRPr="00F773C8">
        <w:rPr>
          <w:sz w:val="28"/>
          <w:szCs w:val="28"/>
        </w:rPr>
        <w:t xml:space="preserve">к правосудию по вопросам, касающимся </w:t>
      </w:r>
      <w:r>
        <w:rPr>
          <w:sz w:val="28"/>
          <w:szCs w:val="28"/>
        </w:rPr>
        <w:br/>
      </w:r>
      <w:r w:rsidRPr="00F773C8">
        <w:rPr>
          <w:sz w:val="28"/>
          <w:szCs w:val="28"/>
        </w:rPr>
        <w:t>окружающей среды</w:t>
      </w:r>
    </w:p>
    <w:p w14:paraId="06BE059C" w14:textId="77777777" w:rsidR="00F773C8" w:rsidRPr="005A441B" w:rsidRDefault="00F773C8" w:rsidP="00F773C8">
      <w:pPr>
        <w:spacing w:before="120"/>
        <w:ind w:right="1133"/>
        <w:rPr>
          <w:b/>
        </w:rPr>
      </w:pPr>
      <w:r>
        <w:rPr>
          <w:b/>
          <w:bCs/>
        </w:rPr>
        <w:t>Седьмая сессия</w:t>
      </w:r>
    </w:p>
    <w:p w14:paraId="42E9E8F8" w14:textId="36AAA6B3" w:rsidR="00F773C8" w:rsidRPr="005A441B" w:rsidRDefault="00F773C8" w:rsidP="00F773C8">
      <w:pPr>
        <w:ind w:right="1134"/>
      </w:pPr>
      <w:r>
        <w:t>Женева, 18</w:t>
      </w:r>
      <w:r>
        <w:rPr>
          <w:lang w:val="en-US"/>
        </w:rPr>
        <w:t>–</w:t>
      </w:r>
      <w:r>
        <w:t>20 октября 2021 года</w:t>
      </w:r>
    </w:p>
    <w:p w14:paraId="229B5962" w14:textId="77777777" w:rsidR="00F773C8" w:rsidRPr="005A441B" w:rsidRDefault="00F773C8" w:rsidP="00F773C8">
      <w:pPr>
        <w:ind w:right="1133"/>
      </w:pPr>
      <w:r>
        <w:t>Пункт 7 b) предварительной повестки дня</w:t>
      </w:r>
    </w:p>
    <w:p w14:paraId="3CC0DA52" w14:textId="4BC9EA15" w:rsidR="00F773C8" w:rsidRPr="005A441B" w:rsidRDefault="00F773C8" w:rsidP="00F773C8">
      <w:r>
        <w:rPr>
          <w:b/>
          <w:bCs/>
        </w:rPr>
        <w:t xml:space="preserve">Процедуры и механизмы, способствующие осуществлению </w:t>
      </w:r>
      <w:r>
        <w:rPr>
          <w:b/>
          <w:bCs/>
        </w:rPr>
        <w:br/>
      </w:r>
      <w:r>
        <w:rPr>
          <w:b/>
          <w:bCs/>
        </w:rPr>
        <w:t>Конвенции: механизм соблюдения</w:t>
      </w:r>
    </w:p>
    <w:p w14:paraId="4D844DD6" w14:textId="77777777" w:rsidR="00F773C8" w:rsidRPr="005A441B" w:rsidRDefault="00F773C8" w:rsidP="00F773C8">
      <w:pPr>
        <w:pStyle w:val="HChG"/>
      </w:pPr>
      <w:r>
        <w:tab/>
      </w:r>
      <w:r>
        <w:tab/>
      </w:r>
      <w:r>
        <w:rPr>
          <w:bCs/>
        </w:rPr>
        <w:t>Проект решения VII/8e, касающийся выполнения Чехией своих обязательств по Конвенции</w:t>
      </w:r>
    </w:p>
    <w:p w14:paraId="67AAE09C" w14:textId="77777777" w:rsidR="00F773C8" w:rsidRPr="005A441B" w:rsidRDefault="00F773C8" w:rsidP="00F773C8">
      <w:pPr>
        <w:pStyle w:val="H1G"/>
        <w:rPr>
          <w:i/>
          <w:iCs/>
        </w:rPr>
      </w:pPr>
      <w:r>
        <w:tab/>
      </w:r>
      <w:r>
        <w:tab/>
      </w:r>
      <w:r>
        <w:rPr>
          <w:bCs/>
        </w:rPr>
        <w:t>Подготовлен Президиумом</w:t>
      </w:r>
      <w:r>
        <w:t xml:space="preserve"> </w:t>
      </w:r>
    </w:p>
    <w:p w14:paraId="2177A0A8" w14:textId="6C4BF944" w:rsidR="00F773C8" w:rsidRPr="005A441B" w:rsidRDefault="00F773C8" w:rsidP="00F773C8">
      <w:pPr>
        <w:pStyle w:val="SingleTxtG"/>
        <w:ind w:firstLine="567"/>
        <w:rPr>
          <w:i/>
        </w:rPr>
      </w:pPr>
      <w:r>
        <w:rPr>
          <w:i/>
          <w:iCs/>
        </w:rPr>
        <w:t>Совещание Сторон,</w:t>
      </w:r>
      <w:r>
        <w:t xml:space="preserve"> </w:t>
      </w:r>
    </w:p>
    <w:p w14:paraId="055B1AA9" w14:textId="39A69F3D" w:rsidR="00F773C8" w:rsidRPr="00E12B11" w:rsidRDefault="00F773C8" w:rsidP="00F773C8">
      <w:pPr>
        <w:pStyle w:val="SingleTxtG"/>
        <w:ind w:firstLine="567"/>
      </w:pPr>
      <w:r w:rsidRPr="00DD6BCC">
        <w:rPr>
          <w:i/>
          <w:iCs/>
        </w:rPr>
        <w:t>действуя</w:t>
      </w:r>
      <w:r>
        <w:t xml:space="preserve"> в соответствии с пунктом 37 приложения к его решению I/7 о</w:t>
      </w:r>
      <w:r w:rsidR="007F1DFD">
        <w:t> </w:t>
      </w:r>
      <w:r>
        <w:t>рассмотрении соблюдения</w:t>
      </w:r>
      <w:r>
        <w:rPr>
          <w:rStyle w:val="aa"/>
        </w:rPr>
        <w:footnoteReference w:id="1"/>
      </w:r>
      <w:r>
        <w:t xml:space="preserve">, </w:t>
      </w:r>
    </w:p>
    <w:p w14:paraId="131A7FC4" w14:textId="77777777" w:rsidR="00F773C8" w:rsidRPr="005A441B" w:rsidRDefault="00F773C8" w:rsidP="00F773C8">
      <w:pPr>
        <w:pStyle w:val="SingleTxtG"/>
        <w:ind w:firstLine="567"/>
      </w:pPr>
      <w:r w:rsidRPr="00DD6BCC">
        <w:rPr>
          <w:i/>
          <w:iCs/>
        </w:rPr>
        <w:t>памятуя</w:t>
      </w:r>
      <w:r>
        <w:t xml:space="preserve"> о выводах и рекомендациях, изложенных в его решении VI/8e в отношении соблюдения своих обязательств Чехией</w:t>
      </w:r>
      <w:r>
        <w:rPr>
          <w:rStyle w:val="aa"/>
        </w:rPr>
        <w:footnoteReference w:id="2"/>
      </w:r>
      <w:r>
        <w:t>,</w:t>
      </w:r>
    </w:p>
    <w:p w14:paraId="7AA448C8" w14:textId="084F72CF" w:rsidR="00F773C8" w:rsidRPr="005A441B" w:rsidRDefault="00F773C8" w:rsidP="00F773C8">
      <w:pPr>
        <w:pStyle w:val="SingleTxtG"/>
        <w:ind w:firstLine="567"/>
      </w:pPr>
      <w:r>
        <w:rPr>
          <w:i/>
          <w:iCs/>
        </w:rPr>
        <w:t>принимая к сведению</w:t>
      </w:r>
      <w:r>
        <w:t xml:space="preserve"> доклад Комитета по вопросам соблюдения, действующего в рамках Конвенции о доступе к информации, участии общественности в процессе принятия решений и доступе к правосудию по вопросам, касающимся окружающей среды, о ходе осуществления решения VI/8e о соблюдении Чехией ее обязательств</w:t>
      </w:r>
      <w:r>
        <w:rPr>
          <w:rStyle w:val="aa"/>
        </w:rPr>
        <w:footnoteReference w:id="3"/>
      </w:r>
      <w:r>
        <w:t>, а</w:t>
      </w:r>
      <w:r w:rsidR="007F1DFD">
        <w:t> </w:t>
      </w:r>
      <w:r>
        <w:t xml:space="preserve">также выводы Комитета по сообщению ACCC/C/2016/143 об участии общественности в процессе принятия решений и доступе к правосудию в отношении продления срока эксплуатации атомной электростанции </w:t>
      </w:r>
      <w:r>
        <w:t>«</w:t>
      </w:r>
      <w:r>
        <w:t>Дукованы</w:t>
      </w:r>
      <w:r>
        <w:t>»</w:t>
      </w:r>
      <w:r>
        <w:rPr>
          <w:rStyle w:val="aa"/>
        </w:rPr>
        <w:footnoteReference w:id="4"/>
      </w:r>
      <w:r>
        <w:t>,</w:t>
      </w:r>
    </w:p>
    <w:p w14:paraId="0B8924E9" w14:textId="77777777" w:rsidR="00F773C8" w:rsidRPr="005A441B" w:rsidRDefault="00F773C8" w:rsidP="00F773C8">
      <w:pPr>
        <w:pStyle w:val="SingleTxtG"/>
        <w:ind w:firstLine="567"/>
      </w:pPr>
      <w:r>
        <w:rPr>
          <w:i/>
          <w:iCs/>
        </w:rPr>
        <w:t xml:space="preserve">будучи воодушевлено </w:t>
      </w:r>
      <w:r>
        <w:t xml:space="preserve">готовностью Чехии конструктивно обсуждать с Комитетом соответствующие вопросы соблюдения, </w:t>
      </w:r>
    </w:p>
    <w:p w14:paraId="2759A2B0" w14:textId="77777777" w:rsidR="00F773C8" w:rsidRPr="005A441B" w:rsidRDefault="00F773C8" w:rsidP="00F773C8">
      <w:pPr>
        <w:pStyle w:val="SingleTxtG"/>
        <w:ind w:firstLine="567"/>
      </w:pPr>
      <w:r>
        <w:t>1.</w:t>
      </w:r>
      <w:r>
        <w:tab/>
      </w:r>
      <w:r>
        <w:rPr>
          <w:i/>
          <w:iCs/>
        </w:rPr>
        <w:t xml:space="preserve">одобряет </w:t>
      </w:r>
      <w:r>
        <w:t>выводы Комитета о том, что соответствующая Сторона еще не выполнила требования пунктов 3 и 6 решения VI/8e и не достигла какого-либо заметного прогресса в этом направлении;</w:t>
      </w:r>
      <w:bookmarkStart w:id="0" w:name="_Hlk75113503"/>
      <w:bookmarkStart w:id="1" w:name="_Ref75798388"/>
      <w:bookmarkEnd w:id="0"/>
    </w:p>
    <w:p w14:paraId="34C2FB93" w14:textId="77777777" w:rsidR="00F773C8" w:rsidRPr="005A441B" w:rsidRDefault="00F773C8" w:rsidP="00F773C8">
      <w:pPr>
        <w:suppressAutoHyphens w:val="0"/>
        <w:spacing w:line="240" w:lineRule="auto"/>
      </w:pPr>
      <w:r w:rsidRPr="005A441B">
        <w:br w:type="page"/>
      </w:r>
    </w:p>
    <w:p w14:paraId="373A14BD" w14:textId="77777777" w:rsidR="00F773C8" w:rsidRPr="005A441B" w:rsidRDefault="00F773C8" w:rsidP="00F773C8">
      <w:pPr>
        <w:pStyle w:val="SingleTxtG"/>
        <w:ind w:firstLine="567"/>
      </w:pPr>
      <w:r>
        <w:lastRenderedPageBreak/>
        <w:t>2.</w:t>
      </w:r>
      <w:r>
        <w:tab/>
      </w:r>
      <w:r>
        <w:rPr>
          <w:i/>
          <w:iCs/>
        </w:rPr>
        <w:t xml:space="preserve">подтверждает </w:t>
      </w:r>
      <w:r>
        <w:t>свое решение VI/8e и просит соответствующую Сторону:</w:t>
      </w:r>
    </w:p>
    <w:p w14:paraId="4A3A646F" w14:textId="77777777" w:rsidR="00F773C8" w:rsidRPr="005A441B" w:rsidRDefault="00F773C8" w:rsidP="00F773C8">
      <w:pPr>
        <w:pStyle w:val="SingleTxtG"/>
        <w:ind w:firstLine="567"/>
      </w:pPr>
      <w:r>
        <w:t>a)</w:t>
      </w:r>
      <w:r>
        <w:tab/>
        <w:t>принять необходимые законодательные, нормативные и административные меры для обеспечения того, чтобы:</w:t>
      </w:r>
      <w:bookmarkEnd w:id="1"/>
    </w:p>
    <w:p w14:paraId="3D2BE4FE" w14:textId="77777777" w:rsidR="00F773C8" w:rsidRPr="005A441B" w:rsidRDefault="00F773C8" w:rsidP="00F773C8">
      <w:pPr>
        <w:pStyle w:val="SingleTxtG"/>
        <w:ind w:left="1701"/>
      </w:pPr>
      <w:r>
        <w:t>i)</w:t>
      </w:r>
      <w:r>
        <w:tab/>
        <w:t>представители общественности имели доступ к административным или судебным процедурам для оспаривания действий или бездействия оператора или компетентного органа в тех случаях, когда оператор нарушает положения национального законодательства, касающиеся допустимого уровня шума;</w:t>
      </w:r>
    </w:p>
    <w:p w14:paraId="57FCC8FA" w14:textId="77777777" w:rsidR="00F773C8" w:rsidRPr="005A441B" w:rsidRDefault="00F773C8" w:rsidP="00F773C8">
      <w:pPr>
        <w:pStyle w:val="SingleTxtG"/>
        <w:ind w:left="1701"/>
      </w:pPr>
      <w:r>
        <w:t>ii)</w:t>
      </w:r>
      <w:r>
        <w:tab/>
        <w:t xml:space="preserve">соответствующая Сторона в будущем представляла планы и программы, сходные по характеру с Национальным инвестиционным планом, для целей участия общественности, как того требует статья 7 в сочетании с соответствующими пунктами статьи 6 Конвенции; </w:t>
      </w:r>
    </w:p>
    <w:p w14:paraId="17B6FD75" w14:textId="77777777" w:rsidR="00F773C8" w:rsidRPr="005A441B" w:rsidRDefault="00F773C8" w:rsidP="00F773C8">
      <w:pPr>
        <w:pStyle w:val="SingleTxtG"/>
        <w:ind w:firstLine="567"/>
      </w:pPr>
      <w:bookmarkStart w:id="2" w:name="_Ref75798394"/>
      <w:r>
        <w:t>b)</w:t>
      </w:r>
      <w:r>
        <w:tab/>
        <w:t xml:space="preserve">продемонстрировать следующее: </w:t>
      </w:r>
      <w:bookmarkEnd w:id="2"/>
    </w:p>
    <w:p w14:paraId="622634CA" w14:textId="6857F129" w:rsidR="00F773C8" w:rsidRPr="005A441B" w:rsidRDefault="00F773C8" w:rsidP="00F773C8">
      <w:pPr>
        <w:pStyle w:val="SingleTxtG"/>
        <w:ind w:left="1701"/>
      </w:pPr>
      <w:r>
        <w:t>i)</w:t>
      </w:r>
      <w:r>
        <w:tab/>
        <w:t xml:space="preserve">предусмотреть правовые рамки для обеспечения того, чтобы при выборе средств уведомления общественности в соответствии с пунктом 2 статьи 6 государственные органы были обязаны выбирать такие средства, которые обеспечат эффективное уведомление заинтересованной общественности, учитывая характер планируемой деятельности и охватывая </w:t>
      </w:r>
      <w:r w:rsidR="007F1DFD">
        <w:t>—</w:t>
      </w:r>
      <w:r>
        <w:t xml:space="preserve"> в случае предлагаемых видов деятельности с потенциальными трансграничными последствиями </w:t>
      </w:r>
      <w:r w:rsidR="007F1DFD">
        <w:t>—</w:t>
      </w:r>
      <w:r>
        <w:t xml:space="preserve"> заинтересованную общественность за пределами территории соответствующей Стороны;</w:t>
      </w:r>
    </w:p>
    <w:p w14:paraId="6EC40791" w14:textId="77777777" w:rsidR="00F773C8" w:rsidRPr="005A441B" w:rsidRDefault="00F773C8" w:rsidP="00F773C8">
      <w:pPr>
        <w:pStyle w:val="SingleTxtG"/>
        <w:ind w:firstLine="567"/>
      </w:pPr>
      <w:r>
        <w:t>ii)</w:t>
      </w:r>
      <w:r>
        <w:tab/>
        <w:t>принять необходимые меры для обеспечения того, чтобы:</w:t>
      </w:r>
    </w:p>
    <w:p w14:paraId="71632BE0" w14:textId="77777777" w:rsidR="00F773C8" w:rsidRPr="005A441B" w:rsidRDefault="00F773C8" w:rsidP="00F773C8">
      <w:pPr>
        <w:pStyle w:val="SingleTxtG"/>
        <w:ind w:left="1701" w:firstLine="567"/>
      </w:pPr>
      <w:r>
        <w:t>a.</w:t>
      </w:r>
      <w:r>
        <w:tab/>
        <w:t>при проведении трансграничных процедур в сотрудничестве с властями затрагиваемых стран компетентные государственные органы прилагали необходимые усилия для обеспечения того, чтобы заинтересованная общественность в затрагиваемых странах действительно уведомлялась эффективным образом;</w:t>
      </w:r>
    </w:p>
    <w:p w14:paraId="0497274A" w14:textId="4BA1C754" w:rsidR="00F773C8" w:rsidRPr="005A441B" w:rsidRDefault="00F773C8" w:rsidP="00F773C8">
      <w:pPr>
        <w:pStyle w:val="SingleTxtG"/>
        <w:ind w:left="1701" w:firstLine="567"/>
        <w:rPr>
          <w:iCs/>
        </w:rPr>
      </w:pPr>
      <w:r>
        <w:t>b.</w:t>
      </w:r>
      <w:r>
        <w:tab/>
        <w:t xml:space="preserve">были созданы надлежащие возможности для участия заинтересованной общественности, в том числе общественности за пределами территории соответствующей Стороны, в последующих этапах многоэтапной процедуры принятия решений в отношении </w:t>
      </w:r>
      <w:r w:rsidRPr="00BC3502">
        <w:t xml:space="preserve">атомной электростанции </w:t>
      </w:r>
      <w:r>
        <w:t>«</w:t>
      </w:r>
      <w:r>
        <w:t>Темелин</w:t>
      </w:r>
      <w:r>
        <w:t>»</w:t>
      </w:r>
      <w:r>
        <w:t>;</w:t>
      </w:r>
    </w:p>
    <w:p w14:paraId="35CAFF8D" w14:textId="77777777" w:rsidR="00F773C8" w:rsidRPr="005A441B" w:rsidRDefault="00F773C8" w:rsidP="00F773C8">
      <w:pPr>
        <w:pStyle w:val="SingleTxtG"/>
        <w:ind w:firstLine="567"/>
      </w:pPr>
      <w:r>
        <w:t>3.</w:t>
      </w:r>
      <w:r>
        <w:tab/>
      </w:r>
      <w:r>
        <w:rPr>
          <w:i/>
          <w:iCs/>
        </w:rPr>
        <w:t>постановляет</w:t>
      </w:r>
      <w:r>
        <w:t>, в свете отсутствия участия и конкретных действий соответствующей Стороны в межсессионный период, вынести предупреждение соответствующей Стороне, которое вступит в силу 1 января 2024 года, если только соответствующая Сторона не выполнит в полном объеме условия, изложенные в подпунктах a) и b) пункта 2 выше, и не уведомит об этом секретариат до 1 октября 2023 года;</w:t>
      </w:r>
    </w:p>
    <w:p w14:paraId="47BA8A81" w14:textId="77777777" w:rsidR="00F773C8" w:rsidRPr="00535E25" w:rsidRDefault="00F773C8" w:rsidP="00F773C8">
      <w:pPr>
        <w:pStyle w:val="SingleTxtG"/>
        <w:ind w:firstLine="567"/>
      </w:pPr>
      <w:r>
        <w:t>4.</w:t>
      </w:r>
      <w:r>
        <w:tab/>
      </w:r>
      <w:r>
        <w:rPr>
          <w:i/>
          <w:iCs/>
        </w:rPr>
        <w:t xml:space="preserve">просит </w:t>
      </w:r>
      <w:r>
        <w:t>Комитет определить успешность выполнения подпунктов a) и b) пункта 2 выше для целей вышеуказанного пункта 3;</w:t>
      </w:r>
    </w:p>
    <w:p w14:paraId="5A605F3D" w14:textId="77777777" w:rsidR="00F773C8" w:rsidRPr="005A441B" w:rsidRDefault="00F773C8" w:rsidP="00F773C8">
      <w:pPr>
        <w:pStyle w:val="SingleTxtG"/>
        <w:ind w:firstLine="567"/>
      </w:pPr>
      <w:r>
        <w:t>5.</w:t>
      </w:r>
      <w:r>
        <w:tab/>
      </w:r>
      <w:r>
        <w:rPr>
          <w:i/>
          <w:iCs/>
        </w:rPr>
        <w:t xml:space="preserve">одобряет </w:t>
      </w:r>
      <w:r>
        <w:t>следующие выводы Комитета в отношении сообщения ACCC/C/2016/143:</w:t>
      </w:r>
    </w:p>
    <w:p w14:paraId="3E3281F9" w14:textId="5FAF3535" w:rsidR="00F773C8" w:rsidRPr="005A441B" w:rsidRDefault="00F773C8" w:rsidP="00F773C8">
      <w:pPr>
        <w:pStyle w:val="SingleTxtG"/>
        <w:ind w:firstLine="567"/>
      </w:pPr>
      <w:r>
        <w:t>a)</w:t>
      </w:r>
      <w:r>
        <w:tab/>
        <w:t xml:space="preserve">не обеспечив участия общественности, отвечающего требованиям пунктов 2–9 статьи 6, в принятии решения о выдаче бессрочного разрешения на эксплуатацию первого реактора атомной электростанции </w:t>
      </w:r>
      <w:r>
        <w:t>«</w:t>
      </w:r>
      <w:r>
        <w:t>Дукованы</w:t>
      </w:r>
      <w:r>
        <w:t>»</w:t>
      </w:r>
      <w:r>
        <w:t>, соответствующая Сторона не выполнила пункт 10 статьи 6 Конвенции;</w:t>
      </w:r>
    </w:p>
    <w:p w14:paraId="32B10CFE" w14:textId="2CA2234C" w:rsidR="00F773C8" w:rsidRPr="005A441B" w:rsidRDefault="00F773C8" w:rsidP="00F773C8">
      <w:pPr>
        <w:pStyle w:val="SingleTxtG"/>
        <w:ind w:firstLine="567"/>
      </w:pPr>
      <w:r>
        <w:t>b)</w:t>
      </w:r>
      <w:r>
        <w:tab/>
        <w:t xml:space="preserve">создавая правовую основу, которая не предусматривает участия общественности, отвечающего требованиям пунктов 2–9 статьи 6, в каждом из десятилетних периодических обзоров безопасности первого реактора атомной электростанции </w:t>
      </w:r>
      <w:r>
        <w:t>«</w:t>
      </w:r>
      <w:r>
        <w:t>Дукованы</w:t>
      </w:r>
      <w:r>
        <w:t>»</w:t>
      </w:r>
      <w:r>
        <w:t>, соответствующая Сторона не соблюдает пункт</w:t>
      </w:r>
      <w:r w:rsidR="00734FDC">
        <w:t> </w:t>
      </w:r>
      <w:r>
        <w:t>10 статьи</w:t>
      </w:r>
      <w:r w:rsidR="00DF412F">
        <w:t> </w:t>
      </w:r>
      <w:r>
        <w:t>6 Конвенции;</w:t>
      </w:r>
    </w:p>
    <w:p w14:paraId="4D4C3674" w14:textId="67BD043B" w:rsidR="00F773C8" w:rsidRPr="005A441B" w:rsidRDefault="00F773C8" w:rsidP="00F773C8">
      <w:pPr>
        <w:pStyle w:val="SingleTxtG"/>
        <w:ind w:firstLine="567"/>
      </w:pPr>
      <w:r>
        <w:t>c)</w:t>
      </w:r>
      <w:r>
        <w:tab/>
        <w:t xml:space="preserve">не предоставляя экологическим неправительственным организациям доступ к процедуре пересмотра для оспаривания законности с правовой и </w:t>
      </w:r>
      <w:r>
        <w:lastRenderedPageBreak/>
        <w:t>процессуальной точки зрения решений, действий и бездействия в соответствии с законами об атомной энергии 1997 и 2016 годов, подпадающими под действие статьи</w:t>
      </w:r>
      <w:r w:rsidR="00734FDC">
        <w:t> </w:t>
      </w:r>
      <w:r>
        <w:t>6 Конвенции, соответствующая Сторона не соблюдает пункт 2 статьи 9 Конвенции;</w:t>
      </w:r>
    </w:p>
    <w:p w14:paraId="7FD1D33C" w14:textId="77777777" w:rsidR="00F773C8" w:rsidRPr="00535E25" w:rsidRDefault="00F773C8" w:rsidP="00F773C8">
      <w:pPr>
        <w:pStyle w:val="SingleTxtG"/>
        <w:ind w:firstLine="567"/>
      </w:pPr>
      <w:r>
        <w:t>6.</w:t>
      </w:r>
      <w:r>
        <w:tab/>
      </w:r>
      <w:r>
        <w:rPr>
          <w:i/>
          <w:iCs/>
        </w:rPr>
        <w:t xml:space="preserve">рекомендует </w:t>
      </w:r>
      <w:r>
        <w:t>соответствующей Стороне принять необходимые законодательные, нормативные, административные или другие меры для обеспечения того, чтобы:</w:t>
      </w:r>
    </w:p>
    <w:p w14:paraId="2FA18F7F" w14:textId="28919DF6" w:rsidR="00F773C8" w:rsidRPr="00535E25" w:rsidRDefault="00F773C8" w:rsidP="00F773C8">
      <w:pPr>
        <w:pStyle w:val="SingleTxtG"/>
        <w:ind w:firstLine="567"/>
      </w:pPr>
      <w:r>
        <w:t>a)</w:t>
      </w:r>
      <w:r>
        <w:tab/>
        <w:t>при пересмотре условий осуществления в разрешении, выданном в соответствии с законами об атомной энергии 1997 или 2016 годов или любым законодательством, которое заменяет Закон об атомной энергии 2016 года, по смыслу пункта 10 статьи 6 Конвенции, положения пунктов 2–9 статьи 6 применялись mutatis mutandis и в соответствующих случаях с учетом целей Конвенции. Это, в частности, включает пересмотр срока действия разрешения или десятилетние периодические проверки безопасности;</w:t>
      </w:r>
    </w:p>
    <w:p w14:paraId="640AC7C9" w14:textId="59695B7F" w:rsidR="00F773C8" w:rsidRPr="005A441B" w:rsidRDefault="00F773C8" w:rsidP="00F773C8">
      <w:pPr>
        <w:pStyle w:val="SingleTxtG"/>
        <w:ind w:firstLine="567"/>
      </w:pPr>
      <w:r>
        <w:t>b)</w:t>
      </w:r>
      <w:r>
        <w:tab/>
        <w:t>представители заинтересованной общественности, отвечающие требованиям пункта 2 статьи 9, включая экологические неправительственные организации, имели доступ к процедуре пересмотра для оспаривания законности с правовой и процессуальной точки зрения решений, действий или бездействия в соответствии с законами об атомной энергии 1997 или 2016 годов или любым последующим законодательством, на которые распространяются положения статьи</w:t>
      </w:r>
      <w:r w:rsidR="00734FDC">
        <w:t> </w:t>
      </w:r>
      <w:r>
        <w:t>6 Конвенции;</w:t>
      </w:r>
    </w:p>
    <w:p w14:paraId="0C9F6342" w14:textId="77777777" w:rsidR="00F773C8" w:rsidRPr="003371D4" w:rsidRDefault="00F773C8" w:rsidP="00F773C8">
      <w:pPr>
        <w:pStyle w:val="SingleTxtG"/>
        <w:ind w:firstLine="567"/>
      </w:pPr>
      <w:r>
        <w:t>7.</w:t>
      </w:r>
      <w:r>
        <w:tab/>
      </w:r>
      <w:r>
        <w:rPr>
          <w:i/>
          <w:iCs/>
        </w:rPr>
        <w:t xml:space="preserve">просит </w:t>
      </w:r>
      <w:r>
        <w:t>соответствующую Сторону:</w:t>
      </w:r>
    </w:p>
    <w:p w14:paraId="59AF8A68" w14:textId="77777777" w:rsidR="00F773C8" w:rsidRPr="00535E25" w:rsidRDefault="00F773C8" w:rsidP="00F773C8">
      <w:pPr>
        <w:pStyle w:val="SingleTxtG"/>
        <w:ind w:firstLine="567"/>
      </w:pPr>
      <w:r>
        <w:t>a)</w:t>
      </w:r>
      <w:r>
        <w:tab/>
        <w:t>представить Комитету к 1 июля 2022 года включающий график план действий по выполнению рекомендаций, изложенных в пунктах 2 и 6 выше;</w:t>
      </w:r>
    </w:p>
    <w:p w14:paraId="3E5D90CC" w14:textId="77777777" w:rsidR="00F773C8" w:rsidRPr="00535E25" w:rsidRDefault="00F773C8" w:rsidP="00F773C8">
      <w:pPr>
        <w:pStyle w:val="SingleTxtG"/>
        <w:ind w:firstLine="567"/>
      </w:pPr>
      <w:r>
        <w:t>b)</w:t>
      </w:r>
      <w:r>
        <w:tab/>
        <w:t>представить Комитету к 1 октября 2023 года и 1 октября 2024 года доклады о ходе работы, содержащие информацию о принятых мерах и результатах, достигнутых в деле выполнения плана действий и рекомендаций, изложенных в пунктах 2 и 6 выше;</w:t>
      </w:r>
    </w:p>
    <w:p w14:paraId="2688B3DC" w14:textId="77777777" w:rsidR="00F773C8" w:rsidRPr="00535E25" w:rsidRDefault="00F773C8" w:rsidP="00F773C8">
      <w:pPr>
        <w:pStyle w:val="SingleTxtG"/>
        <w:ind w:firstLine="567"/>
      </w:pPr>
      <w:r>
        <w:t>c)</w:t>
      </w:r>
      <w:r>
        <w:tab/>
        <w:t xml:space="preserve">представить любую другую информацию, которую может запросить Комитет, чтобы помочь ему рассмотреть прогресс, достигнутый соответствующей Стороной в выполнении рекомендаций, изложенных в пунктах 2 и 6 выше; </w:t>
      </w:r>
    </w:p>
    <w:p w14:paraId="6568B8EA" w14:textId="77777777" w:rsidR="00F773C8" w:rsidRPr="00535E25" w:rsidRDefault="00F773C8" w:rsidP="00F773C8">
      <w:pPr>
        <w:pStyle w:val="SingleTxtG"/>
        <w:ind w:firstLine="567"/>
      </w:pPr>
      <w:r>
        <w:t>d)</w:t>
      </w:r>
      <w:r>
        <w:tab/>
        <w:t>принять участие (лично или виртуально) в заседаниях Комитета, на которых будет рассматриваться прогресс, достигнутый соответствующей Стороной в выполнении рекомендаций, изложенных в пунктах 2 и 6 выше;</w:t>
      </w:r>
    </w:p>
    <w:p w14:paraId="7D8AD979" w14:textId="77777777" w:rsidR="00F773C8" w:rsidRPr="005A441B" w:rsidRDefault="00F773C8" w:rsidP="00F773C8">
      <w:pPr>
        <w:pStyle w:val="SingleTxtG"/>
        <w:ind w:firstLine="567"/>
      </w:pPr>
      <w:r>
        <w:t>8.</w:t>
      </w:r>
      <w:r>
        <w:tab/>
      </w:r>
      <w:r>
        <w:rPr>
          <w:i/>
          <w:iCs/>
        </w:rPr>
        <w:t xml:space="preserve">обязуется </w:t>
      </w:r>
      <w:r>
        <w:t>рассмотреть сложившуюся ситуацию на своей восьмой сессии.</w:t>
      </w:r>
    </w:p>
    <w:p w14:paraId="7834EF56" w14:textId="5D77C913" w:rsidR="00E12C5F" w:rsidRPr="008D53B6" w:rsidRDefault="00F773C8" w:rsidP="00F773C8">
      <w:pPr>
        <w:spacing w:before="240"/>
        <w:jc w:val="center"/>
      </w:pPr>
      <w:r w:rsidRPr="005A441B">
        <w:rPr>
          <w:u w:val="single"/>
        </w:rPr>
        <w:tab/>
      </w:r>
      <w:r w:rsidRPr="005A441B">
        <w:rPr>
          <w:u w:val="single"/>
        </w:rPr>
        <w:tab/>
      </w:r>
      <w:r w:rsidRPr="005A441B">
        <w:rPr>
          <w:u w:val="single"/>
        </w:rPr>
        <w:tab/>
      </w:r>
    </w:p>
    <w:sectPr w:rsidR="00E12C5F" w:rsidRPr="008D53B6" w:rsidSect="00F77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A565B" w14:textId="77777777" w:rsidR="005C4BBC" w:rsidRPr="00A312BC" w:rsidRDefault="005C4BBC" w:rsidP="00A312BC"/>
  </w:endnote>
  <w:endnote w:type="continuationSeparator" w:id="0">
    <w:p w14:paraId="31715ED9" w14:textId="77777777" w:rsidR="005C4BBC" w:rsidRPr="00A312BC" w:rsidRDefault="005C4BB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CD9E" w14:textId="46CD8746" w:rsidR="00F773C8" w:rsidRPr="00F773C8" w:rsidRDefault="00F773C8">
    <w:pPr>
      <w:pStyle w:val="a8"/>
    </w:pPr>
    <w:r w:rsidRPr="00F773C8">
      <w:rPr>
        <w:b/>
        <w:sz w:val="18"/>
      </w:rPr>
      <w:fldChar w:fldCharType="begin"/>
    </w:r>
    <w:r w:rsidRPr="00F773C8">
      <w:rPr>
        <w:b/>
        <w:sz w:val="18"/>
      </w:rPr>
      <w:instrText xml:space="preserve"> PAGE  \* MERGEFORMAT </w:instrText>
    </w:r>
    <w:r w:rsidRPr="00F773C8">
      <w:rPr>
        <w:b/>
        <w:sz w:val="18"/>
      </w:rPr>
      <w:fldChar w:fldCharType="separate"/>
    </w:r>
    <w:r w:rsidRPr="00F773C8">
      <w:rPr>
        <w:b/>
        <w:noProof/>
        <w:sz w:val="18"/>
      </w:rPr>
      <w:t>2</w:t>
    </w:r>
    <w:r w:rsidRPr="00F773C8">
      <w:rPr>
        <w:b/>
        <w:sz w:val="18"/>
      </w:rPr>
      <w:fldChar w:fldCharType="end"/>
    </w:r>
    <w:r>
      <w:rPr>
        <w:b/>
        <w:sz w:val="18"/>
      </w:rPr>
      <w:tab/>
    </w:r>
    <w:r>
      <w:t>GE.21-10870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2BC4" w14:textId="705C80FE" w:rsidR="00F773C8" w:rsidRPr="00F773C8" w:rsidRDefault="00F773C8" w:rsidP="00F773C8">
    <w:pPr>
      <w:pStyle w:val="a8"/>
      <w:tabs>
        <w:tab w:val="clear" w:pos="9639"/>
        <w:tab w:val="right" w:pos="9638"/>
      </w:tabs>
      <w:rPr>
        <w:b/>
        <w:sz w:val="18"/>
      </w:rPr>
    </w:pPr>
    <w:r>
      <w:t>GE.21-10870</w:t>
    </w:r>
    <w:r>
      <w:tab/>
    </w:r>
    <w:r w:rsidRPr="00F773C8">
      <w:rPr>
        <w:b/>
        <w:sz w:val="18"/>
      </w:rPr>
      <w:fldChar w:fldCharType="begin"/>
    </w:r>
    <w:r w:rsidRPr="00F773C8">
      <w:rPr>
        <w:b/>
        <w:sz w:val="18"/>
      </w:rPr>
      <w:instrText xml:space="preserve"> PAGE  \* MERGEFORMAT </w:instrText>
    </w:r>
    <w:r w:rsidRPr="00F773C8">
      <w:rPr>
        <w:b/>
        <w:sz w:val="18"/>
      </w:rPr>
      <w:fldChar w:fldCharType="separate"/>
    </w:r>
    <w:r w:rsidRPr="00F773C8">
      <w:rPr>
        <w:b/>
        <w:noProof/>
        <w:sz w:val="18"/>
      </w:rPr>
      <w:t>3</w:t>
    </w:r>
    <w:r w:rsidRPr="00F773C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E8C28" w14:textId="36716D5F" w:rsidR="00042B72" w:rsidRPr="00F773C8" w:rsidRDefault="00F773C8" w:rsidP="00F773C8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7F1D31F" wp14:editId="40652EC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21-10870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FCBE802" wp14:editId="2EED409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FDC">
      <w:t xml:space="preserve">  160821  180821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238D" w14:textId="77777777" w:rsidR="005C4BBC" w:rsidRPr="001075E9" w:rsidRDefault="005C4BB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EFACCCA" w14:textId="77777777" w:rsidR="005C4BBC" w:rsidRDefault="005C4BB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D99A93D" w14:textId="4ED40181" w:rsidR="00F773C8" w:rsidRPr="00F773C8" w:rsidRDefault="00F773C8" w:rsidP="00F773C8">
      <w:pPr>
        <w:pStyle w:val="ad"/>
        <w:widowControl w:val="0"/>
        <w:tabs>
          <w:tab w:val="clear" w:pos="1021"/>
          <w:tab w:val="right" w:pos="1020"/>
        </w:tabs>
        <w:rPr>
          <w:lang w:val="en-US"/>
        </w:rPr>
      </w:pPr>
      <w:r>
        <w:tab/>
      </w:r>
      <w:r>
        <w:rPr>
          <w:rStyle w:val="aa"/>
        </w:rPr>
        <w:footnoteRef/>
      </w:r>
      <w:r w:rsidRPr="00535E25">
        <w:rPr>
          <w:lang w:val="en-US"/>
        </w:rPr>
        <w:tab/>
        <w:t>ECE/MP.PP/2/Add.8.</w:t>
      </w:r>
    </w:p>
  </w:footnote>
  <w:footnote w:id="2">
    <w:p w14:paraId="5AFE2F13" w14:textId="364A8D6D" w:rsidR="00F773C8" w:rsidRPr="00F773C8" w:rsidRDefault="00F773C8" w:rsidP="00F773C8">
      <w:pPr>
        <w:pStyle w:val="ad"/>
        <w:widowControl w:val="0"/>
        <w:tabs>
          <w:tab w:val="clear" w:pos="1021"/>
          <w:tab w:val="right" w:pos="1020"/>
        </w:tabs>
        <w:rPr>
          <w:lang w:val="en-US"/>
        </w:rPr>
      </w:pPr>
      <w:r w:rsidRPr="00535E25">
        <w:rPr>
          <w:lang w:val="en-US"/>
        </w:rPr>
        <w:tab/>
      </w:r>
      <w:r>
        <w:rPr>
          <w:rStyle w:val="aa"/>
        </w:rPr>
        <w:footnoteRef/>
      </w:r>
      <w:r w:rsidRPr="00535E25">
        <w:rPr>
          <w:lang w:val="en-US"/>
        </w:rPr>
        <w:tab/>
        <w:t>ECE/MP.PP/2017/2/Add.1.</w:t>
      </w:r>
    </w:p>
  </w:footnote>
  <w:footnote w:id="3">
    <w:p w14:paraId="6460C24B" w14:textId="65206716" w:rsidR="00F773C8" w:rsidRPr="00535E25" w:rsidRDefault="00F773C8" w:rsidP="00F773C8">
      <w:pPr>
        <w:pStyle w:val="ad"/>
        <w:widowControl w:val="0"/>
        <w:tabs>
          <w:tab w:val="clear" w:pos="1021"/>
          <w:tab w:val="right" w:pos="1020"/>
        </w:tabs>
      </w:pPr>
      <w:r w:rsidRPr="00535E25">
        <w:rPr>
          <w:lang w:val="en-US"/>
        </w:rPr>
        <w:tab/>
      </w:r>
      <w:r>
        <w:rPr>
          <w:rStyle w:val="aa"/>
        </w:rPr>
        <w:footnoteRef/>
      </w:r>
      <w:r>
        <w:tab/>
        <w:t>ECE/MP.PP/2021/50, готовится к выпуску.</w:t>
      </w:r>
    </w:p>
  </w:footnote>
  <w:footnote w:id="4">
    <w:p w14:paraId="6F0AA1A4" w14:textId="271FA4B0" w:rsidR="00F773C8" w:rsidRPr="005A441B" w:rsidRDefault="00F773C8" w:rsidP="00F773C8">
      <w:pPr>
        <w:pStyle w:val="ad"/>
        <w:widowControl w:val="0"/>
        <w:tabs>
          <w:tab w:val="clear" w:pos="1021"/>
          <w:tab w:val="right" w:pos="1020"/>
        </w:tabs>
      </w:pPr>
      <w:r>
        <w:tab/>
      </w:r>
      <w:r>
        <w:rPr>
          <w:rStyle w:val="aa"/>
        </w:rPr>
        <w:footnoteRef/>
      </w:r>
      <w:r>
        <w:tab/>
        <w:t>ECE/MP.PP/C.1/2021/28, готовится к выпуску.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A3C0" w14:textId="1DAFBDB2" w:rsidR="00F773C8" w:rsidRPr="00F773C8" w:rsidRDefault="00F773C8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4E3ED3">
      <w:t>ECE/</w:t>
    </w:r>
    <w:proofErr w:type="gramStart"/>
    <w:r w:rsidR="004E3ED3">
      <w:t>MP.PP</w:t>
    </w:r>
    <w:proofErr w:type="gramEnd"/>
    <w:r w:rsidR="004E3ED3">
      <w:t>/2021/28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0D71" w14:textId="62079188" w:rsidR="00F773C8" w:rsidRPr="00F773C8" w:rsidRDefault="00F773C8" w:rsidP="00F773C8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4E3ED3">
      <w:t>ECE/</w:t>
    </w:r>
    <w:proofErr w:type="gramStart"/>
    <w:r w:rsidR="004E3ED3">
      <w:t>MP.PP</w:t>
    </w:r>
    <w:proofErr w:type="gramEnd"/>
    <w:r w:rsidR="004E3ED3">
      <w:t>/2021/28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DE1D" w14:textId="77777777" w:rsidR="00734FDC" w:rsidRDefault="00734FDC" w:rsidP="00734FD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BC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10A81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22FC"/>
    <w:rsid w:val="00407B78"/>
    <w:rsid w:val="00424203"/>
    <w:rsid w:val="00452493"/>
    <w:rsid w:val="00453318"/>
    <w:rsid w:val="00454AF2"/>
    <w:rsid w:val="00454E07"/>
    <w:rsid w:val="00472C5C"/>
    <w:rsid w:val="004767CF"/>
    <w:rsid w:val="00485F8A"/>
    <w:rsid w:val="004B487F"/>
    <w:rsid w:val="004E05B7"/>
    <w:rsid w:val="004E3ED3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C4BBC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34FDC"/>
    <w:rsid w:val="00757357"/>
    <w:rsid w:val="00792497"/>
    <w:rsid w:val="007F1DFD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0C03"/>
    <w:rsid w:val="00DE32CD"/>
    <w:rsid w:val="00DF412F"/>
    <w:rsid w:val="00DF5767"/>
    <w:rsid w:val="00DF71B9"/>
    <w:rsid w:val="00E12C5F"/>
    <w:rsid w:val="00E578F3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73C8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7C2383"/>
  <w15:docId w15:val="{49362FF3-8D1A-44AB-81AF-59B19BA9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898</Words>
  <Characters>6139</Characters>
  <Application>Microsoft Office Word</Application>
  <DocSecurity>0</DocSecurity>
  <Lines>558</Lines>
  <Paragraphs>234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ECE/MP.PP/2021/28</vt:lpstr>
      <vt:lpstr>A/</vt:lpstr>
      <vt:lpstr>A/</vt:lpstr>
    </vt:vector>
  </TitlesOfParts>
  <Company>DCM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ECE/MP.PP/2021/28</dc:title>
  <dc:subject/>
  <dc:creator>Olga OVTCHINNIKOVA</dc:creator>
  <cp:keywords/>
  <cp:lastModifiedBy>Olga Ovchinnikova</cp:lastModifiedBy>
  <cp:revision>3</cp:revision>
  <cp:lastPrinted>2021-08-18T11:57:00Z</cp:lastPrinted>
  <dcterms:created xsi:type="dcterms:W3CDTF">2021-08-18T11:57:00Z</dcterms:created>
  <dcterms:modified xsi:type="dcterms:W3CDTF">2021-08-18T11:58:00Z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