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4420" w:rsidRPr="00DB58B5" w14:paraId="2BF83C43" w14:textId="77777777" w:rsidTr="00DF5712">
        <w:trPr>
          <w:trHeight w:hRule="exact" w:val="851"/>
        </w:trPr>
        <w:tc>
          <w:tcPr>
            <w:tcW w:w="1276" w:type="dxa"/>
            <w:tcBorders>
              <w:bottom w:val="single" w:sz="4" w:space="0" w:color="auto"/>
            </w:tcBorders>
          </w:tcPr>
          <w:p w14:paraId="21E23FD6" w14:textId="77777777" w:rsidR="00A14420" w:rsidRPr="00DB58B5" w:rsidRDefault="00A14420" w:rsidP="006F2AE3"/>
        </w:tc>
        <w:tc>
          <w:tcPr>
            <w:tcW w:w="2268" w:type="dxa"/>
            <w:tcBorders>
              <w:bottom w:val="single" w:sz="4" w:space="0" w:color="auto"/>
            </w:tcBorders>
            <w:vAlign w:val="bottom"/>
          </w:tcPr>
          <w:p w14:paraId="7FB7BE8B" w14:textId="77777777" w:rsidR="00A14420" w:rsidRPr="00DB58B5" w:rsidRDefault="00A14420" w:rsidP="00DF5712">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715D77A" w14:textId="1B2809A6" w:rsidR="00A14420" w:rsidRPr="00DB58B5" w:rsidRDefault="006F2AE3" w:rsidP="006F2AE3">
            <w:pPr>
              <w:jc w:val="right"/>
            </w:pPr>
            <w:r w:rsidRPr="006F2AE3">
              <w:rPr>
                <w:sz w:val="40"/>
              </w:rPr>
              <w:t>ECE</w:t>
            </w:r>
            <w:r>
              <w:t>/MP.PP/2021/28</w:t>
            </w:r>
          </w:p>
        </w:tc>
      </w:tr>
      <w:tr w:rsidR="00A14420" w:rsidRPr="00DB58B5" w14:paraId="28B2839D" w14:textId="77777777" w:rsidTr="00DF5712">
        <w:trPr>
          <w:trHeight w:hRule="exact" w:val="2835"/>
        </w:trPr>
        <w:tc>
          <w:tcPr>
            <w:tcW w:w="1276" w:type="dxa"/>
            <w:tcBorders>
              <w:top w:val="single" w:sz="4" w:space="0" w:color="auto"/>
              <w:bottom w:val="single" w:sz="12" w:space="0" w:color="auto"/>
            </w:tcBorders>
          </w:tcPr>
          <w:p w14:paraId="6D2CA11E" w14:textId="77777777" w:rsidR="00A14420" w:rsidRPr="00DB58B5" w:rsidRDefault="00A14420" w:rsidP="00DF5712">
            <w:pPr>
              <w:spacing w:before="120"/>
              <w:jc w:val="center"/>
            </w:pPr>
            <w:r>
              <w:rPr>
                <w:noProof/>
                <w:lang w:eastAsia="fr-CH"/>
              </w:rPr>
              <w:drawing>
                <wp:inline distT="0" distB="0" distL="0" distR="0" wp14:anchorId="37919510" wp14:editId="6710508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42DE060" w14:textId="77777777" w:rsidR="00A14420" w:rsidRPr="00740562" w:rsidRDefault="00A14420" w:rsidP="00DF5712">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42135E3" w14:textId="77777777" w:rsidR="00A14420" w:rsidRDefault="006F2AE3" w:rsidP="00DF5712">
            <w:pPr>
              <w:spacing w:before="240"/>
            </w:pPr>
            <w:r>
              <w:t>Distr. générale</w:t>
            </w:r>
          </w:p>
          <w:p w14:paraId="3DE2B2B1" w14:textId="77777777" w:rsidR="006F2AE3" w:rsidRDefault="006F2AE3" w:rsidP="006F2AE3">
            <w:pPr>
              <w:spacing w:line="240" w:lineRule="exact"/>
            </w:pPr>
            <w:r>
              <w:t>9 août 2021</w:t>
            </w:r>
          </w:p>
          <w:p w14:paraId="5A7F2AEF" w14:textId="77777777" w:rsidR="006F2AE3" w:rsidRDefault="006F2AE3" w:rsidP="006F2AE3">
            <w:pPr>
              <w:spacing w:line="240" w:lineRule="exact"/>
            </w:pPr>
            <w:r>
              <w:t>Français</w:t>
            </w:r>
          </w:p>
          <w:p w14:paraId="4F05B30B" w14:textId="7BF27B87" w:rsidR="006F2AE3" w:rsidRPr="00DB58B5" w:rsidRDefault="006F2AE3" w:rsidP="006F2AE3">
            <w:pPr>
              <w:spacing w:line="240" w:lineRule="exact"/>
            </w:pPr>
            <w:r>
              <w:t>Original : anglais</w:t>
            </w:r>
          </w:p>
        </w:tc>
      </w:tr>
    </w:tbl>
    <w:p w14:paraId="636FF6F9" w14:textId="77777777" w:rsidR="00C554CE" w:rsidRDefault="00C554CE" w:rsidP="00C554CE">
      <w:pPr>
        <w:spacing w:before="120"/>
        <w:rPr>
          <w:b/>
          <w:sz w:val="28"/>
          <w:szCs w:val="28"/>
        </w:rPr>
      </w:pPr>
      <w:r w:rsidRPr="000312C0">
        <w:rPr>
          <w:b/>
          <w:sz w:val="28"/>
          <w:szCs w:val="28"/>
        </w:rPr>
        <w:t>Commission économique pour l’Europe</w:t>
      </w:r>
    </w:p>
    <w:p w14:paraId="4742F2CE" w14:textId="77777777" w:rsidR="006F2AE3" w:rsidRPr="00750247" w:rsidRDefault="006F2AE3" w:rsidP="00C554CE">
      <w:pPr>
        <w:spacing w:before="120"/>
        <w:rPr>
          <w:sz w:val="28"/>
          <w:szCs w:val="28"/>
        </w:rPr>
      </w:pPr>
      <w:r w:rsidRPr="00750247">
        <w:rPr>
          <w:sz w:val="28"/>
          <w:szCs w:val="28"/>
        </w:rPr>
        <w:t>Réunion des Parties à la Convention sur l’accès</w:t>
      </w:r>
      <w:r>
        <w:rPr>
          <w:sz w:val="28"/>
          <w:szCs w:val="28"/>
        </w:rPr>
        <w:br/>
      </w:r>
      <w:r w:rsidRPr="00750247">
        <w:rPr>
          <w:sz w:val="28"/>
          <w:szCs w:val="28"/>
        </w:rPr>
        <w:t>à l’information,</w:t>
      </w:r>
      <w:r>
        <w:rPr>
          <w:sz w:val="28"/>
          <w:szCs w:val="28"/>
        </w:rPr>
        <w:t xml:space="preserve"> </w:t>
      </w:r>
      <w:r w:rsidRPr="00750247">
        <w:rPr>
          <w:sz w:val="28"/>
          <w:szCs w:val="28"/>
        </w:rPr>
        <w:t>la participation du public</w:t>
      </w:r>
      <w:r>
        <w:rPr>
          <w:sz w:val="28"/>
          <w:szCs w:val="28"/>
        </w:rPr>
        <w:br/>
      </w:r>
      <w:r w:rsidRPr="00750247">
        <w:rPr>
          <w:sz w:val="28"/>
          <w:szCs w:val="28"/>
        </w:rPr>
        <w:t>au processus décisionnel</w:t>
      </w:r>
      <w:r>
        <w:rPr>
          <w:sz w:val="28"/>
          <w:szCs w:val="28"/>
        </w:rPr>
        <w:t xml:space="preserve"> </w:t>
      </w:r>
      <w:r w:rsidRPr="00750247">
        <w:rPr>
          <w:sz w:val="28"/>
          <w:szCs w:val="28"/>
        </w:rPr>
        <w:t>et l’accès à la justice</w:t>
      </w:r>
      <w:r>
        <w:rPr>
          <w:sz w:val="28"/>
          <w:szCs w:val="28"/>
        </w:rPr>
        <w:br/>
      </w:r>
      <w:r w:rsidRPr="00750247">
        <w:rPr>
          <w:sz w:val="28"/>
          <w:szCs w:val="28"/>
        </w:rPr>
        <w:t>en matière d’environnement</w:t>
      </w:r>
    </w:p>
    <w:p w14:paraId="7AF93ACF" w14:textId="77777777" w:rsidR="006F2AE3" w:rsidRPr="005F4FC9" w:rsidRDefault="006F2AE3" w:rsidP="006F2AE3">
      <w:pPr>
        <w:spacing w:before="120"/>
        <w:ind w:right="1133"/>
        <w:rPr>
          <w:b/>
          <w:lang w:val="fr-FR"/>
        </w:rPr>
      </w:pPr>
      <w:r>
        <w:rPr>
          <w:b/>
          <w:bCs/>
          <w:lang w:val="fr-FR"/>
        </w:rPr>
        <w:t>Septième session</w:t>
      </w:r>
    </w:p>
    <w:p w14:paraId="465200FF" w14:textId="77777777" w:rsidR="006F2AE3" w:rsidRPr="005F4FC9" w:rsidRDefault="006F2AE3" w:rsidP="006F2AE3">
      <w:pPr>
        <w:ind w:right="1134"/>
        <w:rPr>
          <w:lang w:val="fr-FR"/>
        </w:rPr>
      </w:pPr>
      <w:r>
        <w:rPr>
          <w:lang w:val="fr-FR"/>
        </w:rPr>
        <w:t>Genève, 18-20 octobre 2021</w:t>
      </w:r>
    </w:p>
    <w:p w14:paraId="52FD22C2" w14:textId="77777777" w:rsidR="006F2AE3" w:rsidRPr="005F4FC9" w:rsidRDefault="006F2AE3" w:rsidP="006F2AE3">
      <w:pPr>
        <w:ind w:right="1133"/>
        <w:rPr>
          <w:lang w:val="fr-FR"/>
        </w:rPr>
      </w:pPr>
      <w:r>
        <w:rPr>
          <w:lang w:val="fr-FR"/>
        </w:rPr>
        <w:t>Point 7 b) de l’ordre du jour provisoire</w:t>
      </w:r>
    </w:p>
    <w:p w14:paraId="542B4A70" w14:textId="6D06C7C5" w:rsidR="006F2AE3" w:rsidRPr="005F4FC9" w:rsidRDefault="006F2AE3" w:rsidP="006F2AE3">
      <w:pPr>
        <w:rPr>
          <w:lang w:val="fr-FR"/>
        </w:rPr>
      </w:pPr>
      <w:r>
        <w:rPr>
          <w:b/>
          <w:bCs/>
          <w:lang w:val="fr-FR"/>
        </w:rPr>
        <w:t>Procédures et mécanismes facilitant l’application de la Convention</w:t>
      </w:r>
      <w:r>
        <w:rPr>
          <w:b/>
          <w:bCs/>
          <w:lang w:val="fr-FR"/>
        </w:rPr>
        <w:t> </w:t>
      </w:r>
      <w:r>
        <w:rPr>
          <w:b/>
          <w:bCs/>
          <w:lang w:val="fr-FR"/>
        </w:rPr>
        <w:t xml:space="preserve">: </w:t>
      </w:r>
      <w:r>
        <w:rPr>
          <w:b/>
          <w:bCs/>
          <w:lang w:val="fr-FR"/>
        </w:rPr>
        <w:br/>
      </w:r>
      <w:r>
        <w:rPr>
          <w:b/>
          <w:bCs/>
          <w:lang w:val="fr-FR"/>
        </w:rPr>
        <w:t>mécanisme d’examen du respect des dispositions</w:t>
      </w:r>
    </w:p>
    <w:p w14:paraId="5B187A7B" w14:textId="382AB9EB" w:rsidR="006F2AE3" w:rsidRPr="005F4FC9" w:rsidRDefault="006F2AE3" w:rsidP="006F2AE3">
      <w:pPr>
        <w:pStyle w:val="HChG"/>
        <w:rPr>
          <w:lang w:val="fr-FR"/>
        </w:rPr>
      </w:pPr>
      <w:r>
        <w:rPr>
          <w:lang w:val="fr-FR"/>
        </w:rPr>
        <w:tab/>
      </w:r>
      <w:r>
        <w:rPr>
          <w:lang w:val="fr-FR"/>
        </w:rPr>
        <w:tab/>
        <w:t xml:space="preserve">Projet de décision VII/8e sur le respect par la Tchéquie </w:t>
      </w:r>
      <w:r>
        <w:rPr>
          <w:lang w:val="fr-FR"/>
        </w:rPr>
        <w:br/>
      </w:r>
      <w:r>
        <w:rPr>
          <w:lang w:val="fr-FR"/>
        </w:rPr>
        <w:t>des obligations que lui impose la Convention</w:t>
      </w:r>
    </w:p>
    <w:p w14:paraId="551F97B7" w14:textId="77777777" w:rsidR="006F2AE3" w:rsidRPr="005F4FC9" w:rsidRDefault="006F2AE3" w:rsidP="006F2AE3">
      <w:pPr>
        <w:pStyle w:val="H1G"/>
        <w:rPr>
          <w:i/>
          <w:iCs/>
          <w:lang w:val="fr-FR"/>
        </w:rPr>
      </w:pPr>
      <w:r>
        <w:rPr>
          <w:lang w:val="fr-FR"/>
        </w:rPr>
        <w:tab/>
      </w:r>
      <w:r>
        <w:rPr>
          <w:lang w:val="fr-FR"/>
        </w:rPr>
        <w:tab/>
        <w:t xml:space="preserve">Document établi par le Bureau </w:t>
      </w:r>
    </w:p>
    <w:p w14:paraId="380C242B" w14:textId="076EC82B" w:rsidR="006F2AE3" w:rsidRPr="005F4FC9" w:rsidRDefault="006F2AE3" w:rsidP="006F2AE3">
      <w:pPr>
        <w:pStyle w:val="SingleTxtG"/>
        <w:ind w:firstLine="567"/>
        <w:rPr>
          <w:i/>
          <w:lang w:val="fr-FR"/>
        </w:rPr>
      </w:pPr>
      <w:r>
        <w:rPr>
          <w:i/>
          <w:iCs/>
          <w:lang w:val="fr-FR"/>
        </w:rPr>
        <w:t>La Réunion des Parties</w:t>
      </w:r>
      <w:r w:rsidRPr="006F2AE3">
        <w:rPr>
          <w:lang w:val="fr-FR"/>
        </w:rPr>
        <w:t>,</w:t>
      </w:r>
      <w:r>
        <w:rPr>
          <w:lang w:val="fr-FR"/>
        </w:rPr>
        <w:t xml:space="preserve"> </w:t>
      </w:r>
    </w:p>
    <w:p w14:paraId="44D4538C" w14:textId="4001C53B" w:rsidR="006F2AE3" w:rsidRPr="005F4FC9" w:rsidRDefault="006F2AE3" w:rsidP="006F2AE3">
      <w:pPr>
        <w:pStyle w:val="SingleTxtG"/>
        <w:ind w:firstLine="567"/>
        <w:rPr>
          <w:lang w:val="fr-FR"/>
        </w:rPr>
      </w:pPr>
      <w:r>
        <w:rPr>
          <w:i/>
          <w:iCs/>
          <w:lang w:val="fr-FR"/>
        </w:rPr>
        <w:t>Agissant</w:t>
      </w:r>
      <w:r>
        <w:rPr>
          <w:lang w:val="fr-FR"/>
        </w:rPr>
        <w:t xml:space="preserve"> en vertu du paragraphe 37 de l’annexe à sa décision I/7 sur l’examen du respect des dispositions</w:t>
      </w:r>
      <w:r w:rsidRPr="006F2AE3">
        <w:rPr>
          <w:rStyle w:val="Appelnotedebasdep"/>
        </w:rPr>
        <w:footnoteReference w:id="2"/>
      </w:r>
      <w:r>
        <w:rPr>
          <w:lang w:val="fr-FR"/>
        </w:rPr>
        <w:t xml:space="preserve">, </w:t>
      </w:r>
    </w:p>
    <w:p w14:paraId="2095F81B" w14:textId="77777777" w:rsidR="006F2AE3" w:rsidRPr="005F4FC9" w:rsidRDefault="006F2AE3" w:rsidP="006F2AE3">
      <w:pPr>
        <w:pStyle w:val="SingleTxtG"/>
        <w:ind w:firstLine="567"/>
        <w:rPr>
          <w:lang w:val="fr-FR"/>
        </w:rPr>
      </w:pPr>
      <w:r>
        <w:rPr>
          <w:i/>
          <w:iCs/>
          <w:lang w:val="fr-FR"/>
        </w:rPr>
        <w:t xml:space="preserve">Ayant à l’esprit </w:t>
      </w:r>
      <w:r>
        <w:rPr>
          <w:lang w:val="fr-FR"/>
        </w:rPr>
        <w:t>les conclusions et recommandations énoncées dans la décision VI/8e sur le respect par la Tchéquie des dispositions de la Convention</w:t>
      </w:r>
      <w:r>
        <w:rPr>
          <w:rStyle w:val="Appelnotedebasdep"/>
          <w:lang w:val="fr-FR"/>
        </w:rPr>
        <w:footnoteReference w:id="3"/>
      </w:r>
      <w:r>
        <w:rPr>
          <w:lang w:val="fr-FR"/>
        </w:rPr>
        <w:t>,</w:t>
      </w:r>
    </w:p>
    <w:p w14:paraId="345BD9E8" w14:textId="336F9BFC" w:rsidR="006F2AE3" w:rsidRPr="005F4FC9" w:rsidRDefault="006F2AE3" w:rsidP="006F2AE3">
      <w:pPr>
        <w:pStyle w:val="SingleTxtG"/>
        <w:ind w:firstLine="567"/>
        <w:rPr>
          <w:lang w:val="fr-FR"/>
        </w:rPr>
      </w:pPr>
      <w:r>
        <w:rPr>
          <w:i/>
          <w:iCs/>
          <w:lang w:val="fr-FR"/>
        </w:rPr>
        <w:t>Prenant note</w:t>
      </w:r>
      <w:r>
        <w:rPr>
          <w:lang w:val="fr-FR"/>
        </w:rPr>
        <w:t xml:space="preserve"> du rapport du Comité d’examen du respect des dispositions créé en vertu de la Convention sur l’accès à l’information, la participation du public au processus décisionnel et l’accès à la justice en matière d’environnement, relatif à l’application de la décision</w:t>
      </w:r>
      <w:r>
        <w:rPr>
          <w:lang w:val="fr-FR"/>
        </w:rPr>
        <w:t> </w:t>
      </w:r>
      <w:r>
        <w:rPr>
          <w:lang w:val="fr-FR"/>
        </w:rPr>
        <w:t>VI/8e sur le respect par la Tchéquie des dispositions de la Convention</w:t>
      </w:r>
      <w:r>
        <w:rPr>
          <w:rStyle w:val="Appelnotedebasdep"/>
          <w:lang w:val="fr-FR"/>
        </w:rPr>
        <w:footnoteReference w:id="4"/>
      </w:r>
      <w:r>
        <w:rPr>
          <w:lang w:val="fr-FR"/>
        </w:rPr>
        <w:t xml:space="preserve">, et des conclusions du Comité sur la communication ACCC/C/2016/143, concernant la participation du public au processus décisionnel et l’accès à la justice dans le cadre de la prolongation de la durée de vie de la centrale nucléaire de </w:t>
      </w:r>
      <w:proofErr w:type="spellStart"/>
      <w:r>
        <w:rPr>
          <w:lang w:val="fr-FR"/>
        </w:rPr>
        <w:t>Dukovany</w:t>
      </w:r>
      <w:proofErr w:type="spellEnd"/>
      <w:r>
        <w:rPr>
          <w:rStyle w:val="Appelnotedebasdep"/>
          <w:lang w:val="fr-FR"/>
        </w:rPr>
        <w:footnoteReference w:id="5"/>
      </w:r>
      <w:r>
        <w:rPr>
          <w:lang w:val="fr-FR"/>
        </w:rPr>
        <w:t>,</w:t>
      </w:r>
    </w:p>
    <w:p w14:paraId="42C378AA" w14:textId="77777777" w:rsidR="006F2AE3" w:rsidRPr="005F4FC9" w:rsidRDefault="006F2AE3" w:rsidP="006F2AE3">
      <w:pPr>
        <w:pStyle w:val="SingleTxtG"/>
        <w:ind w:firstLine="567"/>
        <w:rPr>
          <w:lang w:val="fr-FR"/>
        </w:rPr>
      </w:pPr>
      <w:r>
        <w:rPr>
          <w:i/>
          <w:iCs/>
          <w:lang w:val="fr-FR"/>
        </w:rPr>
        <w:t>Encouragée</w:t>
      </w:r>
      <w:r>
        <w:rPr>
          <w:lang w:val="fr-FR"/>
        </w:rPr>
        <w:t xml:space="preserve"> par la volonté de la Tchéquie d’examiner de façon constructive avec le Comité les points relatifs au respect des dispositions en question, </w:t>
      </w:r>
    </w:p>
    <w:p w14:paraId="5FF8F45D" w14:textId="77777777" w:rsidR="006F2AE3" w:rsidRPr="005F4FC9" w:rsidRDefault="006F2AE3" w:rsidP="006F2AE3">
      <w:pPr>
        <w:pStyle w:val="SingleTxtG"/>
        <w:ind w:firstLine="567"/>
        <w:rPr>
          <w:lang w:val="fr-FR"/>
        </w:rPr>
      </w:pPr>
      <w:r>
        <w:rPr>
          <w:lang w:val="fr-FR"/>
        </w:rPr>
        <w:t>1.</w:t>
      </w:r>
      <w:r>
        <w:rPr>
          <w:lang w:val="fr-FR"/>
        </w:rPr>
        <w:tab/>
      </w:r>
      <w:r>
        <w:rPr>
          <w:i/>
          <w:iCs/>
          <w:lang w:val="fr-FR"/>
        </w:rPr>
        <w:t>Fait sienne</w:t>
      </w:r>
      <w:r>
        <w:rPr>
          <w:lang w:val="fr-FR"/>
        </w:rPr>
        <w:t xml:space="preserve"> la conclusion du Comité selon laquelle la Partie concernée n’a pas encore satisfait aux prescriptions figurant aux paragraphes 3 ou 6 de la décision VI/8e ni fait de progrès manifestes dans ce sens ;</w:t>
      </w:r>
      <w:bookmarkStart w:id="0" w:name="_Hlk75113503"/>
      <w:bookmarkStart w:id="1" w:name="_Ref75798388"/>
      <w:bookmarkEnd w:id="0"/>
    </w:p>
    <w:p w14:paraId="208AE236" w14:textId="4ECEFAA7" w:rsidR="006F2AE3" w:rsidRPr="005F4FC9" w:rsidRDefault="006F2AE3" w:rsidP="006F2AE3">
      <w:pPr>
        <w:pStyle w:val="SingleTxtG"/>
        <w:keepNext/>
        <w:ind w:firstLine="567"/>
        <w:rPr>
          <w:lang w:val="fr-FR"/>
        </w:rPr>
      </w:pPr>
      <w:r>
        <w:rPr>
          <w:lang w:val="fr-FR"/>
        </w:rPr>
        <w:lastRenderedPageBreak/>
        <w:t>2.</w:t>
      </w:r>
      <w:r>
        <w:rPr>
          <w:lang w:val="fr-FR"/>
        </w:rPr>
        <w:tab/>
      </w:r>
      <w:r>
        <w:rPr>
          <w:i/>
          <w:iCs/>
          <w:lang w:val="fr-FR"/>
        </w:rPr>
        <w:t>Réaffirme</w:t>
      </w:r>
      <w:r>
        <w:rPr>
          <w:lang w:val="fr-FR"/>
        </w:rPr>
        <w:t xml:space="preserve"> sa décision VI/8e et demande à la Partie concernée</w:t>
      </w:r>
      <w:r>
        <w:rPr>
          <w:lang w:val="fr-FR"/>
        </w:rPr>
        <w:t> </w:t>
      </w:r>
      <w:r>
        <w:rPr>
          <w:lang w:val="fr-FR"/>
        </w:rPr>
        <w:t>:</w:t>
      </w:r>
    </w:p>
    <w:p w14:paraId="0B150577" w14:textId="4D5669F7" w:rsidR="006F2AE3" w:rsidRPr="005F4FC9" w:rsidRDefault="006F2AE3" w:rsidP="006F2AE3">
      <w:pPr>
        <w:pStyle w:val="SingleTxtG"/>
        <w:ind w:firstLine="567"/>
        <w:rPr>
          <w:lang w:val="fr-FR"/>
        </w:rPr>
      </w:pPr>
      <w:r>
        <w:rPr>
          <w:lang w:val="fr-FR"/>
        </w:rPr>
        <w:t>a)</w:t>
      </w:r>
      <w:r>
        <w:rPr>
          <w:lang w:val="fr-FR"/>
        </w:rPr>
        <w:tab/>
        <w:t>De prendre les mesures législatives, réglementaires et administratives nécessaires pour faire en sorte que</w:t>
      </w:r>
      <w:r>
        <w:rPr>
          <w:lang w:val="fr-FR"/>
        </w:rPr>
        <w:t> </w:t>
      </w:r>
      <w:r>
        <w:rPr>
          <w:lang w:val="fr-FR"/>
        </w:rPr>
        <w:t>:</w:t>
      </w:r>
      <w:bookmarkEnd w:id="1"/>
    </w:p>
    <w:p w14:paraId="407F6386" w14:textId="3FDB5C28" w:rsidR="006F2AE3" w:rsidRPr="005F4FC9" w:rsidRDefault="006F2AE3" w:rsidP="006F2AE3">
      <w:pPr>
        <w:pStyle w:val="SingleTxtG"/>
        <w:ind w:left="1701"/>
        <w:rPr>
          <w:lang w:val="fr-FR"/>
        </w:rPr>
      </w:pPr>
      <w:r>
        <w:rPr>
          <w:lang w:val="fr-FR"/>
        </w:rPr>
        <w:t>i)</w:t>
      </w:r>
      <w:r>
        <w:rPr>
          <w:lang w:val="fr-FR"/>
        </w:rPr>
        <w:tab/>
        <w:t>Les membres du public puissent engager des procédures administratives ou judiciaires pour contester les actes ou omissions d’exploitants ou d’autorités compétentes allant à rencontre des dispositions du droit interne en matière de bruit</w:t>
      </w:r>
      <w:r>
        <w:rPr>
          <w:lang w:val="fr-FR"/>
        </w:rPr>
        <w:t> </w:t>
      </w:r>
      <w:r>
        <w:rPr>
          <w:lang w:val="fr-FR"/>
        </w:rPr>
        <w:t>;</w:t>
      </w:r>
    </w:p>
    <w:p w14:paraId="7219D57B" w14:textId="575B0244" w:rsidR="006F2AE3" w:rsidRPr="005F4FC9" w:rsidRDefault="006F2AE3" w:rsidP="006F2AE3">
      <w:pPr>
        <w:pStyle w:val="SingleTxtG"/>
        <w:ind w:left="1701"/>
        <w:rPr>
          <w:lang w:val="fr-FR"/>
        </w:rPr>
      </w:pPr>
      <w:r>
        <w:rPr>
          <w:lang w:val="fr-FR"/>
        </w:rPr>
        <w:t>ii)</w:t>
      </w:r>
      <w:r>
        <w:rPr>
          <w:lang w:val="fr-FR"/>
        </w:rPr>
        <w:tab/>
        <w:t>Les plans et les programmes qu’elle soumettra à l’avenir à la participation du public soient de nature semblable à celle du Plan d’investissement national, conformément à l’article 7, lu conjointement avec les dispositions pertinentes de l’article</w:t>
      </w:r>
      <w:r>
        <w:rPr>
          <w:lang w:val="fr-FR"/>
        </w:rPr>
        <w:t> </w:t>
      </w:r>
      <w:r>
        <w:rPr>
          <w:lang w:val="fr-FR"/>
        </w:rPr>
        <w:t>6, de la Convention</w:t>
      </w:r>
      <w:r>
        <w:rPr>
          <w:lang w:val="fr-FR"/>
        </w:rPr>
        <w:t> </w:t>
      </w:r>
      <w:r>
        <w:rPr>
          <w:lang w:val="fr-FR"/>
        </w:rPr>
        <w:t xml:space="preserve">; </w:t>
      </w:r>
    </w:p>
    <w:p w14:paraId="641FCCA9" w14:textId="2674516F" w:rsidR="006F2AE3" w:rsidRPr="005F4FC9" w:rsidRDefault="006F2AE3" w:rsidP="006F2AE3">
      <w:pPr>
        <w:pStyle w:val="SingleTxtG"/>
        <w:ind w:firstLine="567"/>
        <w:rPr>
          <w:lang w:val="fr-FR"/>
        </w:rPr>
      </w:pPr>
      <w:bookmarkStart w:id="2" w:name="_Ref75798394"/>
      <w:r>
        <w:rPr>
          <w:lang w:val="fr-FR"/>
        </w:rPr>
        <w:t>b)</w:t>
      </w:r>
      <w:r>
        <w:rPr>
          <w:lang w:val="fr-FR"/>
        </w:rPr>
        <w:tab/>
        <w:t>De démontrer qu’elle</w:t>
      </w:r>
      <w:r>
        <w:rPr>
          <w:lang w:val="fr-FR"/>
        </w:rPr>
        <w:t> </w:t>
      </w:r>
      <w:r>
        <w:rPr>
          <w:lang w:val="fr-FR"/>
        </w:rPr>
        <w:t xml:space="preserve">: </w:t>
      </w:r>
      <w:bookmarkEnd w:id="2"/>
    </w:p>
    <w:p w14:paraId="32FB6EB3" w14:textId="506F5A30" w:rsidR="006F2AE3" w:rsidRPr="005F4FC9" w:rsidRDefault="006F2AE3" w:rsidP="006F2AE3">
      <w:pPr>
        <w:pStyle w:val="SingleTxtG"/>
        <w:ind w:left="1701"/>
        <w:rPr>
          <w:lang w:val="fr-FR"/>
        </w:rPr>
      </w:pPr>
      <w:r>
        <w:rPr>
          <w:lang w:val="fr-FR"/>
        </w:rPr>
        <w:t>i)</w:t>
      </w:r>
      <w:r>
        <w:rPr>
          <w:lang w:val="fr-FR"/>
        </w:rPr>
        <w:tab/>
        <w:t>Dispose d’un cadre juridique imposant aux autorités publiques de choisir un mode de communication qui permette, compte tenu de la nature de l’activité proposée, que le public concerné, y compris, dans le cas d’activités susceptibles d’avoir des répercussions transfrontières, le public intéressé se trouvant hors du territoire de la Partie concernée, soit informé de manière efficace, aux fins de l’application de l’article</w:t>
      </w:r>
      <w:r>
        <w:rPr>
          <w:lang w:val="fr-FR"/>
        </w:rPr>
        <w:t> </w:t>
      </w:r>
      <w:r>
        <w:rPr>
          <w:lang w:val="fr-FR"/>
        </w:rPr>
        <w:t>6 (par. 2) ;</w:t>
      </w:r>
    </w:p>
    <w:p w14:paraId="72D293CE" w14:textId="6C405137" w:rsidR="006F2AE3" w:rsidRPr="005F4FC9" w:rsidRDefault="006F2AE3" w:rsidP="006F2AE3">
      <w:pPr>
        <w:pStyle w:val="SingleTxtG"/>
        <w:ind w:firstLine="567"/>
        <w:rPr>
          <w:lang w:val="fr-FR"/>
        </w:rPr>
      </w:pPr>
      <w:r>
        <w:rPr>
          <w:lang w:val="fr-FR"/>
        </w:rPr>
        <w:t>ii)</w:t>
      </w:r>
      <w:r>
        <w:rPr>
          <w:lang w:val="fr-FR"/>
        </w:rPr>
        <w:tab/>
        <w:t>Prend les dispositions nécessaires pour veiller à ce que</w:t>
      </w:r>
      <w:r>
        <w:rPr>
          <w:lang w:val="fr-FR"/>
        </w:rPr>
        <w:t> </w:t>
      </w:r>
      <w:r>
        <w:rPr>
          <w:lang w:val="fr-FR"/>
        </w:rPr>
        <w:t>:</w:t>
      </w:r>
    </w:p>
    <w:p w14:paraId="137D2A51" w14:textId="7FCAF895" w:rsidR="006F2AE3" w:rsidRPr="005F4FC9" w:rsidRDefault="006F2AE3" w:rsidP="006F2AE3">
      <w:pPr>
        <w:pStyle w:val="SingleTxtG"/>
        <w:ind w:left="1701" w:firstLine="567"/>
        <w:rPr>
          <w:lang w:val="fr-FR"/>
        </w:rPr>
      </w:pPr>
      <w:r>
        <w:rPr>
          <w:lang w:val="fr-FR"/>
        </w:rPr>
        <w:t>a.</w:t>
      </w:r>
      <w:r>
        <w:rPr>
          <w:lang w:val="fr-FR"/>
        </w:rPr>
        <w:tab/>
        <w:t>Dans le cas de procédures transfrontières menées en coopération avec les autorités des pays touchés, les autorités publiques compétentes fassent les efforts nécessaires pour que le public concerné des pays touchés soit informé de manière efficace</w:t>
      </w:r>
      <w:r>
        <w:rPr>
          <w:lang w:val="fr-FR"/>
        </w:rPr>
        <w:t> </w:t>
      </w:r>
      <w:r>
        <w:rPr>
          <w:lang w:val="fr-FR"/>
        </w:rPr>
        <w:t>;</w:t>
      </w:r>
    </w:p>
    <w:p w14:paraId="43CD2F3B" w14:textId="6C8B4E3F" w:rsidR="006F2AE3" w:rsidRPr="005F4FC9" w:rsidRDefault="006F2AE3" w:rsidP="006F2AE3">
      <w:pPr>
        <w:pStyle w:val="SingleTxtG"/>
        <w:ind w:left="1701" w:firstLine="567"/>
        <w:rPr>
          <w:iCs/>
          <w:lang w:val="fr-FR"/>
        </w:rPr>
      </w:pPr>
      <w:r>
        <w:rPr>
          <w:lang w:val="fr-FR"/>
        </w:rPr>
        <w:t>b.</w:t>
      </w:r>
      <w:r>
        <w:rPr>
          <w:lang w:val="fr-FR"/>
        </w:rPr>
        <w:tab/>
        <w:t xml:space="preserve">Le public concerné, y compris le public vivant hors du territoire de la Partie concernée, ait véritablement la possibilité de participer aux phases ultérieures du processus décisionnel relatif à la centrale nucléaire de </w:t>
      </w:r>
      <w:proofErr w:type="spellStart"/>
      <w:r>
        <w:rPr>
          <w:lang w:val="fr-FR"/>
        </w:rPr>
        <w:t>Temelín</w:t>
      </w:r>
      <w:proofErr w:type="spellEnd"/>
      <w:r>
        <w:rPr>
          <w:lang w:val="fr-FR"/>
        </w:rPr>
        <w:t> </w:t>
      </w:r>
      <w:r>
        <w:rPr>
          <w:lang w:val="fr-FR"/>
        </w:rPr>
        <w:t>;</w:t>
      </w:r>
    </w:p>
    <w:p w14:paraId="3199C10D" w14:textId="063965A1" w:rsidR="006F2AE3" w:rsidRPr="005F4FC9" w:rsidRDefault="006F2AE3" w:rsidP="006F2AE3">
      <w:pPr>
        <w:pStyle w:val="SingleTxtG"/>
        <w:ind w:firstLine="567"/>
        <w:rPr>
          <w:lang w:val="fr-FR"/>
        </w:rPr>
      </w:pPr>
      <w:r>
        <w:rPr>
          <w:lang w:val="fr-FR"/>
        </w:rPr>
        <w:t>3.</w:t>
      </w:r>
      <w:r>
        <w:rPr>
          <w:lang w:val="fr-FR"/>
        </w:rPr>
        <w:tab/>
      </w:r>
      <w:r>
        <w:rPr>
          <w:i/>
          <w:iCs/>
          <w:lang w:val="fr-FR"/>
        </w:rPr>
        <w:t>Décide</w:t>
      </w:r>
      <w:r>
        <w:rPr>
          <w:lang w:val="fr-FR"/>
        </w:rPr>
        <w:t>, sachant que la Partie concernée ne s’est pas suffisamment investie et n’a pas pris de mesures concrètes pendant la période intersessions, de lui adresser une mise en garde, qui prendra effet le 1</w:t>
      </w:r>
      <w:r w:rsidRPr="005F4FC9">
        <w:rPr>
          <w:vertAlign w:val="superscript"/>
          <w:lang w:val="fr-FR"/>
        </w:rPr>
        <w:t>er</w:t>
      </w:r>
      <w:r>
        <w:rPr>
          <w:lang w:val="fr-FR"/>
        </w:rPr>
        <w:t xml:space="preserve"> janvier 2024, à moins que la Partie concernée n’ait pleinement satisfait aux conditions énoncées au paragraphe 2 (al. a) et b)) ci-dessus et n’en ait informé le secrétariat au plus tard le 1</w:t>
      </w:r>
      <w:r w:rsidRPr="005F4FC9">
        <w:rPr>
          <w:vertAlign w:val="superscript"/>
          <w:lang w:val="fr-FR"/>
        </w:rPr>
        <w:t>er</w:t>
      </w:r>
      <w:r>
        <w:rPr>
          <w:lang w:val="fr-FR"/>
        </w:rPr>
        <w:t xml:space="preserve"> octobre 2023</w:t>
      </w:r>
      <w:r>
        <w:rPr>
          <w:lang w:val="fr-FR"/>
        </w:rPr>
        <w:t> </w:t>
      </w:r>
      <w:r>
        <w:rPr>
          <w:lang w:val="fr-FR"/>
        </w:rPr>
        <w:t>;</w:t>
      </w:r>
    </w:p>
    <w:p w14:paraId="728FE8A9" w14:textId="0A160578" w:rsidR="006F2AE3" w:rsidRPr="005F4FC9" w:rsidRDefault="006F2AE3" w:rsidP="006F2AE3">
      <w:pPr>
        <w:pStyle w:val="SingleTxtG"/>
        <w:ind w:firstLine="567"/>
        <w:rPr>
          <w:lang w:val="fr-FR"/>
        </w:rPr>
      </w:pPr>
      <w:r>
        <w:rPr>
          <w:lang w:val="fr-FR"/>
        </w:rPr>
        <w:t>4.</w:t>
      </w:r>
      <w:r>
        <w:rPr>
          <w:lang w:val="fr-FR"/>
        </w:rPr>
        <w:tab/>
      </w:r>
      <w:r w:rsidRPr="007D7037">
        <w:rPr>
          <w:i/>
          <w:iCs/>
          <w:lang w:val="fr-FR"/>
        </w:rPr>
        <w:t>Demande</w:t>
      </w:r>
      <w:r>
        <w:rPr>
          <w:lang w:val="fr-FR"/>
        </w:rPr>
        <w:t xml:space="preserve"> au Comité d’établir si les conditions prévues au paragraphe 2 (al. a) et b)) ci-dessus ont bien été satisfaites aux fins de l’application du paragraphe 3 ci-dessus</w:t>
      </w:r>
      <w:r>
        <w:rPr>
          <w:lang w:val="fr-FR"/>
        </w:rPr>
        <w:t> </w:t>
      </w:r>
      <w:r>
        <w:rPr>
          <w:lang w:val="fr-FR"/>
        </w:rPr>
        <w:t>;</w:t>
      </w:r>
    </w:p>
    <w:p w14:paraId="15DD8C8A" w14:textId="6CE1D06C" w:rsidR="006F2AE3" w:rsidRPr="005F4FC9" w:rsidRDefault="006F2AE3" w:rsidP="006F2AE3">
      <w:pPr>
        <w:pStyle w:val="SingleTxtG"/>
        <w:ind w:firstLine="567"/>
        <w:rPr>
          <w:lang w:val="fr-FR"/>
        </w:rPr>
      </w:pPr>
      <w:r>
        <w:rPr>
          <w:lang w:val="fr-FR"/>
        </w:rPr>
        <w:t>5.</w:t>
      </w:r>
      <w:r>
        <w:rPr>
          <w:lang w:val="fr-FR"/>
        </w:rPr>
        <w:tab/>
      </w:r>
      <w:r>
        <w:rPr>
          <w:i/>
          <w:iCs/>
          <w:lang w:val="fr-FR"/>
        </w:rPr>
        <w:t>Fait siennes</w:t>
      </w:r>
      <w:r>
        <w:rPr>
          <w:lang w:val="fr-FR"/>
        </w:rPr>
        <w:t xml:space="preserve"> les conclusions du Comité sur la communication ACCC/C/2016/143, selon lesquelles</w:t>
      </w:r>
      <w:r>
        <w:rPr>
          <w:lang w:val="fr-FR"/>
        </w:rPr>
        <w:t> </w:t>
      </w:r>
      <w:r>
        <w:rPr>
          <w:lang w:val="fr-FR"/>
        </w:rPr>
        <w:t>:</w:t>
      </w:r>
    </w:p>
    <w:p w14:paraId="6F654865" w14:textId="2AFBBB20" w:rsidR="006F2AE3" w:rsidRPr="005F4FC9" w:rsidRDefault="006F2AE3" w:rsidP="006F2AE3">
      <w:pPr>
        <w:pStyle w:val="SingleTxtG"/>
        <w:ind w:firstLine="567"/>
        <w:rPr>
          <w:lang w:val="fr-FR"/>
        </w:rPr>
      </w:pPr>
      <w:r>
        <w:rPr>
          <w:lang w:val="fr-FR"/>
        </w:rPr>
        <w:t>a)</w:t>
      </w:r>
      <w:r>
        <w:rPr>
          <w:lang w:val="fr-FR"/>
        </w:rPr>
        <w:tab/>
        <w:t xml:space="preserve">En ne satisfaisant pas aux prescriptions de l’article 6 (par. 2 à 9) relatives à la participation du public au processus décisionnel concernant l’octroi d’une licence d’exploitation de durée indéterminée pour le premier réacteur de la centrale nucléaire de </w:t>
      </w:r>
      <w:proofErr w:type="spellStart"/>
      <w:r>
        <w:rPr>
          <w:lang w:val="fr-FR"/>
        </w:rPr>
        <w:t>Dukovany</w:t>
      </w:r>
      <w:proofErr w:type="spellEnd"/>
      <w:r>
        <w:rPr>
          <w:lang w:val="fr-FR"/>
        </w:rPr>
        <w:t>, la Partie concernée ne s’est pas conformée aux dispositions l’article 6 (par. 10) de la Convention</w:t>
      </w:r>
      <w:r>
        <w:rPr>
          <w:lang w:val="fr-FR"/>
        </w:rPr>
        <w:t> </w:t>
      </w:r>
      <w:r>
        <w:rPr>
          <w:lang w:val="fr-FR"/>
        </w:rPr>
        <w:t>;</w:t>
      </w:r>
    </w:p>
    <w:p w14:paraId="1B9748B9" w14:textId="2C728E23" w:rsidR="006F2AE3" w:rsidRPr="005F4FC9" w:rsidRDefault="006F2AE3" w:rsidP="006F2AE3">
      <w:pPr>
        <w:pStyle w:val="SingleTxtG"/>
        <w:ind w:firstLine="567"/>
        <w:rPr>
          <w:lang w:val="fr-FR"/>
        </w:rPr>
      </w:pPr>
      <w:r>
        <w:rPr>
          <w:lang w:val="fr-FR"/>
        </w:rPr>
        <w:t>b)</w:t>
      </w:r>
      <w:r>
        <w:rPr>
          <w:lang w:val="fr-FR"/>
        </w:rPr>
        <w:tab/>
        <w:t xml:space="preserve">En ne veillant pas à ce que son cadre juridique prévoie une participation du public conforme aux prescriptions de l’article 6 (par. 2 à 9) pour chaque examen décennal de la sûreté du premier réacteur de la centrale nucléaire de </w:t>
      </w:r>
      <w:proofErr w:type="spellStart"/>
      <w:r>
        <w:rPr>
          <w:lang w:val="fr-FR"/>
        </w:rPr>
        <w:t>Dukovany</w:t>
      </w:r>
      <w:proofErr w:type="spellEnd"/>
      <w:r>
        <w:rPr>
          <w:lang w:val="fr-FR"/>
        </w:rPr>
        <w:t>, la Partie concernée ne se conforme pas aux dispositions de l’article 6 (par. 10) de la Convention</w:t>
      </w:r>
      <w:r>
        <w:rPr>
          <w:lang w:val="fr-FR"/>
        </w:rPr>
        <w:t> </w:t>
      </w:r>
      <w:r>
        <w:rPr>
          <w:lang w:val="fr-FR"/>
        </w:rPr>
        <w:t>;</w:t>
      </w:r>
    </w:p>
    <w:p w14:paraId="15CDA8C4" w14:textId="092C44DC" w:rsidR="006F2AE3" w:rsidRPr="005F4FC9" w:rsidRDefault="006F2AE3" w:rsidP="006F2AE3">
      <w:pPr>
        <w:pStyle w:val="SingleTxtG"/>
        <w:ind w:firstLine="567"/>
        <w:rPr>
          <w:lang w:val="fr-FR"/>
        </w:rPr>
      </w:pPr>
      <w:r>
        <w:rPr>
          <w:lang w:val="fr-FR"/>
        </w:rPr>
        <w:t>c)</w:t>
      </w:r>
      <w:r>
        <w:rPr>
          <w:lang w:val="fr-FR"/>
        </w:rPr>
        <w:tab/>
        <w:t>En ne donnant pas aux organisations non gouvernementales de défense de l’environnement la possibilité de former un recours pour contester la légalité, quant au fond ou à la procédure, des décisions, actes et omissions liés aux lois de 1997 et de 2016 relatives à l’énergie atomique et tombant sous le coup des dispositions de l’article 6, la Partie concernée ne se conforme pas aux dispositions de l’article 9 (par. 2) de la Convention</w:t>
      </w:r>
      <w:r>
        <w:rPr>
          <w:lang w:val="fr-FR"/>
        </w:rPr>
        <w:t> </w:t>
      </w:r>
      <w:r>
        <w:rPr>
          <w:lang w:val="fr-FR"/>
        </w:rPr>
        <w:t>;</w:t>
      </w:r>
    </w:p>
    <w:p w14:paraId="0DD02C97" w14:textId="5FA04283" w:rsidR="006F2AE3" w:rsidRPr="005F4FC9" w:rsidRDefault="006F2AE3" w:rsidP="006F2AE3">
      <w:pPr>
        <w:pStyle w:val="SingleTxtG"/>
        <w:keepNext/>
        <w:ind w:firstLine="567"/>
        <w:rPr>
          <w:lang w:val="fr-FR"/>
        </w:rPr>
      </w:pPr>
      <w:r>
        <w:rPr>
          <w:lang w:val="fr-FR"/>
        </w:rPr>
        <w:lastRenderedPageBreak/>
        <w:t>6.</w:t>
      </w:r>
      <w:r>
        <w:rPr>
          <w:lang w:val="fr-FR"/>
        </w:rPr>
        <w:tab/>
      </w:r>
      <w:r>
        <w:rPr>
          <w:i/>
          <w:iCs/>
          <w:lang w:val="fr-FR"/>
        </w:rPr>
        <w:t>Recommande</w:t>
      </w:r>
      <w:r>
        <w:rPr>
          <w:lang w:val="fr-FR"/>
        </w:rPr>
        <w:t xml:space="preserve"> à la Partie concernée de prendre les mesures législatives, réglementaires, administratives ou autres nécessaires pour faire en sorte que</w:t>
      </w:r>
      <w:r>
        <w:rPr>
          <w:lang w:val="fr-FR"/>
        </w:rPr>
        <w:t> </w:t>
      </w:r>
      <w:r>
        <w:rPr>
          <w:lang w:val="fr-FR"/>
        </w:rPr>
        <w:t>:</w:t>
      </w:r>
    </w:p>
    <w:p w14:paraId="064B57FA" w14:textId="2B69DE5C" w:rsidR="006F2AE3" w:rsidRPr="005F4FC9" w:rsidRDefault="006F2AE3" w:rsidP="006F2AE3">
      <w:pPr>
        <w:pStyle w:val="SingleTxtG"/>
        <w:tabs>
          <w:tab w:val="clear" w:pos="1701"/>
          <w:tab w:val="clear" w:pos="2268"/>
          <w:tab w:val="clear" w:pos="2835"/>
        </w:tabs>
        <w:ind w:firstLine="567"/>
        <w:rPr>
          <w:lang w:val="fr-FR"/>
        </w:rPr>
      </w:pPr>
      <w:r>
        <w:rPr>
          <w:lang w:val="fr-FR"/>
        </w:rPr>
        <w:t>a)</w:t>
      </w:r>
      <w:r>
        <w:rPr>
          <w:lang w:val="fr-FR"/>
        </w:rPr>
        <w:tab/>
        <w:t xml:space="preserve">Lorsque les conditions d’exploitation d’une licence délivrée au titre des lois de 1997 ou de 2016 sur l’énergie atomique, ou de toute loi qui remplacerait la loi de 2016 sur l’énergie atomique, sont réexaminées au sens de l’article 6 (par. 10) de la Convention, les dispositions de l’article 6 (par. 2 à 9) s’appliquent </w:t>
      </w:r>
      <w:r w:rsidRPr="00DB4673">
        <w:rPr>
          <w:i/>
          <w:iCs/>
          <w:lang w:val="fr-FR"/>
        </w:rPr>
        <w:t>mutatis mutandis</w:t>
      </w:r>
      <w:r>
        <w:rPr>
          <w:lang w:val="fr-FR"/>
        </w:rPr>
        <w:t xml:space="preserve"> lorsqu’il y a lieu, compte tenu des objectifs de la Convention. Cela s’applique aussi, non exclusivement, au réexamen de la durée de la licence et aux examens décennaux de la sûreté</w:t>
      </w:r>
      <w:r w:rsidR="00DB4673">
        <w:rPr>
          <w:lang w:val="fr-FR"/>
        </w:rPr>
        <w:t> </w:t>
      </w:r>
      <w:r>
        <w:rPr>
          <w:lang w:val="fr-FR"/>
        </w:rPr>
        <w:t>;</w:t>
      </w:r>
    </w:p>
    <w:p w14:paraId="137AD15D" w14:textId="10D5804A" w:rsidR="006F2AE3" w:rsidRPr="005F4FC9" w:rsidRDefault="006F2AE3" w:rsidP="006F2AE3">
      <w:pPr>
        <w:pStyle w:val="SingleTxtG"/>
        <w:ind w:firstLine="567"/>
        <w:rPr>
          <w:lang w:val="fr-FR"/>
        </w:rPr>
      </w:pPr>
      <w:r>
        <w:rPr>
          <w:lang w:val="fr-FR"/>
        </w:rPr>
        <w:t>b)</w:t>
      </w:r>
      <w:r>
        <w:rPr>
          <w:lang w:val="fr-FR"/>
        </w:rPr>
        <w:tab/>
        <w:t>Les membres du public concerné qui satisfont aux prescriptions de l’article 9 (par.</w:t>
      </w:r>
      <w:r w:rsidR="00DB4673">
        <w:rPr>
          <w:lang w:val="fr-FR"/>
        </w:rPr>
        <w:t> </w:t>
      </w:r>
      <w:r>
        <w:rPr>
          <w:lang w:val="fr-FR"/>
        </w:rPr>
        <w:t>2), y compris les organisations non gouvernementales de défense de l’environnement, aient la possibilité de former un recours pour contester la légalité, quant au fond ou à la procédure, des décisions, actes et omissions liés aux lois de 1997 et de 2016 relatives à l’énergie atomique et tombant sous le coup des dispositions de l’article 6 de la Convention</w:t>
      </w:r>
      <w:r w:rsidR="00DB4673">
        <w:rPr>
          <w:lang w:val="fr-FR"/>
        </w:rPr>
        <w:t> </w:t>
      </w:r>
      <w:r>
        <w:rPr>
          <w:lang w:val="fr-FR"/>
        </w:rPr>
        <w:t>;</w:t>
      </w:r>
    </w:p>
    <w:p w14:paraId="69BE9175" w14:textId="53F8E4C8" w:rsidR="006F2AE3" w:rsidRPr="005F4FC9" w:rsidRDefault="006F2AE3" w:rsidP="006F2AE3">
      <w:pPr>
        <w:pStyle w:val="SingleTxtG"/>
        <w:ind w:firstLine="567"/>
        <w:rPr>
          <w:lang w:val="fr-FR"/>
        </w:rPr>
      </w:pPr>
      <w:r>
        <w:rPr>
          <w:lang w:val="fr-FR"/>
        </w:rPr>
        <w:t>7.</w:t>
      </w:r>
      <w:r>
        <w:rPr>
          <w:lang w:val="fr-FR"/>
        </w:rPr>
        <w:tab/>
      </w:r>
      <w:r>
        <w:rPr>
          <w:i/>
          <w:iCs/>
          <w:lang w:val="fr-FR"/>
        </w:rPr>
        <w:t>Demande</w:t>
      </w:r>
      <w:r>
        <w:rPr>
          <w:lang w:val="fr-FR"/>
        </w:rPr>
        <w:t xml:space="preserve"> à la Partie concernée</w:t>
      </w:r>
      <w:r w:rsidR="00DB4673">
        <w:rPr>
          <w:lang w:val="fr-FR"/>
        </w:rPr>
        <w:t> </w:t>
      </w:r>
      <w:r>
        <w:rPr>
          <w:lang w:val="fr-FR"/>
        </w:rPr>
        <w:t>:</w:t>
      </w:r>
    </w:p>
    <w:p w14:paraId="4EDF29F1" w14:textId="77777777" w:rsidR="006F2AE3" w:rsidRPr="005F4FC9" w:rsidRDefault="006F2AE3" w:rsidP="006F2AE3">
      <w:pPr>
        <w:pStyle w:val="SingleTxtG"/>
        <w:ind w:firstLine="567"/>
        <w:rPr>
          <w:lang w:val="fr-FR"/>
        </w:rPr>
      </w:pPr>
      <w:r>
        <w:rPr>
          <w:lang w:val="fr-FR"/>
        </w:rPr>
        <w:t>a)</w:t>
      </w:r>
      <w:r>
        <w:rPr>
          <w:lang w:val="fr-FR"/>
        </w:rPr>
        <w:tab/>
        <w:t>De soumettre au Comité un plan d’action pour l’application des recommandations figurant aux paragraphes 2 et 6 ci-dessus, y compris un calendrier, au plus tard le 1</w:t>
      </w:r>
      <w:r w:rsidRPr="007D7037">
        <w:rPr>
          <w:vertAlign w:val="superscript"/>
          <w:lang w:val="fr-FR"/>
        </w:rPr>
        <w:t>er</w:t>
      </w:r>
      <w:r>
        <w:rPr>
          <w:lang w:val="fr-FR"/>
        </w:rPr>
        <w:t xml:space="preserve"> juillet 2022 ;</w:t>
      </w:r>
    </w:p>
    <w:p w14:paraId="6258E6BA" w14:textId="1E687585" w:rsidR="006F2AE3" w:rsidRPr="005F4FC9" w:rsidRDefault="006F2AE3" w:rsidP="006F2AE3">
      <w:pPr>
        <w:pStyle w:val="SingleTxtG"/>
        <w:ind w:firstLine="567"/>
        <w:rPr>
          <w:lang w:val="fr-FR"/>
        </w:rPr>
      </w:pPr>
      <w:r>
        <w:rPr>
          <w:lang w:val="fr-FR"/>
        </w:rPr>
        <w:t>b)</w:t>
      </w:r>
      <w:r>
        <w:rPr>
          <w:lang w:val="fr-FR"/>
        </w:rPr>
        <w:tab/>
        <w:t>De fournir au Comité, au plus tard les 1</w:t>
      </w:r>
      <w:r w:rsidRPr="007D7037">
        <w:rPr>
          <w:vertAlign w:val="superscript"/>
          <w:lang w:val="fr-FR"/>
        </w:rPr>
        <w:t>er</w:t>
      </w:r>
      <w:r>
        <w:rPr>
          <w:lang w:val="fr-FR"/>
        </w:rPr>
        <w:t xml:space="preserve"> octobre 2023 et 2024, des rapports d’étape détaillés sur les mesures prises aux fins de l’application du plan d’action et des recommandations figurant aux paragraphes 2 et 6 ci-dessus et sur les résultats obtenus</w:t>
      </w:r>
      <w:r w:rsidR="00DB4673">
        <w:rPr>
          <w:lang w:val="fr-FR"/>
        </w:rPr>
        <w:t> </w:t>
      </w:r>
      <w:r>
        <w:rPr>
          <w:lang w:val="fr-FR"/>
        </w:rPr>
        <w:t>;</w:t>
      </w:r>
    </w:p>
    <w:p w14:paraId="07986828" w14:textId="19787E97" w:rsidR="006F2AE3" w:rsidRPr="005F4FC9" w:rsidRDefault="006F2AE3" w:rsidP="006F2AE3">
      <w:pPr>
        <w:pStyle w:val="SingleTxtG"/>
        <w:ind w:firstLine="567"/>
        <w:rPr>
          <w:lang w:val="fr-FR"/>
        </w:rPr>
      </w:pPr>
      <w:r>
        <w:rPr>
          <w:lang w:val="fr-FR"/>
        </w:rPr>
        <w:t>c)</w:t>
      </w:r>
      <w:r>
        <w:rPr>
          <w:lang w:val="fr-FR"/>
        </w:rPr>
        <w:tab/>
        <w:t>De fournir tout autre renseignement que pourrait lui demander le Comité pour l’aider à examiner les progrès qui auront été accomplis dans l’application des recommandations figurant aux paragraphes 2 et 6 ci-dessus</w:t>
      </w:r>
      <w:r w:rsidR="00DB4673">
        <w:rPr>
          <w:lang w:val="fr-FR"/>
        </w:rPr>
        <w:t> </w:t>
      </w:r>
      <w:r>
        <w:rPr>
          <w:lang w:val="fr-FR"/>
        </w:rPr>
        <w:t xml:space="preserve">; </w:t>
      </w:r>
    </w:p>
    <w:p w14:paraId="7CE0804C" w14:textId="2E1EA87F" w:rsidR="006F2AE3" w:rsidRPr="005F4FC9" w:rsidRDefault="006F2AE3" w:rsidP="006F2AE3">
      <w:pPr>
        <w:pStyle w:val="SingleTxtG"/>
        <w:ind w:firstLine="567"/>
        <w:rPr>
          <w:lang w:val="fr-FR"/>
        </w:rPr>
      </w:pPr>
      <w:r>
        <w:rPr>
          <w:lang w:val="fr-FR"/>
        </w:rPr>
        <w:t>d)</w:t>
      </w:r>
      <w:r>
        <w:rPr>
          <w:lang w:val="fr-FR"/>
        </w:rPr>
        <w:tab/>
        <w:t>De participer (en personne ou virtuellement) aux réunions du Comité au cours desquelles les progrès accomplis par la Partie concernée dans l’application des recommandations figurant aux paragraphes 2 et 6 ci-dessus seront examinés</w:t>
      </w:r>
      <w:r w:rsidR="00DB4673">
        <w:rPr>
          <w:lang w:val="fr-FR"/>
        </w:rPr>
        <w:t> </w:t>
      </w:r>
      <w:r>
        <w:rPr>
          <w:lang w:val="fr-FR"/>
        </w:rPr>
        <w:t>;</w:t>
      </w:r>
    </w:p>
    <w:p w14:paraId="4BA6E589" w14:textId="77777777" w:rsidR="006F2AE3" w:rsidRPr="005F4FC9" w:rsidRDefault="006F2AE3" w:rsidP="006F2AE3">
      <w:pPr>
        <w:pStyle w:val="SingleTxtG"/>
        <w:ind w:firstLine="567"/>
        <w:rPr>
          <w:lang w:val="fr-FR"/>
        </w:rPr>
      </w:pPr>
      <w:r>
        <w:rPr>
          <w:lang w:val="fr-FR"/>
        </w:rPr>
        <w:t>8.</w:t>
      </w:r>
      <w:r>
        <w:rPr>
          <w:lang w:val="fr-FR"/>
        </w:rPr>
        <w:tab/>
      </w:r>
      <w:r>
        <w:rPr>
          <w:i/>
          <w:iCs/>
          <w:lang w:val="fr-FR"/>
        </w:rPr>
        <w:t>Décide</w:t>
      </w:r>
      <w:r>
        <w:rPr>
          <w:lang w:val="fr-FR"/>
        </w:rPr>
        <w:t xml:space="preserve"> de faire le point sur la situation à sa huitième session.</w:t>
      </w:r>
    </w:p>
    <w:p w14:paraId="6C8C7164" w14:textId="34DDE7C3" w:rsidR="005F26E5" w:rsidRPr="006F2AE3" w:rsidRDefault="006F2AE3" w:rsidP="006F2AE3">
      <w:pPr>
        <w:spacing w:before="240"/>
        <w:jc w:val="center"/>
        <w:rPr>
          <w:u w:val="single"/>
          <w:lang w:val="fr-FR"/>
        </w:rPr>
      </w:pPr>
      <w:r w:rsidRPr="005F4FC9">
        <w:rPr>
          <w:u w:val="single"/>
          <w:lang w:val="fr-FR"/>
        </w:rPr>
        <w:tab/>
      </w:r>
      <w:r w:rsidRPr="005F4FC9">
        <w:rPr>
          <w:u w:val="single"/>
          <w:lang w:val="fr-FR"/>
        </w:rPr>
        <w:tab/>
      </w:r>
      <w:r w:rsidRPr="005F4FC9">
        <w:rPr>
          <w:u w:val="single"/>
          <w:lang w:val="fr-FR"/>
        </w:rPr>
        <w:tab/>
      </w:r>
    </w:p>
    <w:sectPr w:rsidR="005F26E5" w:rsidRPr="006F2AE3" w:rsidSect="006F2AE3">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31860" w14:textId="77777777" w:rsidR="00112676" w:rsidRDefault="00112676" w:rsidP="00F95C08">
      <w:pPr>
        <w:spacing w:line="240" w:lineRule="auto"/>
      </w:pPr>
    </w:p>
  </w:endnote>
  <w:endnote w:type="continuationSeparator" w:id="0">
    <w:p w14:paraId="66815442" w14:textId="77777777" w:rsidR="00112676" w:rsidRPr="00AC3823" w:rsidRDefault="00112676" w:rsidP="00AC3823">
      <w:pPr>
        <w:pStyle w:val="Pieddepage"/>
      </w:pPr>
    </w:p>
  </w:endnote>
  <w:endnote w:type="continuationNotice" w:id="1">
    <w:p w14:paraId="78531AD5" w14:textId="77777777" w:rsidR="00112676" w:rsidRDefault="001126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61A02" w14:textId="1F096FDC" w:rsidR="006F2AE3" w:rsidRPr="006F2AE3" w:rsidRDefault="006F2AE3" w:rsidP="006F2AE3">
    <w:pPr>
      <w:pStyle w:val="Pieddepage"/>
      <w:tabs>
        <w:tab w:val="right" w:pos="9638"/>
      </w:tabs>
    </w:pPr>
    <w:r w:rsidRPr="006F2AE3">
      <w:rPr>
        <w:b/>
        <w:sz w:val="18"/>
      </w:rPr>
      <w:fldChar w:fldCharType="begin"/>
    </w:r>
    <w:r w:rsidRPr="006F2AE3">
      <w:rPr>
        <w:b/>
        <w:sz w:val="18"/>
      </w:rPr>
      <w:instrText xml:space="preserve"> PAGE  \* MERGEFORMAT </w:instrText>
    </w:r>
    <w:r w:rsidRPr="006F2AE3">
      <w:rPr>
        <w:b/>
        <w:sz w:val="18"/>
      </w:rPr>
      <w:fldChar w:fldCharType="separate"/>
    </w:r>
    <w:r w:rsidRPr="006F2AE3">
      <w:rPr>
        <w:b/>
        <w:noProof/>
        <w:sz w:val="18"/>
      </w:rPr>
      <w:t>2</w:t>
    </w:r>
    <w:r w:rsidRPr="006F2AE3">
      <w:rPr>
        <w:b/>
        <w:sz w:val="18"/>
      </w:rPr>
      <w:fldChar w:fldCharType="end"/>
    </w:r>
    <w:r>
      <w:rPr>
        <w:b/>
        <w:sz w:val="18"/>
      </w:rPr>
      <w:tab/>
    </w:r>
    <w:r>
      <w:t>GE.21-10870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1387A" w14:textId="61869932" w:rsidR="006F2AE3" w:rsidRPr="006F2AE3" w:rsidRDefault="006F2AE3" w:rsidP="006F2AE3">
    <w:pPr>
      <w:pStyle w:val="Pieddepage"/>
      <w:tabs>
        <w:tab w:val="right" w:pos="9638"/>
      </w:tabs>
      <w:rPr>
        <w:b/>
        <w:sz w:val="18"/>
      </w:rPr>
    </w:pPr>
    <w:r>
      <w:t>GE.21-10870</w:t>
    </w:r>
    <w:r>
      <w:tab/>
    </w:r>
    <w:r w:rsidRPr="006F2AE3">
      <w:rPr>
        <w:b/>
        <w:sz w:val="18"/>
      </w:rPr>
      <w:fldChar w:fldCharType="begin"/>
    </w:r>
    <w:r w:rsidRPr="006F2AE3">
      <w:rPr>
        <w:b/>
        <w:sz w:val="18"/>
      </w:rPr>
      <w:instrText xml:space="preserve"> PAGE  \* MERGEFORMAT </w:instrText>
    </w:r>
    <w:r w:rsidRPr="006F2AE3">
      <w:rPr>
        <w:b/>
        <w:sz w:val="18"/>
      </w:rPr>
      <w:fldChar w:fldCharType="separate"/>
    </w:r>
    <w:r w:rsidRPr="006F2AE3">
      <w:rPr>
        <w:b/>
        <w:noProof/>
        <w:sz w:val="18"/>
      </w:rPr>
      <w:t>3</w:t>
    </w:r>
    <w:r w:rsidRPr="006F2AE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A47F7" w14:textId="1C456886" w:rsidR="00A14420" w:rsidRPr="006F2AE3" w:rsidRDefault="006F2AE3" w:rsidP="006F2AE3">
    <w:pPr>
      <w:pStyle w:val="Pieddepage"/>
      <w:spacing w:before="120"/>
      <w:rPr>
        <w:sz w:val="20"/>
      </w:rPr>
    </w:pPr>
    <w:r>
      <w:rPr>
        <w:sz w:val="20"/>
      </w:rPr>
      <w:t>GE.</w:t>
    </w:r>
    <w:r w:rsidR="00A14420">
      <w:rPr>
        <w:noProof/>
        <w:lang w:eastAsia="fr-CH"/>
      </w:rPr>
      <w:drawing>
        <wp:anchor distT="0" distB="0" distL="114300" distR="114300" simplePos="0" relativeHeight="251659264" behindDoc="0" locked="0" layoutInCell="1" allowOverlap="0" wp14:anchorId="2D59C2F6" wp14:editId="7A95AA4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21-10870  (F)</w:t>
    </w:r>
    <w:r>
      <w:rPr>
        <w:noProof/>
        <w:sz w:val="20"/>
      </w:rPr>
      <w:drawing>
        <wp:anchor distT="0" distB="0" distL="114300" distR="114300" simplePos="0" relativeHeight="251660288" behindDoc="0" locked="0" layoutInCell="1" allowOverlap="1" wp14:anchorId="57A40F24" wp14:editId="12409462">
          <wp:simplePos x="0" y="0"/>
          <wp:positionH relativeFrom="margin">
            <wp:posOffset>5489575</wp:posOffset>
          </wp:positionH>
          <wp:positionV relativeFrom="margin">
            <wp:posOffset>8891905</wp:posOffset>
          </wp:positionV>
          <wp:extent cx="561975" cy="5619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071021    071021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EB424" w14:textId="77777777" w:rsidR="00112676" w:rsidRPr="00AC3823" w:rsidRDefault="00112676" w:rsidP="00AC3823">
      <w:pPr>
        <w:pStyle w:val="Pieddepage"/>
        <w:tabs>
          <w:tab w:val="right" w:pos="2155"/>
        </w:tabs>
        <w:spacing w:after="80" w:line="240" w:lineRule="atLeast"/>
        <w:ind w:left="680"/>
        <w:rPr>
          <w:u w:val="single"/>
        </w:rPr>
      </w:pPr>
      <w:r>
        <w:rPr>
          <w:u w:val="single"/>
        </w:rPr>
        <w:tab/>
      </w:r>
    </w:p>
  </w:footnote>
  <w:footnote w:type="continuationSeparator" w:id="0">
    <w:p w14:paraId="5D8F3B6A" w14:textId="77777777" w:rsidR="00112676" w:rsidRPr="00AC3823" w:rsidRDefault="00112676" w:rsidP="00AC3823">
      <w:pPr>
        <w:pStyle w:val="Pieddepage"/>
        <w:tabs>
          <w:tab w:val="right" w:pos="2155"/>
        </w:tabs>
        <w:spacing w:after="80" w:line="240" w:lineRule="atLeast"/>
        <w:ind w:left="680"/>
        <w:rPr>
          <w:u w:val="single"/>
        </w:rPr>
      </w:pPr>
      <w:r>
        <w:rPr>
          <w:u w:val="single"/>
        </w:rPr>
        <w:tab/>
      </w:r>
    </w:p>
  </w:footnote>
  <w:footnote w:type="continuationNotice" w:id="1">
    <w:p w14:paraId="75ACB681" w14:textId="77777777" w:rsidR="00112676" w:rsidRPr="00AC3823" w:rsidRDefault="00112676">
      <w:pPr>
        <w:spacing w:line="240" w:lineRule="auto"/>
        <w:rPr>
          <w:sz w:val="2"/>
          <w:szCs w:val="2"/>
        </w:rPr>
      </w:pPr>
    </w:p>
  </w:footnote>
  <w:footnote w:id="2">
    <w:p w14:paraId="62973E69" w14:textId="77777777" w:rsidR="006F2AE3" w:rsidRPr="006F2AE3" w:rsidRDefault="006F2AE3" w:rsidP="006F2AE3">
      <w:pPr>
        <w:pStyle w:val="Notedebasdepage"/>
        <w:widowControl w:val="0"/>
        <w:tabs>
          <w:tab w:val="clear" w:pos="1021"/>
          <w:tab w:val="right" w:pos="1020"/>
        </w:tabs>
        <w:rPr>
          <w:lang w:val="en-US"/>
        </w:rPr>
      </w:pPr>
      <w:r>
        <w:rPr>
          <w:lang w:val="fr-FR"/>
        </w:rPr>
        <w:tab/>
      </w:r>
      <w:r>
        <w:rPr>
          <w:rStyle w:val="Appelnotedebasdep"/>
          <w:lang w:val="fr-FR"/>
        </w:rPr>
        <w:footnoteRef/>
      </w:r>
      <w:r w:rsidRPr="005F4FC9">
        <w:rPr>
          <w:lang w:val="en-US"/>
        </w:rPr>
        <w:tab/>
        <w:t xml:space="preserve">ECE/MP.PP/2/Add.8. </w:t>
      </w:r>
    </w:p>
  </w:footnote>
  <w:footnote w:id="3">
    <w:p w14:paraId="5F42371B" w14:textId="77777777" w:rsidR="006F2AE3" w:rsidRPr="006F2AE3" w:rsidRDefault="006F2AE3" w:rsidP="006F2AE3">
      <w:pPr>
        <w:pStyle w:val="Notedebasdepage"/>
        <w:widowControl w:val="0"/>
        <w:tabs>
          <w:tab w:val="clear" w:pos="1021"/>
          <w:tab w:val="right" w:pos="1020"/>
        </w:tabs>
        <w:rPr>
          <w:lang w:val="en-US"/>
        </w:rPr>
      </w:pPr>
      <w:r w:rsidRPr="005F4FC9">
        <w:rPr>
          <w:lang w:val="en-US"/>
        </w:rPr>
        <w:tab/>
      </w:r>
      <w:r>
        <w:rPr>
          <w:rStyle w:val="Appelnotedebasdep"/>
          <w:lang w:val="fr-FR"/>
        </w:rPr>
        <w:footnoteRef/>
      </w:r>
      <w:r w:rsidRPr="005F4FC9">
        <w:rPr>
          <w:lang w:val="en-US"/>
        </w:rPr>
        <w:tab/>
        <w:t xml:space="preserve">ECE/MP.PP/2017/2/Add.1. </w:t>
      </w:r>
    </w:p>
  </w:footnote>
  <w:footnote w:id="4">
    <w:p w14:paraId="0A48F568" w14:textId="77777777" w:rsidR="006F2AE3" w:rsidRPr="005F4FC9" w:rsidRDefault="006F2AE3" w:rsidP="006F2AE3">
      <w:pPr>
        <w:pStyle w:val="Notedebasdepage"/>
        <w:widowControl w:val="0"/>
        <w:tabs>
          <w:tab w:val="clear" w:pos="1021"/>
          <w:tab w:val="right" w:pos="1020"/>
        </w:tabs>
        <w:rPr>
          <w:lang w:val="fr-FR"/>
        </w:rPr>
      </w:pPr>
      <w:r w:rsidRPr="005F4FC9">
        <w:rPr>
          <w:lang w:val="en-US"/>
        </w:rPr>
        <w:tab/>
      </w:r>
      <w:r>
        <w:rPr>
          <w:rStyle w:val="Appelnotedebasdep"/>
          <w:lang w:val="fr-FR"/>
        </w:rPr>
        <w:footnoteRef/>
      </w:r>
      <w:r>
        <w:rPr>
          <w:lang w:val="fr-FR"/>
        </w:rPr>
        <w:tab/>
        <w:t xml:space="preserve">ECE/MP.PP/2021/50, à paraître. </w:t>
      </w:r>
    </w:p>
  </w:footnote>
  <w:footnote w:id="5">
    <w:p w14:paraId="2BFB4E28" w14:textId="77777777" w:rsidR="006F2AE3" w:rsidRPr="005F4FC9" w:rsidRDefault="006F2AE3" w:rsidP="006F2AE3">
      <w:pPr>
        <w:pStyle w:val="Notedebasdepage"/>
        <w:widowControl w:val="0"/>
        <w:tabs>
          <w:tab w:val="clear" w:pos="1021"/>
          <w:tab w:val="right" w:pos="1020"/>
        </w:tabs>
        <w:rPr>
          <w:lang w:val="fr-FR"/>
        </w:rPr>
      </w:pPr>
      <w:r>
        <w:rPr>
          <w:lang w:val="fr-FR"/>
        </w:rPr>
        <w:tab/>
      </w:r>
      <w:r>
        <w:rPr>
          <w:rStyle w:val="Appelnotedebasdep"/>
          <w:lang w:val="fr-FR"/>
        </w:rPr>
        <w:footnoteRef/>
      </w:r>
      <w:r>
        <w:rPr>
          <w:lang w:val="fr-FR"/>
        </w:rPr>
        <w:tab/>
        <w:t xml:space="preserve">ECE/MP.PP/C.1/2021/28, à paraître.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CABD6" w14:textId="5ADF7348" w:rsidR="006F2AE3" w:rsidRPr="006F2AE3" w:rsidRDefault="006F2AE3">
    <w:pPr>
      <w:pStyle w:val="En-tte"/>
    </w:pPr>
    <w:fldSimple w:instr=" TITLE  \* MERGEFORMAT ">
      <w:r>
        <w:t>ECE/MP.PP/2021/28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28DE1" w14:textId="08F25B06" w:rsidR="006F2AE3" w:rsidRPr="006F2AE3" w:rsidRDefault="006F2AE3" w:rsidP="006F2AE3">
    <w:pPr>
      <w:pStyle w:val="En-tte"/>
      <w:jc w:val="right"/>
    </w:pPr>
    <w:fldSimple w:instr=" TITLE  \* MERGEFORMAT ">
      <w:r>
        <w:t>ECE/MP.PP/2021/28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ABC672C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B6C4FF4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BAF4D30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76"/>
    <w:rsid w:val="00017F94"/>
    <w:rsid w:val="00023842"/>
    <w:rsid w:val="00031189"/>
    <w:rsid w:val="000334F9"/>
    <w:rsid w:val="0007796D"/>
    <w:rsid w:val="000B7790"/>
    <w:rsid w:val="00111F2F"/>
    <w:rsid w:val="00112676"/>
    <w:rsid w:val="0014365E"/>
    <w:rsid w:val="00176178"/>
    <w:rsid w:val="001F525A"/>
    <w:rsid w:val="00223272"/>
    <w:rsid w:val="0024779E"/>
    <w:rsid w:val="002832AC"/>
    <w:rsid w:val="002B40F9"/>
    <w:rsid w:val="002D7C93"/>
    <w:rsid w:val="00441C3B"/>
    <w:rsid w:val="00446FE5"/>
    <w:rsid w:val="00452396"/>
    <w:rsid w:val="004E468C"/>
    <w:rsid w:val="005505B7"/>
    <w:rsid w:val="00573BE5"/>
    <w:rsid w:val="00586ED3"/>
    <w:rsid w:val="00596AA9"/>
    <w:rsid w:val="005D6D16"/>
    <w:rsid w:val="005F26E5"/>
    <w:rsid w:val="006C0E3B"/>
    <w:rsid w:val="006F2AE3"/>
    <w:rsid w:val="0071601D"/>
    <w:rsid w:val="007A5FC4"/>
    <w:rsid w:val="007A62E6"/>
    <w:rsid w:val="0080684C"/>
    <w:rsid w:val="00871C75"/>
    <w:rsid w:val="008776DC"/>
    <w:rsid w:val="008D6B3F"/>
    <w:rsid w:val="0090540F"/>
    <w:rsid w:val="009705C8"/>
    <w:rsid w:val="009C1CF4"/>
    <w:rsid w:val="00A14420"/>
    <w:rsid w:val="00A30353"/>
    <w:rsid w:val="00AC3823"/>
    <w:rsid w:val="00AE323C"/>
    <w:rsid w:val="00B00181"/>
    <w:rsid w:val="00B00B0D"/>
    <w:rsid w:val="00B61815"/>
    <w:rsid w:val="00B765F7"/>
    <w:rsid w:val="00BA0CA9"/>
    <w:rsid w:val="00C02897"/>
    <w:rsid w:val="00C554CE"/>
    <w:rsid w:val="00CE26D2"/>
    <w:rsid w:val="00D3439C"/>
    <w:rsid w:val="00D503D3"/>
    <w:rsid w:val="00DB1831"/>
    <w:rsid w:val="00DB4673"/>
    <w:rsid w:val="00DD3BFD"/>
    <w:rsid w:val="00DF5712"/>
    <w:rsid w:val="00DF6678"/>
    <w:rsid w:val="00E96BD6"/>
    <w:rsid w:val="00EC0A9F"/>
    <w:rsid w:val="00ED5F56"/>
    <w:rsid w:val="00EE22F9"/>
    <w:rsid w:val="00EF2E22"/>
    <w:rsid w:val="00F274A2"/>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C65E7B"/>
  <w15:docId w15:val="{C7B124A1-B30C-444C-9FB8-E20B1A18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F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E22F9"/>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E22F9"/>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E22F9"/>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E22F9"/>
    <w:pPr>
      <w:spacing w:line="240" w:lineRule="auto"/>
    </w:pPr>
    <w:rPr>
      <w:sz w:val="16"/>
    </w:rPr>
  </w:style>
  <w:style w:type="character" w:customStyle="1" w:styleId="PieddepageCar">
    <w:name w:val="Pied de page Car"/>
    <w:aliases w:val="3_G Car"/>
    <w:basedOn w:val="Policepardfaut"/>
    <w:link w:val="Pieddepage"/>
    <w:rsid w:val="00EE22F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E22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E22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E22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E22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E22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E22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EE22F9"/>
    <w:pPr>
      <w:tabs>
        <w:tab w:val="left" w:pos="1701"/>
        <w:tab w:val="left" w:pos="2268"/>
        <w:tab w:val="left" w:pos="2835"/>
      </w:tabs>
      <w:spacing w:after="120"/>
      <w:ind w:left="1134" w:right="1134"/>
      <w:jc w:val="both"/>
    </w:pPr>
  </w:style>
  <w:style w:type="paragraph" w:customStyle="1" w:styleId="SLG">
    <w:name w:val="__S_L_G"/>
    <w:basedOn w:val="Normal"/>
    <w:next w:val="Normal"/>
    <w:rsid w:val="00EE22F9"/>
    <w:pPr>
      <w:keepNext/>
      <w:keepLines/>
      <w:spacing w:before="240" w:after="240" w:line="580" w:lineRule="exact"/>
      <w:ind w:left="1134" w:right="1134"/>
    </w:pPr>
    <w:rPr>
      <w:b/>
      <w:sz w:val="56"/>
    </w:rPr>
  </w:style>
  <w:style w:type="paragraph" w:customStyle="1" w:styleId="SMG">
    <w:name w:val="__S_M_G"/>
    <w:basedOn w:val="Normal"/>
    <w:next w:val="Normal"/>
    <w:rsid w:val="00EE22F9"/>
    <w:pPr>
      <w:keepNext/>
      <w:keepLines/>
      <w:spacing w:before="240" w:after="240" w:line="420" w:lineRule="exact"/>
      <w:ind w:left="1134" w:right="1134"/>
    </w:pPr>
    <w:rPr>
      <w:b/>
      <w:sz w:val="40"/>
    </w:rPr>
  </w:style>
  <w:style w:type="paragraph" w:customStyle="1" w:styleId="SSG">
    <w:name w:val="__S_S_G"/>
    <w:basedOn w:val="Normal"/>
    <w:next w:val="Normal"/>
    <w:rsid w:val="00EE22F9"/>
    <w:pPr>
      <w:keepNext/>
      <w:keepLines/>
      <w:spacing w:before="240" w:after="240" w:line="300" w:lineRule="exact"/>
      <w:ind w:left="1134" w:right="1134"/>
    </w:pPr>
    <w:rPr>
      <w:b/>
      <w:sz w:val="28"/>
    </w:rPr>
  </w:style>
  <w:style w:type="paragraph" w:customStyle="1" w:styleId="XLargeG">
    <w:name w:val="__XLarge_G"/>
    <w:basedOn w:val="Normal"/>
    <w:next w:val="Normal"/>
    <w:rsid w:val="00EE22F9"/>
    <w:pPr>
      <w:keepNext/>
      <w:keepLines/>
      <w:spacing w:before="240" w:after="240" w:line="420" w:lineRule="exact"/>
      <w:ind w:left="1134" w:right="1134"/>
    </w:pPr>
    <w:rPr>
      <w:b/>
      <w:sz w:val="40"/>
    </w:rPr>
  </w:style>
  <w:style w:type="paragraph" w:customStyle="1" w:styleId="Bullet1G">
    <w:name w:val="_Bullet 1_G"/>
    <w:basedOn w:val="Normal"/>
    <w:qFormat/>
    <w:rsid w:val="00EE22F9"/>
    <w:pPr>
      <w:numPr>
        <w:numId w:val="14"/>
      </w:numPr>
      <w:spacing w:after="120"/>
      <w:ind w:right="1134"/>
      <w:jc w:val="both"/>
    </w:pPr>
  </w:style>
  <w:style w:type="paragraph" w:customStyle="1" w:styleId="Bullet2G">
    <w:name w:val="_Bullet 2_G"/>
    <w:basedOn w:val="Normal"/>
    <w:qFormat/>
    <w:rsid w:val="00EE22F9"/>
    <w:pPr>
      <w:numPr>
        <w:numId w:val="15"/>
      </w:numPr>
      <w:spacing w:after="120"/>
      <w:ind w:right="1134"/>
      <w:jc w:val="both"/>
    </w:pPr>
  </w:style>
  <w:style w:type="paragraph" w:customStyle="1" w:styleId="ParNoG">
    <w:name w:val="_ParNo_G"/>
    <w:basedOn w:val="Normal"/>
    <w:qFormat/>
    <w:rsid w:val="00EE22F9"/>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E22F9"/>
    <w:rPr>
      <w:rFonts w:ascii="Times New Roman" w:hAnsi="Times New Roman"/>
      <w:sz w:val="18"/>
      <w:vertAlign w:val="superscript"/>
      <w:lang w:val="fr-CH"/>
    </w:rPr>
  </w:style>
  <w:style w:type="character" w:styleId="Appeldenotedefin">
    <w:name w:val="endnote reference"/>
    <w:aliases w:val="1_G"/>
    <w:basedOn w:val="Appelnotedebasdep"/>
    <w:qFormat/>
    <w:rsid w:val="00EE22F9"/>
    <w:rPr>
      <w:rFonts w:ascii="Times New Roman" w:hAnsi="Times New Roman"/>
      <w:sz w:val="18"/>
      <w:vertAlign w:val="superscript"/>
      <w:lang w:val="fr-CH"/>
    </w:rPr>
  </w:style>
  <w:style w:type="table" w:styleId="Grilledutableau">
    <w:name w:val="Table Grid"/>
    <w:basedOn w:val="TableauNormal"/>
    <w:rsid w:val="00EE22F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E22F9"/>
    <w:rPr>
      <w:color w:val="0000FF"/>
      <w:u w:val="none"/>
    </w:rPr>
  </w:style>
  <w:style w:type="character" w:styleId="Lienhypertextesuivivisit">
    <w:name w:val="FollowedHyperlink"/>
    <w:basedOn w:val="Policepardfaut"/>
    <w:unhideWhenUsed/>
    <w:rsid w:val="00EE22F9"/>
    <w:rPr>
      <w:color w:val="0000FF"/>
      <w:u w:val="none"/>
    </w:rPr>
  </w:style>
  <w:style w:type="paragraph" w:styleId="Notedebasdepage">
    <w:name w:val="footnote text"/>
    <w:aliases w:val="5_G"/>
    <w:basedOn w:val="Normal"/>
    <w:link w:val="NotedebasdepageCar"/>
    <w:qFormat/>
    <w:rsid w:val="00EE22F9"/>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E22F9"/>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E22F9"/>
  </w:style>
  <w:style w:type="character" w:customStyle="1" w:styleId="NotedefinCar">
    <w:name w:val="Note de fin Car"/>
    <w:aliases w:val="2_G Car"/>
    <w:basedOn w:val="Policepardfaut"/>
    <w:link w:val="Notedefin"/>
    <w:rsid w:val="00EE22F9"/>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E22F9"/>
    <w:rPr>
      <w:rFonts w:ascii="Times New Roman" w:hAnsi="Times New Roman"/>
      <w:b/>
      <w:sz w:val="18"/>
      <w:lang w:val="fr-CH"/>
    </w:rPr>
  </w:style>
  <w:style w:type="character" w:customStyle="1" w:styleId="Titre1Car">
    <w:name w:val="Titre 1 Car"/>
    <w:aliases w:val="Table_G Car"/>
    <w:basedOn w:val="Policepardfaut"/>
    <w:link w:val="Titre1"/>
    <w:rsid w:val="00EE22F9"/>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44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42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ECE_MP.dotm</Template>
  <TotalTime>1</TotalTime>
  <Pages>3</Pages>
  <Words>1218</Words>
  <Characters>6362</Characters>
  <Application>Microsoft Office Word</Application>
  <DocSecurity>0</DocSecurity>
  <Lines>115</Lines>
  <Paragraphs>45</Paragraphs>
  <ScaleCrop>false</ScaleCrop>
  <HeadingPairs>
    <vt:vector size="2" baseType="variant">
      <vt:variant>
        <vt:lpstr>Titre</vt:lpstr>
      </vt:variant>
      <vt:variant>
        <vt:i4>1</vt:i4>
      </vt:variant>
    </vt:vector>
  </HeadingPairs>
  <TitlesOfParts>
    <vt:vector size="1" baseType="lpstr">
      <vt:lpstr>ECE/MP.PP/2021/28</vt:lpstr>
    </vt:vector>
  </TitlesOfParts>
  <Company>DCM</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ECE/MP.PP/2021/28</dc:title>
  <dc:subject/>
  <dc:creator>Sandrine CLERE</dc:creator>
  <cp:keywords/>
  <cp:lastModifiedBy>Sandrine Clere</cp:lastModifiedBy>
  <cp:revision>2</cp:revision>
  <cp:lastPrinted>2014-05-14T10:59:00Z</cp:lastPrinted>
  <dcterms:created xsi:type="dcterms:W3CDTF">2021-10-07T10:27:00Z</dcterms:created>
  <dcterms:modified xsi:type="dcterms:W3CDTF">2021-10-07T10:27:00Z</dcterms:modified>
</cp:coreProperties>
</file>