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14:paraId="6478D4DA" w14:textId="77777777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168A03" w14:textId="77777777" w:rsidR="00A14420" w:rsidRPr="00DB58B5" w:rsidRDefault="00A14420" w:rsidP="0090342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B952C3" w14:textId="77777777"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A8A2C2" w14:textId="024F30EE" w:rsidR="00A14420" w:rsidRPr="00DB58B5" w:rsidRDefault="00903420" w:rsidP="00903420">
            <w:pPr>
              <w:jc w:val="right"/>
            </w:pPr>
            <w:r w:rsidRPr="00903420">
              <w:rPr>
                <w:sz w:val="40"/>
              </w:rPr>
              <w:t>ECE</w:t>
            </w:r>
            <w:r>
              <w:t>/MP.PP/2021/24</w:t>
            </w:r>
          </w:p>
        </w:tc>
      </w:tr>
      <w:tr w:rsidR="00A14420" w:rsidRPr="00DB58B5" w14:paraId="4F3C0390" w14:textId="77777777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8A8A03" w14:textId="77777777"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7051C89" wp14:editId="4A24A8E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DD4E42" w14:textId="77777777"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1A076A" w14:textId="77777777" w:rsidR="00A14420" w:rsidRDefault="00903420" w:rsidP="00DF5712">
            <w:pPr>
              <w:spacing w:before="240"/>
            </w:pPr>
            <w:r>
              <w:t>Distr. générale</w:t>
            </w:r>
          </w:p>
          <w:p w14:paraId="57588623" w14:textId="77777777" w:rsidR="00903420" w:rsidRDefault="00903420" w:rsidP="00903420">
            <w:pPr>
              <w:spacing w:line="240" w:lineRule="exact"/>
            </w:pPr>
            <w:r>
              <w:t>9 août 2021</w:t>
            </w:r>
          </w:p>
          <w:p w14:paraId="040C782D" w14:textId="77777777" w:rsidR="00903420" w:rsidRDefault="00903420" w:rsidP="00903420">
            <w:pPr>
              <w:spacing w:line="240" w:lineRule="exact"/>
            </w:pPr>
            <w:r>
              <w:t>Français</w:t>
            </w:r>
          </w:p>
          <w:p w14:paraId="68102A84" w14:textId="3E7314AE" w:rsidR="00903420" w:rsidRPr="00DB58B5" w:rsidRDefault="00903420" w:rsidP="00903420">
            <w:pPr>
              <w:spacing w:line="240" w:lineRule="exact"/>
            </w:pPr>
            <w:r>
              <w:t>Original : anglais</w:t>
            </w:r>
          </w:p>
        </w:tc>
      </w:tr>
    </w:tbl>
    <w:p w14:paraId="4C617D95" w14:textId="77777777"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941AA2E" w14:textId="77777777" w:rsidR="00903420" w:rsidRPr="00750247" w:rsidRDefault="00903420" w:rsidP="00C554CE">
      <w:pPr>
        <w:spacing w:before="120"/>
        <w:rPr>
          <w:sz w:val="28"/>
          <w:szCs w:val="28"/>
        </w:rPr>
      </w:pPr>
      <w:r w:rsidRPr="00750247">
        <w:rPr>
          <w:sz w:val="28"/>
          <w:szCs w:val="28"/>
        </w:rPr>
        <w:t>Réunion des Parties à la Convention sur l’accès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à l’information,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la participation du public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au processus décisionnel</w:t>
      </w:r>
      <w:r>
        <w:rPr>
          <w:sz w:val="28"/>
          <w:szCs w:val="28"/>
        </w:rPr>
        <w:t xml:space="preserve"> </w:t>
      </w:r>
      <w:r w:rsidRPr="00750247">
        <w:rPr>
          <w:sz w:val="28"/>
          <w:szCs w:val="28"/>
        </w:rPr>
        <w:t>et l’accès à la justice</w:t>
      </w:r>
      <w:r>
        <w:rPr>
          <w:sz w:val="28"/>
          <w:szCs w:val="28"/>
        </w:rPr>
        <w:br/>
      </w:r>
      <w:r w:rsidRPr="00750247">
        <w:rPr>
          <w:sz w:val="28"/>
          <w:szCs w:val="28"/>
        </w:rPr>
        <w:t>en matière d’environnement</w:t>
      </w:r>
    </w:p>
    <w:p w14:paraId="5206235B" w14:textId="77777777" w:rsidR="00903420" w:rsidRPr="00EF785B" w:rsidRDefault="00903420" w:rsidP="00903420">
      <w:pPr>
        <w:tabs>
          <w:tab w:val="left" w:pos="1134"/>
        </w:tabs>
        <w:spacing w:before="120"/>
        <w:ind w:right="1133"/>
        <w:rPr>
          <w:b/>
          <w:lang w:val="fr-FR"/>
        </w:rPr>
      </w:pPr>
      <w:r>
        <w:rPr>
          <w:b/>
          <w:bCs/>
          <w:lang w:val="fr-FR"/>
        </w:rPr>
        <w:t>Septième session</w:t>
      </w:r>
    </w:p>
    <w:p w14:paraId="50873DA3" w14:textId="77777777" w:rsidR="00903420" w:rsidRPr="00EF785B" w:rsidRDefault="00903420" w:rsidP="00903420">
      <w:pPr>
        <w:ind w:right="1134"/>
        <w:rPr>
          <w:lang w:val="fr-FR"/>
        </w:rPr>
      </w:pPr>
      <w:r>
        <w:rPr>
          <w:lang w:val="fr-FR"/>
        </w:rPr>
        <w:t>Genève, 18-20 octobre 2021</w:t>
      </w:r>
    </w:p>
    <w:p w14:paraId="6F547F69" w14:textId="77777777" w:rsidR="00903420" w:rsidRPr="00EF785B" w:rsidRDefault="00903420" w:rsidP="00903420">
      <w:pPr>
        <w:ind w:right="1133"/>
        <w:rPr>
          <w:lang w:val="fr-FR"/>
        </w:rPr>
      </w:pPr>
      <w:r>
        <w:rPr>
          <w:lang w:val="fr-FR"/>
        </w:rPr>
        <w:t>Point 7 b) de l’ordre du jour provisoire</w:t>
      </w:r>
    </w:p>
    <w:p w14:paraId="17A8E040" w14:textId="728922B5" w:rsidR="00903420" w:rsidRPr="00EF785B" w:rsidRDefault="00903420" w:rsidP="00903420">
      <w:pPr>
        <w:rPr>
          <w:b/>
          <w:bCs/>
          <w:lang w:val="fr-FR"/>
        </w:rPr>
      </w:pPr>
      <w:r>
        <w:rPr>
          <w:b/>
          <w:bCs/>
          <w:lang w:val="fr-FR"/>
        </w:rPr>
        <w:t>Procédures et mécanismes facilitant l’application de la Convention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mécanisme d’examen du respect des dispositions</w:t>
      </w:r>
    </w:p>
    <w:p w14:paraId="44AFA987" w14:textId="1205764A" w:rsidR="00903420" w:rsidRPr="00EF785B" w:rsidRDefault="00903420" w:rsidP="0090342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Projet de décision VII/8a sur le respect par l’Arménie </w:t>
      </w:r>
      <w:r>
        <w:rPr>
          <w:lang w:val="fr-FR"/>
        </w:rPr>
        <w:br/>
      </w:r>
      <w:r>
        <w:rPr>
          <w:lang w:val="fr-FR"/>
        </w:rPr>
        <w:t>des obligations que lui impose la Convention</w:t>
      </w:r>
    </w:p>
    <w:p w14:paraId="22077550" w14:textId="77777777" w:rsidR="00903420" w:rsidRPr="00EF785B" w:rsidRDefault="00903420" w:rsidP="00903420">
      <w:pPr>
        <w:pStyle w:val="H1G"/>
        <w:rPr>
          <w:i/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Document établi par le Bureau </w:t>
      </w:r>
    </w:p>
    <w:p w14:paraId="132C4CAA" w14:textId="09BF8CAA" w:rsidR="00903420" w:rsidRPr="00EF785B" w:rsidRDefault="00903420" w:rsidP="00903420">
      <w:pPr>
        <w:pStyle w:val="SingleTxtG"/>
        <w:ind w:firstLine="567"/>
        <w:rPr>
          <w:i/>
          <w:lang w:val="fr-FR"/>
        </w:rPr>
      </w:pPr>
      <w:r>
        <w:rPr>
          <w:i/>
          <w:iCs/>
          <w:lang w:val="fr-FR"/>
        </w:rPr>
        <w:t>La Réunion des Parties,</w:t>
      </w:r>
      <w:r>
        <w:rPr>
          <w:lang w:val="fr-FR"/>
        </w:rPr>
        <w:t xml:space="preserve"> </w:t>
      </w:r>
    </w:p>
    <w:p w14:paraId="2585DDFE" w14:textId="43575E0A" w:rsidR="00903420" w:rsidRPr="00EF785B" w:rsidRDefault="00903420" w:rsidP="00903420">
      <w:pPr>
        <w:pStyle w:val="SingleTxtG"/>
        <w:ind w:firstLine="567"/>
        <w:rPr>
          <w:lang w:val="fr-FR"/>
        </w:rPr>
      </w:pPr>
      <w:r w:rsidRPr="00EF785B">
        <w:rPr>
          <w:i/>
          <w:iCs/>
          <w:lang w:val="fr-FR"/>
        </w:rPr>
        <w:t>Agissant</w:t>
      </w:r>
      <w:r>
        <w:rPr>
          <w:lang w:val="fr-FR"/>
        </w:rPr>
        <w:t xml:space="preserve"> en vertu du paragraphe 37 de l’annexe à sa décision I/7 sur l’examen du respect des dispositions</w:t>
      </w:r>
      <w:r w:rsidRPr="00903420">
        <w:rPr>
          <w:rStyle w:val="Appelnotedebasdep"/>
        </w:rPr>
        <w:footnoteReference w:id="2"/>
      </w:r>
      <w:r>
        <w:rPr>
          <w:lang w:val="fr-FR"/>
        </w:rPr>
        <w:t xml:space="preserve">, </w:t>
      </w:r>
    </w:p>
    <w:p w14:paraId="1BA210A6" w14:textId="7CA0E3FD" w:rsidR="00903420" w:rsidRPr="00EF785B" w:rsidRDefault="00903420" w:rsidP="00903420">
      <w:pPr>
        <w:pStyle w:val="SingleTxtG"/>
        <w:ind w:firstLine="567"/>
        <w:rPr>
          <w:lang w:val="fr-FR"/>
        </w:rPr>
      </w:pPr>
      <w:r w:rsidRPr="00EF785B">
        <w:rPr>
          <w:i/>
          <w:iCs/>
          <w:lang w:val="fr-FR"/>
        </w:rPr>
        <w:t>Ayant à l</w:t>
      </w:r>
      <w:r>
        <w:rPr>
          <w:i/>
          <w:iCs/>
          <w:lang w:val="fr-FR"/>
        </w:rPr>
        <w:t>’</w:t>
      </w:r>
      <w:r w:rsidRPr="00EF785B">
        <w:rPr>
          <w:i/>
          <w:iCs/>
          <w:lang w:val="fr-FR"/>
        </w:rPr>
        <w:t>esprit</w:t>
      </w:r>
      <w:r>
        <w:rPr>
          <w:lang w:val="fr-FR"/>
        </w:rPr>
        <w:t xml:space="preserve"> les conclusions et recommandations énoncées dans sa décision</w:t>
      </w:r>
      <w:r>
        <w:rPr>
          <w:lang w:val="fr-FR"/>
        </w:rPr>
        <w:t> </w:t>
      </w:r>
      <w:r>
        <w:rPr>
          <w:lang w:val="fr-FR"/>
        </w:rPr>
        <w:t>VI/8a concernant le respect par l’Arménie des dispositions de la Convention</w:t>
      </w:r>
      <w:r>
        <w:rPr>
          <w:rStyle w:val="Appelnotedebasdep"/>
          <w:lang w:val="fr-FR"/>
        </w:rPr>
        <w:footnoteReference w:id="3"/>
      </w:r>
      <w:r>
        <w:rPr>
          <w:lang w:val="fr-FR"/>
        </w:rPr>
        <w:t>,</w:t>
      </w:r>
    </w:p>
    <w:p w14:paraId="33656CB3" w14:textId="17DC61CE" w:rsidR="00903420" w:rsidRPr="00EF785B" w:rsidRDefault="00903420" w:rsidP="00903420">
      <w:pPr>
        <w:pStyle w:val="SingleTxtG"/>
        <w:ind w:firstLine="567"/>
        <w:rPr>
          <w:lang w:val="fr-FR"/>
        </w:rPr>
      </w:pPr>
      <w:r w:rsidRPr="00EF785B">
        <w:rPr>
          <w:i/>
          <w:iCs/>
          <w:lang w:val="fr-FR"/>
        </w:rPr>
        <w:t>Prenant note</w:t>
      </w:r>
      <w:r>
        <w:rPr>
          <w:lang w:val="fr-FR"/>
        </w:rPr>
        <w:t xml:space="preserve"> du rapport du Comité d’examen du respect des dispositions créé en vertu de la Convention sur l’accès à l’information, la participation du public au processus décisionnel et l’accès à la justice en matière d’environnement, relatif à l’application de la décision</w:t>
      </w:r>
      <w:r>
        <w:rPr>
          <w:lang w:val="fr-FR"/>
        </w:rPr>
        <w:t> </w:t>
      </w:r>
      <w:r>
        <w:rPr>
          <w:lang w:val="fr-FR"/>
        </w:rPr>
        <w:t>VI/8a sur le respect par l’Arménie des obligations que lui impose la Convention</w:t>
      </w:r>
      <w:r>
        <w:rPr>
          <w:rStyle w:val="Appelnotedebasdep"/>
          <w:lang w:val="fr-FR"/>
        </w:rPr>
        <w:footnoteReference w:id="4"/>
      </w:r>
      <w:r>
        <w:rPr>
          <w:lang w:val="fr-FR"/>
        </w:rPr>
        <w:t xml:space="preserve">, </w:t>
      </w:r>
    </w:p>
    <w:p w14:paraId="5507D1F0" w14:textId="3E45D3D5" w:rsidR="00903420" w:rsidRPr="00EF785B" w:rsidRDefault="00903420" w:rsidP="00903420">
      <w:pPr>
        <w:pStyle w:val="SingleTxtG"/>
        <w:ind w:firstLine="567"/>
        <w:rPr>
          <w:lang w:val="fr-FR"/>
        </w:rPr>
      </w:pPr>
      <w:r w:rsidRPr="00EF785B">
        <w:rPr>
          <w:i/>
          <w:iCs/>
          <w:lang w:val="fr-FR"/>
        </w:rPr>
        <w:t>Encouragée</w:t>
      </w:r>
      <w:r>
        <w:rPr>
          <w:lang w:val="fr-FR"/>
        </w:rPr>
        <w:t xml:space="preserve"> par la volonté de l’Arménie d’examiner de façon constructive avec le Comité les points relatifs au respect des dispositions en question, </w:t>
      </w:r>
    </w:p>
    <w:p w14:paraId="280DC5E5" w14:textId="3429206D" w:rsidR="00903420" w:rsidRPr="00EF785B" w:rsidRDefault="00903420" w:rsidP="00903420">
      <w:pPr>
        <w:pStyle w:val="SingleTxtG"/>
        <w:tabs>
          <w:tab w:val="clear" w:pos="1701"/>
          <w:tab w:val="left" w:pos="1710"/>
        </w:tabs>
        <w:ind w:firstLine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EF785B">
        <w:rPr>
          <w:i/>
          <w:iCs/>
          <w:lang w:val="fr-FR"/>
        </w:rPr>
        <w:t>Fait sienne</w:t>
      </w:r>
      <w:r>
        <w:rPr>
          <w:i/>
          <w:iCs/>
          <w:lang w:val="fr-FR"/>
        </w:rPr>
        <w:t>s</w:t>
      </w:r>
      <w:r>
        <w:rPr>
          <w:lang w:val="fr-FR"/>
        </w:rPr>
        <w:t xml:space="preserve"> les conclusions du Comité selon lesquelles la Partie concernée n’a pas encore satisfait aux prescriptions figurant au paragraphe 3 (al. a), b), c) et d)) de la décision</w:t>
      </w:r>
      <w:r>
        <w:rPr>
          <w:lang w:val="fr-FR"/>
        </w:rPr>
        <w:t> </w:t>
      </w:r>
      <w:r>
        <w:rPr>
          <w:lang w:val="fr-FR"/>
        </w:rPr>
        <w:t>VI/8a</w:t>
      </w:r>
      <w:r>
        <w:rPr>
          <w:lang w:val="fr-FR"/>
        </w:rPr>
        <w:t> </w:t>
      </w:r>
      <w:r>
        <w:rPr>
          <w:lang w:val="fr-FR"/>
        </w:rPr>
        <w:t>;</w:t>
      </w:r>
    </w:p>
    <w:p w14:paraId="336DB6A3" w14:textId="7B39E63E" w:rsidR="00903420" w:rsidRPr="00903420" w:rsidRDefault="00903420" w:rsidP="00903420">
      <w:pPr>
        <w:pStyle w:val="SingleTxtG"/>
        <w:tabs>
          <w:tab w:val="clear" w:pos="1701"/>
          <w:tab w:val="left" w:pos="1710"/>
        </w:tabs>
        <w:ind w:firstLine="567"/>
        <w:rPr>
          <w:spacing w:val="-4"/>
          <w:lang w:val="fr-FR"/>
        </w:rPr>
      </w:pPr>
      <w:r w:rsidRPr="00903420">
        <w:rPr>
          <w:spacing w:val="-4"/>
          <w:lang w:val="fr-FR"/>
        </w:rPr>
        <w:t>2.</w:t>
      </w:r>
      <w:r w:rsidRPr="00903420">
        <w:rPr>
          <w:spacing w:val="-4"/>
          <w:lang w:val="fr-FR"/>
        </w:rPr>
        <w:tab/>
      </w:r>
      <w:r w:rsidRPr="00903420">
        <w:rPr>
          <w:i/>
          <w:iCs/>
          <w:spacing w:val="-4"/>
          <w:lang w:val="fr-FR"/>
        </w:rPr>
        <w:t>Réaffirme</w:t>
      </w:r>
      <w:r w:rsidRPr="00903420">
        <w:rPr>
          <w:spacing w:val="-4"/>
          <w:lang w:val="fr-FR"/>
        </w:rPr>
        <w:t xml:space="preserve"> la décision VI/8a et demande à la Partie concernée de prendre d’urgence les mesures législatives, réglementaires et administratives nécessaires pour faire en sorte</w:t>
      </w:r>
      <w:r w:rsidRPr="00903420">
        <w:rPr>
          <w:spacing w:val="-4"/>
          <w:lang w:val="fr-FR"/>
        </w:rPr>
        <w:t> </w:t>
      </w:r>
      <w:r w:rsidRPr="00903420">
        <w:rPr>
          <w:spacing w:val="-4"/>
          <w:lang w:val="fr-FR"/>
        </w:rPr>
        <w:t>:</w:t>
      </w:r>
    </w:p>
    <w:p w14:paraId="130459E5" w14:textId="77777777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Que les seuils applicables aux activités faisant l’objet d’une procédure d’évaluation de l’impact sur l’environnement, y compris la participation du public, soient fixés de manière claire ; </w:t>
      </w:r>
    </w:p>
    <w:p w14:paraId="28F94F07" w14:textId="77777777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  <w:t xml:space="preserve">Que des délais raisonnables, beaucoup plus longs que ceux actuellement prévus, soient fixés pour que le public puisse consulter la documentation relative au projet et formuler des observations ; </w:t>
      </w:r>
    </w:p>
    <w:p w14:paraId="7F599927" w14:textId="0B568BF6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Que sa législation, notamment la loi relative aux organisations non gouvernementales et aux procédures administratives, soit conforme à</w:t>
      </w:r>
      <w:r w:rsidRPr="00811A56">
        <w:rPr>
          <w:lang w:val="fr-FR"/>
        </w:rPr>
        <w:t xml:space="preserve"> l</w:t>
      </w:r>
      <w:r>
        <w:rPr>
          <w:lang w:val="fr-FR"/>
        </w:rPr>
        <w:t>’article 9 (par. 2) d</w:t>
      </w:r>
      <w:r w:rsidRPr="00811A56">
        <w:rPr>
          <w:lang w:val="fr-FR"/>
        </w:rPr>
        <w:t>e</w:t>
      </w:r>
      <w:r>
        <w:rPr>
          <w:lang w:val="fr-FR"/>
        </w:rPr>
        <w:t xml:space="preserve"> la Convention en ce qui concerne la qualité pour agir</w:t>
      </w:r>
      <w:r>
        <w:rPr>
          <w:lang w:val="fr-FR"/>
        </w:rPr>
        <w:t> </w:t>
      </w:r>
      <w:r>
        <w:rPr>
          <w:lang w:val="fr-FR"/>
        </w:rPr>
        <w:t xml:space="preserve">; </w:t>
      </w:r>
    </w:p>
    <w:p w14:paraId="2B5576AA" w14:textId="77777777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 xml:space="preserve">Qu’elle poursuive ses efforts visant à sensibiliser le pouvoir judiciaire à la nécessité de promouvoir l’application de la législation nationale conformément à la Convention ; </w:t>
      </w:r>
    </w:p>
    <w:p w14:paraId="08B6173A" w14:textId="57B927CC" w:rsidR="00903420" w:rsidRPr="00EF785B" w:rsidRDefault="00903420" w:rsidP="00903420">
      <w:pPr>
        <w:pStyle w:val="SingleTxtG"/>
        <w:ind w:firstLine="567"/>
        <w:rPr>
          <w:iCs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763CDB">
        <w:rPr>
          <w:i/>
          <w:iCs/>
          <w:lang w:val="fr-FR"/>
        </w:rPr>
        <w:t>Prie</w:t>
      </w:r>
      <w:r w:rsidRPr="00811A56">
        <w:rPr>
          <w:lang w:val="fr-FR"/>
        </w:rPr>
        <w:t xml:space="preserve"> tous les mi</w:t>
      </w:r>
      <w:r>
        <w:rPr>
          <w:lang w:val="fr-FR"/>
        </w:rPr>
        <w:t>nistères compétents de la Partie concernée, y compris le Ministère de la justice, de collaborer en vue d’appliquer les recommandations susmentionnées, en particulier celle formulée à l’alinéa c) ci-dessus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4CA5B9C7" w14:textId="162F0386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763CDB">
        <w:rPr>
          <w:i/>
          <w:iCs/>
          <w:lang w:val="fr-FR"/>
        </w:rPr>
        <w:t>Demande</w:t>
      </w:r>
      <w:r w:rsidRPr="00811A56">
        <w:rPr>
          <w:lang w:val="fr-FR"/>
        </w:rPr>
        <w:t xml:space="preserve"> à la Par</w:t>
      </w:r>
      <w:r>
        <w:rPr>
          <w:lang w:val="fr-FR"/>
        </w:rPr>
        <w:t>tie concernée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CD4D97E" w14:textId="0434F75E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De soumettre au Comité un plan d’action, assorti d’un calendrier, pour l’application des recommandations faites au paragraphe 2 (al. a), b), c) et d)), l</w:t>
      </w:r>
      <w:r w:rsidRPr="00811A56">
        <w:rPr>
          <w:lang w:val="fr-FR"/>
        </w:rPr>
        <w:t>e</w:t>
      </w:r>
      <w:r>
        <w:rPr>
          <w:lang w:val="fr-FR"/>
        </w:rPr>
        <w:t xml:space="preserve"> 1</w:t>
      </w:r>
      <w:r w:rsidRPr="00903420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>juillet 2022 au plus tard</w:t>
      </w:r>
      <w:r>
        <w:rPr>
          <w:lang w:val="fr-FR"/>
        </w:rPr>
        <w:t> </w:t>
      </w:r>
      <w:r>
        <w:rPr>
          <w:lang w:val="fr-FR"/>
        </w:rPr>
        <w:t>;</w:t>
      </w:r>
    </w:p>
    <w:p w14:paraId="5CA87437" w14:textId="3A804532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De fournir au Comité, au plus tard les 1</w:t>
      </w:r>
      <w:r w:rsidRPr="00903420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 xml:space="preserve">octobre 2023 et 2024, des rapports d’étape détaillés sur les mesures qui auront été </w:t>
      </w:r>
      <w:r w:rsidRPr="00811A56">
        <w:rPr>
          <w:lang w:val="fr-FR"/>
        </w:rPr>
        <w:t>pr</w:t>
      </w:r>
      <w:r>
        <w:rPr>
          <w:lang w:val="fr-FR"/>
        </w:rPr>
        <w:t>ises aux fins de l’application du plan d’action et des recommandations susmentionnées et sur les résultats obtenus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457F39B9" w14:textId="1236A7E7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De fournir tout autre renseignement que pourrait lui demander le Comité pour l’aider à examiner les progrès q</w:t>
      </w:r>
      <w:r w:rsidRPr="00811A56">
        <w:rPr>
          <w:lang w:val="fr-FR"/>
        </w:rPr>
        <w:t>u</w:t>
      </w:r>
      <w:r>
        <w:rPr>
          <w:lang w:val="fr-FR"/>
        </w:rPr>
        <w:t>’elle aura accomplis dans l’application des recommandations susmentionnées</w:t>
      </w:r>
      <w:r>
        <w:rPr>
          <w:lang w:val="fr-FR"/>
        </w:rPr>
        <w:t> </w:t>
      </w:r>
      <w:r>
        <w:rPr>
          <w:lang w:val="fr-FR"/>
        </w:rPr>
        <w:t xml:space="preserve">; </w:t>
      </w:r>
    </w:p>
    <w:p w14:paraId="3CD63C95" w14:textId="4097BF96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De participer (en personne ou virtuellement) aux réunions du Comité au cours desquelles les progrès qu’elle aura a</w:t>
      </w:r>
      <w:r w:rsidRPr="00811A56">
        <w:rPr>
          <w:lang w:val="fr-FR"/>
        </w:rPr>
        <w:t>c</w:t>
      </w:r>
      <w:r>
        <w:rPr>
          <w:lang w:val="fr-FR"/>
        </w:rPr>
        <w:t xml:space="preserve">complis </w:t>
      </w:r>
      <w:r w:rsidRPr="00811A56">
        <w:rPr>
          <w:lang w:val="fr-FR"/>
        </w:rPr>
        <w:t>d</w:t>
      </w:r>
      <w:r>
        <w:rPr>
          <w:lang w:val="fr-FR"/>
        </w:rPr>
        <w:t>ans l’application des recommandations susmentionnées seront examinés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01DEF9D2" w14:textId="4793A502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763CDB">
        <w:rPr>
          <w:i/>
          <w:iCs/>
          <w:lang w:val="fr-FR"/>
        </w:rPr>
        <w:t>Décide</w:t>
      </w:r>
      <w:r w:rsidRPr="00811A56">
        <w:rPr>
          <w:lang w:val="fr-FR"/>
        </w:rPr>
        <w:t xml:space="preserve"> d</w:t>
      </w:r>
      <w:r>
        <w:rPr>
          <w:lang w:val="fr-FR"/>
        </w:rPr>
        <w:t>’</w:t>
      </w:r>
      <w:r w:rsidRPr="00811A56">
        <w:rPr>
          <w:lang w:val="fr-FR"/>
        </w:rPr>
        <w:t>adresse</w:t>
      </w:r>
      <w:r>
        <w:rPr>
          <w:lang w:val="fr-FR"/>
        </w:rPr>
        <w:t>r à la Partie concernée une mise en garde qui prendra effet le 1</w:t>
      </w:r>
      <w:r w:rsidRPr="00903420">
        <w:rPr>
          <w:vertAlign w:val="superscript"/>
          <w:lang w:val="fr-FR"/>
        </w:rPr>
        <w:t>er</w:t>
      </w:r>
      <w:r>
        <w:rPr>
          <w:lang w:val="fr-FR"/>
        </w:rPr>
        <w:t> </w:t>
      </w:r>
      <w:r>
        <w:rPr>
          <w:lang w:val="fr-FR"/>
        </w:rPr>
        <w:t>janvier 2024, à moins que la Partie concernée n’ait pleinement satisfait aux conditions énoncées a</w:t>
      </w:r>
      <w:r w:rsidRPr="00811A56">
        <w:rPr>
          <w:lang w:val="fr-FR"/>
        </w:rPr>
        <w:t>u</w:t>
      </w:r>
      <w:r>
        <w:rPr>
          <w:lang w:val="fr-FR"/>
        </w:rPr>
        <w:t xml:space="preserve"> p</w:t>
      </w:r>
      <w:r w:rsidRPr="00811A56">
        <w:rPr>
          <w:lang w:val="fr-FR"/>
        </w:rPr>
        <w:t>a</w:t>
      </w:r>
      <w:r>
        <w:rPr>
          <w:lang w:val="fr-FR"/>
        </w:rPr>
        <w:t>ragraphe 2 (al. a), b) et c)) c</w:t>
      </w:r>
      <w:r w:rsidRPr="00811A56">
        <w:rPr>
          <w:lang w:val="fr-FR"/>
        </w:rPr>
        <w:t>i</w:t>
      </w:r>
      <w:r>
        <w:rPr>
          <w:lang w:val="fr-FR"/>
        </w:rPr>
        <w:t>-dessus et n’en ait informé le secrétariat avant le 1</w:t>
      </w:r>
      <w:r w:rsidRPr="00903420">
        <w:rPr>
          <w:vertAlign w:val="superscript"/>
          <w:lang w:val="fr-FR"/>
        </w:rPr>
        <w:t>er</w:t>
      </w:r>
      <w:r>
        <w:rPr>
          <w:lang w:val="fr-FR"/>
        </w:rPr>
        <w:t> </w:t>
      </w:r>
      <w:r>
        <w:rPr>
          <w:lang w:val="fr-FR"/>
        </w:rPr>
        <w:t>octobre 2023</w:t>
      </w:r>
      <w:r>
        <w:rPr>
          <w:lang w:val="fr-FR"/>
        </w:rPr>
        <w:t> </w:t>
      </w:r>
      <w:r>
        <w:rPr>
          <w:lang w:val="fr-FR"/>
        </w:rPr>
        <w:t>;</w:t>
      </w:r>
    </w:p>
    <w:p w14:paraId="6222B106" w14:textId="4DDA03EB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763CDB">
        <w:rPr>
          <w:i/>
          <w:iCs/>
          <w:lang w:val="fr-FR"/>
        </w:rPr>
        <w:t>Demande</w:t>
      </w:r>
      <w:r w:rsidRPr="00811A56">
        <w:rPr>
          <w:lang w:val="fr-FR"/>
        </w:rPr>
        <w:t xml:space="preserve"> au Comit</w:t>
      </w:r>
      <w:r>
        <w:rPr>
          <w:lang w:val="fr-FR"/>
        </w:rPr>
        <w:t>é d’établir si les conditions prévues a</w:t>
      </w:r>
      <w:r w:rsidRPr="00811A56">
        <w:rPr>
          <w:lang w:val="fr-FR"/>
        </w:rPr>
        <w:t>u</w:t>
      </w:r>
      <w:r>
        <w:rPr>
          <w:lang w:val="fr-FR"/>
        </w:rPr>
        <w:t xml:space="preserve"> p</w:t>
      </w:r>
      <w:r w:rsidRPr="00811A56">
        <w:rPr>
          <w:lang w:val="fr-FR"/>
        </w:rPr>
        <w:t>a</w:t>
      </w:r>
      <w:r>
        <w:rPr>
          <w:lang w:val="fr-FR"/>
        </w:rPr>
        <w:t>ragraphe 2 (al.</w:t>
      </w:r>
      <w:r>
        <w:rPr>
          <w:lang w:val="fr-FR"/>
        </w:rPr>
        <w:t> </w:t>
      </w:r>
      <w:r>
        <w:rPr>
          <w:lang w:val="fr-FR"/>
        </w:rPr>
        <w:t>a), b) et c)) c</w:t>
      </w:r>
      <w:r w:rsidRPr="00811A56">
        <w:rPr>
          <w:lang w:val="fr-FR"/>
        </w:rPr>
        <w:t>i</w:t>
      </w:r>
      <w:r>
        <w:rPr>
          <w:lang w:val="fr-FR"/>
        </w:rPr>
        <w:t>-dessus ont bien été satisfaites aux fins du paragraphe 5 ci-dessus</w:t>
      </w:r>
      <w:r>
        <w:rPr>
          <w:lang w:val="fr-FR"/>
        </w:rPr>
        <w:t> </w:t>
      </w:r>
      <w:r>
        <w:rPr>
          <w:lang w:val="fr-FR"/>
        </w:rPr>
        <w:t>;</w:t>
      </w:r>
    </w:p>
    <w:p w14:paraId="67EE14D0" w14:textId="77777777" w:rsidR="00903420" w:rsidRPr="00EF785B" w:rsidRDefault="00903420" w:rsidP="00903420">
      <w:pPr>
        <w:pStyle w:val="SingleTxtG"/>
        <w:ind w:firstLine="567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Pr="00763CDB">
        <w:rPr>
          <w:i/>
          <w:iCs/>
          <w:lang w:val="fr-FR"/>
        </w:rPr>
        <w:t>Décide</w:t>
      </w:r>
      <w:r w:rsidRPr="00811A56">
        <w:rPr>
          <w:lang w:val="fr-FR"/>
        </w:rPr>
        <w:t xml:space="preserve"> de faire </w:t>
      </w:r>
      <w:r>
        <w:rPr>
          <w:lang w:val="fr-FR"/>
        </w:rPr>
        <w:t>le point sur la situation à sa huitième session.</w:t>
      </w:r>
    </w:p>
    <w:p w14:paraId="33A1540B" w14:textId="77777777" w:rsidR="00903420" w:rsidRPr="00EF785B" w:rsidRDefault="00903420" w:rsidP="00903420">
      <w:pPr>
        <w:spacing w:before="240"/>
        <w:jc w:val="center"/>
        <w:rPr>
          <w:u w:val="single"/>
          <w:lang w:val="fr-FR"/>
        </w:rPr>
      </w:pPr>
      <w:r w:rsidRPr="00EF785B">
        <w:rPr>
          <w:u w:val="single"/>
          <w:lang w:val="fr-FR"/>
        </w:rPr>
        <w:tab/>
      </w:r>
      <w:r w:rsidRPr="00EF785B">
        <w:rPr>
          <w:u w:val="single"/>
          <w:lang w:val="fr-FR"/>
        </w:rPr>
        <w:tab/>
      </w:r>
      <w:r w:rsidRPr="00EF785B">
        <w:rPr>
          <w:u w:val="single"/>
          <w:lang w:val="fr-FR"/>
        </w:rPr>
        <w:tab/>
      </w:r>
    </w:p>
    <w:p w14:paraId="7C1BF041" w14:textId="77777777" w:rsidR="005F26E5" w:rsidRPr="00903420" w:rsidRDefault="005F26E5" w:rsidP="00903420">
      <w:pPr>
        <w:spacing w:before="120"/>
        <w:rPr>
          <w:lang w:val="fr-FR"/>
        </w:rPr>
      </w:pPr>
    </w:p>
    <w:sectPr w:rsidR="005F26E5" w:rsidRPr="00903420" w:rsidSect="009034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8674" w14:textId="77777777" w:rsidR="00026CD0" w:rsidRDefault="00026CD0" w:rsidP="00F95C08">
      <w:pPr>
        <w:spacing w:line="240" w:lineRule="auto"/>
      </w:pPr>
    </w:p>
  </w:endnote>
  <w:endnote w:type="continuationSeparator" w:id="0">
    <w:p w14:paraId="17A7FE43" w14:textId="77777777" w:rsidR="00026CD0" w:rsidRPr="00AC3823" w:rsidRDefault="00026CD0" w:rsidP="00AC3823">
      <w:pPr>
        <w:pStyle w:val="Pieddepage"/>
      </w:pPr>
    </w:p>
  </w:endnote>
  <w:endnote w:type="continuationNotice" w:id="1">
    <w:p w14:paraId="6D22E385" w14:textId="77777777" w:rsidR="00026CD0" w:rsidRDefault="00026C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7F935" w14:textId="10889229" w:rsidR="00903420" w:rsidRPr="00903420" w:rsidRDefault="00903420" w:rsidP="00903420">
    <w:pPr>
      <w:pStyle w:val="Pieddepage"/>
      <w:tabs>
        <w:tab w:val="right" w:pos="9638"/>
      </w:tabs>
    </w:pPr>
    <w:r w:rsidRPr="00903420">
      <w:rPr>
        <w:b/>
        <w:sz w:val="18"/>
      </w:rPr>
      <w:fldChar w:fldCharType="begin"/>
    </w:r>
    <w:r w:rsidRPr="00903420">
      <w:rPr>
        <w:b/>
        <w:sz w:val="18"/>
      </w:rPr>
      <w:instrText xml:space="preserve"> PAGE  \* MERGEFORMAT </w:instrText>
    </w:r>
    <w:r w:rsidRPr="00903420">
      <w:rPr>
        <w:b/>
        <w:sz w:val="18"/>
      </w:rPr>
      <w:fldChar w:fldCharType="separate"/>
    </w:r>
    <w:r w:rsidRPr="00903420">
      <w:rPr>
        <w:b/>
        <w:noProof/>
        <w:sz w:val="18"/>
      </w:rPr>
      <w:t>2</w:t>
    </w:r>
    <w:r w:rsidRPr="00903420">
      <w:rPr>
        <w:b/>
        <w:sz w:val="18"/>
      </w:rPr>
      <w:fldChar w:fldCharType="end"/>
    </w:r>
    <w:r>
      <w:rPr>
        <w:b/>
        <w:sz w:val="18"/>
      </w:rPr>
      <w:tab/>
    </w:r>
    <w:r>
      <w:t>GE.21-10868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9C3B" w14:textId="7227F772" w:rsidR="00903420" w:rsidRPr="00903420" w:rsidRDefault="00903420" w:rsidP="00903420">
    <w:pPr>
      <w:pStyle w:val="Pieddepage"/>
      <w:tabs>
        <w:tab w:val="right" w:pos="9638"/>
      </w:tabs>
      <w:rPr>
        <w:b/>
        <w:sz w:val="18"/>
      </w:rPr>
    </w:pPr>
    <w:r>
      <w:t>GE.21-10868</w:t>
    </w:r>
    <w:r>
      <w:tab/>
    </w:r>
    <w:r w:rsidRPr="00903420">
      <w:rPr>
        <w:b/>
        <w:sz w:val="18"/>
      </w:rPr>
      <w:fldChar w:fldCharType="begin"/>
    </w:r>
    <w:r w:rsidRPr="00903420">
      <w:rPr>
        <w:b/>
        <w:sz w:val="18"/>
      </w:rPr>
      <w:instrText xml:space="preserve"> PAGE  \* MERGEFORMAT </w:instrText>
    </w:r>
    <w:r w:rsidRPr="00903420">
      <w:rPr>
        <w:b/>
        <w:sz w:val="18"/>
      </w:rPr>
      <w:fldChar w:fldCharType="separate"/>
    </w:r>
    <w:r w:rsidRPr="00903420">
      <w:rPr>
        <w:b/>
        <w:noProof/>
        <w:sz w:val="18"/>
      </w:rPr>
      <w:t>3</w:t>
    </w:r>
    <w:r w:rsidRPr="009034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F8B1" w14:textId="2C91F7E4" w:rsidR="00A14420" w:rsidRPr="00903420" w:rsidRDefault="00903420" w:rsidP="00903420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EB2D6E3" wp14:editId="44E54CD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21-10868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563427A" wp14:editId="79A08E8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131021    131021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BC44" w14:textId="77777777" w:rsidR="00026CD0" w:rsidRPr="00AC3823" w:rsidRDefault="00026CD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9BE988" w14:textId="77777777" w:rsidR="00026CD0" w:rsidRPr="00AC3823" w:rsidRDefault="00026CD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E72A44" w14:textId="77777777" w:rsidR="00026CD0" w:rsidRPr="00AC3823" w:rsidRDefault="00026CD0">
      <w:pPr>
        <w:spacing w:line="240" w:lineRule="auto"/>
        <w:rPr>
          <w:sz w:val="2"/>
          <w:szCs w:val="2"/>
        </w:rPr>
      </w:pPr>
    </w:p>
  </w:footnote>
  <w:footnote w:id="2">
    <w:p w14:paraId="4F21F3BA" w14:textId="77777777" w:rsidR="00903420" w:rsidRPr="00903420" w:rsidRDefault="00903420" w:rsidP="00903420">
      <w:pPr>
        <w:pStyle w:val="Notedebasdepage"/>
        <w:widowControl w:val="0"/>
        <w:tabs>
          <w:tab w:val="clear" w:pos="1021"/>
          <w:tab w:val="right" w:pos="1020"/>
        </w:tabs>
        <w:rPr>
          <w:lang w:val="en-US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 w:rsidRPr="00EF785B">
        <w:rPr>
          <w:lang w:val="en-US"/>
        </w:rPr>
        <w:tab/>
        <w:t xml:space="preserve">ECE/MP.PP/2/Add.8. </w:t>
      </w:r>
    </w:p>
  </w:footnote>
  <w:footnote w:id="3">
    <w:p w14:paraId="648FF638" w14:textId="77777777" w:rsidR="00903420" w:rsidRPr="00903420" w:rsidRDefault="00903420" w:rsidP="00903420">
      <w:pPr>
        <w:pStyle w:val="Notedebasdepage"/>
        <w:widowControl w:val="0"/>
        <w:tabs>
          <w:tab w:val="clear" w:pos="1021"/>
          <w:tab w:val="right" w:pos="1020"/>
        </w:tabs>
        <w:rPr>
          <w:lang w:val="en-US"/>
        </w:rPr>
      </w:pPr>
      <w:r w:rsidRPr="00EF785B">
        <w:rPr>
          <w:lang w:val="en-US"/>
        </w:rPr>
        <w:tab/>
      </w:r>
      <w:r>
        <w:rPr>
          <w:rStyle w:val="Appelnotedebasdep"/>
          <w:lang w:val="fr-FR"/>
        </w:rPr>
        <w:footnoteRef/>
      </w:r>
      <w:r w:rsidRPr="00EF785B">
        <w:rPr>
          <w:lang w:val="en-US"/>
        </w:rPr>
        <w:tab/>
        <w:t xml:space="preserve">ECE/MP.PP/2017/2/Add.1. </w:t>
      </w:r>
    </w:p>
  </w:footnote>
  <w:footnote w:id="4">
    <w:p w14:paraId="01E59F69" w14:textId="77777777" w:rsidR="00903420" w:rsidRPr="00EF785B" w:rsidRDefault="00903420" w:rsidP="00903420">
      <w:pPr>
        <w:pStyle w:val="Notedebasdepage"/>
        <w:widowControl w:val="0"/>
        <w:tabs>
          <w:tab w:val="clear" w:pos="1021"/>
          <w:tab w:val="right" w:pos="1020"/>
        </w:tabs>
        <w:rPr>
          <w:lang w:val="fr-FR"/>
        </w:rPr>
      </w:pPr>
      <w:r w:rsidRPr="00EF785B">
        <w:rPr>
          <w:lang w:val="en-US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ECE/MP.PP/2021/46, à paraître.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D446" w14:textId="022ECC96" w:rsidR="00903420" w:rsidRPr="00903420" w:rsidRDefault="00903420">
    <w:pPr>
      <w:pStyle w:val="En-tte"/>
    </w:pPr>
    <w:fldSimple w:instr=" TITLE  \* MERGEFORMAT ">
      <w:r>
        <w:t>ECE/MP.PP/2021/24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D51D" w14:textId="71E9E859" w:rsidR="00903420" w:rsidRPr="00903420" w:rsidRDefault="00903420" w:rsidP="00903420">
    <w:pPr>
      <w:pStyle w:val="En-tte"/>
      <w:jc w:val="right"/>
    </w:pPr>
    <w:fldSimple w:instr=" TITLE  \* MERGEFORMAT ">
      <w:r>
        <w:t>ECE/MP.PP/2021/24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D0"/>
    <w:rsid w:val="00017F94"/>
    <w:rsid w:val="00023842"/>
    <w:rsid w:val="00026CD0"/>
    <w:rsid w:val="00031189"/>
    <w:rsid w:val="000334F9"/>
    <w:rsid w:val="0007796D"/>
    <w:rsid w:val="000B7790"/>
    <w:rsid w:val="00111F2F"/>
    <w:rsid w:val="0014365E"/>
    <w:rsid w:val="00176178"/>
    <w:rsid w:val="001F525A"/>
    <w:rsid w:val="00223272"/>
    <w:rsid w:val="0024779E"/>
    <w:rsid w:val="002832AC"/>
    <w:rsid w:val="002B40F9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5D6D16"/>
    <w:rsid w:val="005F26E5"/>
    <w:rsid w:val="006C0E3B"/>
    <w:rsid w:val="0071601D"/>
    <w:rsid w:val="007A5FC4"/>
    <w:rsid w:val="007A62E6"/>
    <w:rsid w:val="0080684C"/>
    <w:rsid w:val="00871C75"/>
    <w:rsid w:val="008776DC"/>
    <w:rsid w:val="008D6B3F"/>
    <w:rsid w:val="00903420"/>
    <w:rsid w:val="0090540F"/>
    <w:rsid w:val="009705C8"/>
    <w:rsid w:val="009C1CF4"/>
    <w:rsid w:val="00A14420"/>
    <w:rsid w:val="00A30353"/>
    <w:rsid w:val="00AC3823"/>
    <w:rsid w:val="00AE323C"/>
    <w:rsid w:val="00B00181"/>
    <w:rsid w:val="00B00B0D"/>
    <w:rsid w:val="00B61815"/>
    <w:rsid w:val="00B765F7"/>
    <w:rsid w:val="00BA0CA9"/>
    <w:rsid w:val="00C02897"/>
    <w:rsid w:val="00C554CE"/>
    <w:rsid w:val="00CE26D2"/>
    <w:rsid w:val="00D3439C"/>
    <w:rsid w:val="00D3566E"/>
    <w:rsid w:val="00D503D3"/>
    <w:rsid w:val="00DB1831"/>
    <w:rsid w:val="00DD3BFD"/>
    <w:rsid w:val="00DF5712"/>
    <w:rsid w:val="00DF6678"/>
    <w:rsid w:val="00E96BD6"/>
    <w:rsid w:val="00ED5F56"/>
    <w:rsid w:val="00EE22F9"/>
    <w:rsid w:val="00EF2E22"/>
    <w:rsid w:val="00F274A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1AB996"/>
  <w15:docId w15:val="{1BC5CF6D-F37C-492B-BA09-BA959D8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EE22F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2</Pages>
  <Words>660</Words>
  <Characters>3559</Characters>
  <Application>Microsoft Office Word</Application>
  <DocSecurity>0</DocSecurity>
  <Lines>74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ECE/MP.PP/2021/24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2021-10-13T11:38:00Z</dcterms:created>
  <dcterms:modified xsi:type="dcterms:W3CDTF">2021-10-13T11:38:00Z</dcterms:modified>
</cp:coreProperties>
</file>