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D654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D3993F" w14:textId="77777777" w:rsidR="002D5AAC" w:rsidRDefault="002D5AAC" w:rsidP="00C567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AADC6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D739F0" w14:textId="72B9A58D" w:rsidR="002D5AAC" w:rsidRDefault="00C567F1" w:rsidP="00C567F1">
            <w:pPr>
              <w:jc w:val="right"/>
            </w:pPr>
            <w:r w:rsidRPr="00C567F1">
              <w:rPr>
                <w:sz w:val="40"/>
              </w:rPr>
              <w:t>ECE</w:t>
            </w:r>
            <w:r>
              <w:t>/MP.PP/2021/23</w:t>
            </w:r>
          </w:p>
        </w:tc>
      </w:tr>
      <w:tr w:rsidR="002D5AAC" w14:paraId="5B5DDA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7D21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4888BA" wp14:editId="40B233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73C75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D5CC4F" w14:textId="77777777" w:rsidR="002D5AAC" w:rsidRDefault="00C567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987CB7" w14:textId="77777777" w:rsidR="00C567F1" w:rsidRDefault="00C567F1" w:rsidP="00C5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2021</w:t>
            </w:r>
          </w:p>
          <w:p w14:paraId="5E9B1FA2" w14:textId="77777777" w:rsidR="00C567F1" w:rsidRDefault="00C567F1" w:rsidP="00C5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B22C64" w14:textId="6C458A1D" w:rsidR="00C567F1" w:rsidRPr="008D53B6" w:rsidRDefault="00C567F1" w:rsidP="00C5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939F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F0BC1E" w14:textId="57C5A7C2" w:rsidR="00C567F1" w:rsidRPr="00C567F1" w:rsidRDefault="00C567F1" w:rsidP="00C567F1">
      <w:pPr>
        <w:spacing w:before="120"/>
        <w:ind w:right="1133"/>
        <w:rPr>
          <w:sz w:val="28"/>
          <w:szCs w:val="28"/>
        </w:rPr>
      </w:pPr>
      <w:r w:rsidRPr="00C567F1">
        <w:rPr>
          <w:sz w:val="28"/>
          <w:szCs w:val="28"/>
        </w:rPr>
        <w:t xml:space="preserve">Конвенция о доступе к информации, </w:t>
      </w:r>
      <w:r>
        <w:rPr>
          <w:sz w:val="28"/>
          <w:szCs w:val="28"/>
        </w:rPr>
        <w:br/>
      </w:r>
      <w:r w:rsidRPr="00C567F1">
        <w:rPr>
          <w:sz w:val="28"/>
          <w:szCs w:val="28"/>
        </w:rPr>
        <w:t xml:space="preserve">участии общественности в процессе </w:t>
      </w:r>
      <w:r>
        <w:rPr>
          <w:sz w:val="28"/>
          <w:szCs w:val="28"/>
        </w:rPr>
        <w:br/>
      </w:r>
      <w:r w:rsidRPr="00C567F1">
        <w:rPr>
          <w:sz w:val="28"/>
          <w:szCs w:val="28"/>
        </w:rPr>
        <w:t xml:space="preserve">принятия решений и доступе к правосудию </w:t>
      </w:r>
      <w:r>
        <w:rPr>
          <w:sz w:val="28"/>
          <w:szCs w:val="28"/>
        </w:rPr>
        <w:br/>
      </w:r>
      <w:r w:rsidRPr="00C567F1">
        <w:rPr>
          <w:sz w:val="28"/>
          <w:szCs w:val="28"/>
        </w:rPr>
        <w:t>по вопросам, касающимся окружающей среды</w:t>
      </w:r>
    </w:p>
    <w:p w14:paraId="666D7F45" w14:textId="77777777" w:rsidR="00C567F1" w:rsidRPr="003048E7" w:rsidRDefault="00C567F1" w:rsidP="00C567F1">
      <w:pPr>
        <w:spacing w:before="120"/>
        <w:ind w:right="1133"/>
        <w:rPr>
          <w:b/>
        </w:rPr>
      </w:pPr>
      <w:r>
        <w:rPr>
          <w:b/>
          <w:bCs/>
        </w:rPr>
        <w:t>Седьмая сессия</w:t>
      </w:r>
    </w:p>
    <w:p w14:paraId="11B87900" w14:textId="77777777" w:rsidR="00C567F1" w:rsidRPr="003048E7" w:rsidRDefault="00C567F1" w:rsidP="00C567F1">
      <w:pPr>
        <w:ind w:right="1134"/>
      </w:pPr>
      <w:r>
        <w:t>Женева, 18–20 октября 2021 года</w:t>
      </w:r>
    </w:p>
    <w:p w14:paraId="6D069CEF" w14:textId="77777777" w:rsidR="00C567F1" w:rsidRPr="003048E7" w:rsidRDefault="00C567F1" w:rsidP="00C567F1">
      <w:pPr>
        <w:ind w:right="1133"/>
      </w:pPr>
      <w:r>
        <w:t>Пункт 7 b) предварительной повестки дня</w:t>
      </w:r>
    </w:p>
    <w:p w14:paraId="31BF75E9" w14:textId="54C19FC8" w:rsidR="00C567F1" w:rsidRPr="003048E7" w:rsidRDefault="00C567F1" w:rsidP="00C567F1">
      <w:r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>
        <w:rPr>
          <w:b/>
          <w:bCs/>
        </w:rPr>
        <w:t>осуществлению Конвенции: механизм соблюдения</w:t>
      </w:r>
    </w:p>
    <w:p w14:paraId="191B3381" w14:textId="77777777" w:rsidR="00C567F1" w:rsidRPr="00C567F1" w:rsidRDefault="00C567F1" w:rsidP="00C567F1">
      <w:pPr>
        <w:pStyle w:val="HChG"/>
        <w:rPr>
          <w:b w:val="0"/>
          <w:bCs/>
        </w:rPr>
      </w:pPr>
      <w:r>
        <w:tab/>
      </w:r>
      <w:r>
        <w:tab/>
        <w:t>Проект решения VII/8 по общим вопросам соблюдения</w:t>
      </w:r>
      <w:r w:rsidRPr="00C567F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39396C2" w14:textId="77777777" w:rsidR="00C567F1" w:rsidRPr="003048E7" w:rsidRDefault="00C567F1" w:rsidP="00C567F1">
      <w:pPr>
        <w:pStyle w:val="H1G"/>
        <w:rPr>
          <w:i/>
          <w:iCs/>
        </w:rPr>
      </w:pPr>
      <w:r>
        <w:tab/>
      </w:r>
      <w:r>
        <w:tab/>
      </w:r>
      <w:r>
        <w:rPr>
          <w:bCs/>
        </w:rPr>
        <w:t>Подготовлен Президиумом</w:t>
      </w:r>
      <w:r>
        <w:t xml:space="preserve"> </w:t>
      </w:r>
    </w:p>
    <w:p w14:paraId="100B617A" w14:textId="77777777" w:rsidR="00C567F1" w:rsidRPr="00C567F1" w:rsidRDefault="00C567F1" w:rsidP="00C567F1">
      <w:pPr>
        <w:pStyle w:val="SingleTxtG"/>
        <w:rPr>
          <w:i/>
          <w:iCs/>
        </w:rPr>
      </w:pPr>
      <w:r>
        <w:tab/>
      </w:r>
      <w:r w:rsidRPr="00C567F1">
        <w:rPr>
          <w:i/>
          <w:iCs/>
        </w:rPr>
        <w:t xml:space="preserve">Совещание Сторон, </w:t>
      </w:r>
    </w:p>
    <w:p w14:paraId="1FA7465C" w14:textId="1FE99623" w:rsidR="00C567F1" w:rsidRPr="00AF6E39" w:rsidRDefault="00C567F1" w:rsidP="00C567F1">
      <w:pPr>
        <w:pStyle w:val="SingleTxtG"/>
      </w:pPr>
      <w:r>
        <w:rPr>
          <w:i/>
          <w:iCs/>
        </w:rPr>
        <w:tab/>
      </w:r>
      <w:r>
        <w:rPr>
          <w:i/>
          <w:iCs/>
        </w:rPr>
        <w:t>учитывая</w:t>
      </w:r>
      <w:r>
        <w:t xml:space="preserve"> свое решение I/7 о рассмотрении соблюдения и, в частности, пункт</w:t>
      </w:r>
      <w:r>
        <w:rPr>
          <w:lang w:val="fr-CH"/>
        </w:rPr>
        <w:t> </w:t>
      </w:r>
      <w:r>
        <w:t>37 приложения к нему</w:t>
      </w:r>
      <w:r w:rsidRPr="000A2D7F">
        <w:rPr>
          <w:rStyle w:val="aa"/>
        </w:rPr>
        <w:footnoteReference w:id="2"/>
      </w:r>
      <w:r>
        <w:t xml:space="preserve">, </w:t>
      </w:r>
    </w:p>
    <w:p w14:paraId="6F43045F" w14:textId="5F31706A" w:rsidR="00C567F1" w:rsidRPr="003048E7" w:rsidRDefault="00C567F1" w:rsidP="00C567F1">
      <w:pPr>
        <w:pStyle w:val="SingleTxtG"/>
      </w:pPr>
      <w:r>
        <w:rPr>
          <w:i/>
          <w:iCs/>
        </w:rPr>
        <w:tab/>
      </w:r>
      <w:r>
        <w:rPr>
          <w:i/>
          <w:iCs/>
        </w:rPr>
        <w:t>учитывая</w:t>
      </w:r>
      <w:r>
        <w:t xml:space="preserve"> </w:t>
      </w:r>
      <w:r w:rsidRPr="000A2D7F">
        <w:rPr>
          <w:i/>
          <w:iCs/>
        </w:rPr>
        <w:t>также</w:t>
      </w:r>
      <w:r>
        <w:t xml:space="preserve"> решение VI/8 по общим вопросам соблюдения, решения VI/8a, VI/8b, VI/8c, VI/8d, VI/8e, VI/8g, VI/8h, VI/8i, VI/8j и VI/8k</w:t>
      </w:r>
      <w:r w:rsidRPr="000A2D7F">
        <w:rPr>
          <w:rStyle w:val="aa"/>
        </w:rPr>
        <w:footnoteReference w:id="3"/>
      </w:r>
      <w:r>
        <w:t xml:space="preserve"> и запросы ACCC/M/2017/2</w:t>
      </w:r>
      <w:r w:rsidRPr="000A2D7F">
        <w:rPr>
          <w:rStyle w:val="aa"/>
        </w:rPr>
        <w:footnoteReference w:id="4"/>
      </w:r>
      <w:r>
        <w:t xml:space="preserve"> и ACCC/M/2017/3</w:t>
      </w:r>
      <w:r w:rsidRPr="000A2D7F">
        <w:rPr>
          <w:rStyle w:val="aa"/>
        </w:rPr>
        <w:footnoteReference w:id="5"/>
      </w:r>
      <w:r>
        <w:t xml:space="preserve"> в отношении соблюдения отдельными Сторонами своих обязательств в соответствии с Конвенцией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</w:t>
      </w:r>
    </w:p>
    <w:p w14:paraId="790B9F41" w14:textId="06B27917" w:rsidR="00C567F1" w:rsidRPr="003048E7" w:rsidRDefault="00C567F1" w:rsidP="00C567F1">
      <w:pPr>
        <w:pStyle w:val="SingleTxtG"/>
      </w:pPr>
      <w:r>
        <w:rPr>
          <w:i/>
          <w:iCs/>
        </w:rPr>
        <w:tab/>
      </w:r>
      <w:r>
        <w:rPr>
          <w:i/>
          <w:iCs/>
        </w:rPr>
        <w:t>с удовлетворением отмечая</w:t>
      </w:r>
      <w:r>
        <w:t xml:space="preserve"> доклады Комитета седьмой сессии Совещания Сторон и принимая к сведению доклады Комитета о работе его совещаний в межсессионный период,</w:t>
      </w:r>
    </w:p>
    <w:p w14:paraId="4DE96C6F" w14:textId="07DC0E06" w:rsidR="00C567F1" w:rsidRPr="003048E7" w:rsidRDefault="00C567F1" w:rsidP="00C567F1">
      <w:pPr>
        <w:pStyle w:val="SingleTxtG"/>
      </w:pPr>
      <w:r>
        <w:rPr>
          <w:i/>
          <w:iCs/>
        </w:rPr>
        <w:tab/>
      </w:r>
      <w:r>
        <w:rPr>
          <w:i/>
          <w:iCs/>
        </w:rPr>
        <w:t>с удовлетворением отмечая также</w:t>
      </w:r>
      <w:r>
        <w:t xml:space="preserve"> выводы и рекомендации, принятые Комитетом в межсессионный период,</w:t>
      </w:r>
    </w:p>
    <w:p w14:paraId="0EF1C6DA" w14:textId="2012A52B" w:rsidR="00C567F1" w:rsidRPr="003048E7" w:rsidRDefault="00C567F1" w:rsidP="00C567F1">
      <w:pPr>
        <w:pStyle w:val="SingleTxtG"/>
      </w:pPr>
      <w:r>
        <w:rPr>
          <w:i/>
          <w:iCs/>
        </w:rPr>
        <w:tab/>
      </w:r>
      <w:r>
        <w:rPr>
          <w:i/>
          <w:iCs/>
        </w:rPr>
        <w:t>ссылаясь</w:t>
      </w:r>
      <w:r>
        <w:t xml:space="preserve"> на решения VII/8a, VII/8b, VII/8c, VII/8d, VII/8e, VII/8f, VII/8g, VII/8h, VII/8i, VII/8j, VII/8k, VII/8l, VII/8m, VII/8n, VII/8o, VII/8p, VII/8q, VII/8r и VII/8s о соблюдении</w:t>
      </w:r>
      <w:r w:rsidRPr="003048E7">
        <w:t xml:space="preserve"> </w:t>
      </w:r>
      <w:r>
        <w:t xml:space="preserve">Конвенции, соответственно, Арменией, Австрией, Беларусью, Болгарией, Чехией, Европейским союзом, Германией, Венгрией, Ирландией, Италией, Казахстаном, Литвой, Нидерландами, Республикой Молдова, Румынией, Испанией, </w:t>
      </w:r>
      <w:r>
        <w:lastRenderedPageBreak/>
        <w:t xml:space="preserve">Туркменистаном, Украиной и Соединенным Королевством Великобритании и Северной Ирландии, принятые одновременно с настоящим решением, </w:t>
      </w:r>
    </w:p>
    <w:p w14:paraId="6C665B94" w14:textId="20659813" w:rsidR="00C567F1" w:rsidRPr="003048E7" w:rsidRDefault="00C567F1" w:rsidP="00C567F1">
      <w:pPr>
        <w:pStyle w:val="SingleTxtG"/>
      </w:pPr>
      <w:r>
        <w:tab/>
      </w:r>
      <w:r>
        <w:t>1.</w:t>
      </w:r>
      <w:r>
        <w:tab/>
      </w:r>
      <w:r>
        <w:rPr>
          <w:i/>
          <w:iCs/>
        </w:rPr>
        <w:t>приветствует</w:t>
      </w:r>
      <w:r>
        <w:t xml:space="preserve"> доклады Комитета по вопросам соблюдения Орхусской конвенции Совещанию Сторон на его седьмой сессии по процедурным вопросам и общим вопросам соблюдения</w:t>
      </w:r>
      <w:r w:rsidRPr="000A2D7F">
        <w:rPr>
          <w:rStyle w:val="aa"/>
        </w:rPr>
        <w:footnoteReference w:id="6"/>
      </w:r>
      <w:r>
        <w:t xml:space="preserve">; </w:t>
      </w:r>
    </w:p>
    <w:p w14:paraId="2DD43A6C" w14:textId="0E25D821" w:rsidR="00C567F1" w:rsidRPr="003048E7" w:rsidRDefault="00C567F1" w:rsidP="00C567F1">
      <w:pPr>
        <w:pStyle w:val="SingleTxtG"/>
      </w:pPr>
      <w:r>
        <w:tab/>
      </w:r>
      <w:r>
        <w:t>2.</w:t>
      </w:r>
      <w:r>
        <w:tab/>
      </w:r>
      <w:r>
        <w:rPr>
          <w:i/>
          <w:iCs/>
        </w:rPr>
        <w:t>приветствует также</w:t>
      </w:r>
      <w:r>
        <w:t xml:space="preserve"> методы работы Комитета и дальнейшее уточнение его процедур, разработанных в период 2017−2021</w:t>
      </w:r>
      <w:r w:rsidR="000A2D7F">
        <w:t xml:space="preserve"> </w:t>
      </w:r>
      <w:r>
        <w:t xml:space="preserve">годов на основе решения I/7, что отражено во втором издании </w:t>
      </w:r>
      <w:r w:rsidRPr="000A2D7F">
        <w:rPr>
          <w:i/>
          <w:iCs/>
        </w:rPr>
        <w:t>Руководства для Комитета по вопросам соблюдения Орхусской конвенции</w:t>
      </w:r>
      <w:r w:rsidRPr="000A2D7F">
        <w:rPr>
          <w:rStyle w:val="aa"/>
        </w:rPr>
        <w:footnoteReference w:id="7"/>
      </w:r>
      <w:r>
        <w:t xml:space="preserve"> и в докладах о работе его совещаний; </w:t>
      </w:r>
    </w:p>
    <w:p w14:paraId="41D20C3D" w14:textId="0A6E1EB9" w:rsidR="00C567F1" w:rsidRPr="003048E7" w:rsidRDefault="00C567F1" w:rsidP="00C567F1">
      <w:pPr>
        <w:pStyle w:val="SingleTxtG"/>
      </w:pPr>
      <w:r>
        <w:tab/>
      </w:r>
      <w:r>
        <w:t>3.</w:t>
      </w:r>
      <w:r>
        <w:tab/>
      </w:r>
      <w:r>
        <w:rPr>
          <w:i/>
          <w:iCs/>
        </w:rPr>
        <w:t>призывает</w:t>
      </w:r>
      <w:r>
        <w:t xml:space="preserve"> Стороны, признанные не соблюдающими Конвенцию, в предстоящий межсессионный период согласиться с тем, чтобы Комитет напрямую вынес им свои рекомендации в соответствии с пунктом 36 b) приложения к решению</w:t>
      </w:r>
      <w:r w:rsidR="000A2D7F">
        <w:t> </w:t>
      </w:r>
      <w:r>
        <w:t>I/7, для того чтобы как можно скорее привести свои законодательство и практику в соответствие с Конвенцией после выявления конкретных проблем с соблюдением в целях обеспечения полного соблюдения соответствующих положений уже в межсессионный период, если это возможно;</w:t>
      </w:r>
    </w:p>
    <w:p w14:paraId="322C532F" w14:textId="61612EF3" w:rsidR="00C567F1" w:rsidRPr="003048E7" w:rsidRDefault="00C567F1" w:rsidP="00C567F1">
      <w:pPr>
        <w:pStyle w:val="SingleTxtG"/>
      </w:pPr>
      <w:r>
        <w:tab/>
      </w:r>
      <w:r>
        <w:t>4.</w:t>
      </w:r>
      <w:r>
        <w:tab/>
      </w:r>
      <w:r>
        <w:rPr>
          <w:i/>
          <w:iCs/>
        </w:rPr>
        <w:t>настоятельно призывает</w:t>
      </w:r>
      <w:r>
        <w:t xml:space="preserve"> все Стороны, признанные не соблюдающими Конвенцию, принять меры для выполнения вынесенных им рекомендаций на как можно более раннем этапе в предстоящий межсессионный период, с тем чтобы полностью устранить несоблюдение в должный срок до начала восьмой сессии Совещания Сторон;</w:t>
      </w:r>
    </w:p>
    <w:p w14:paraId="697FEF70" w14:textId="68531D1B" w:rsidR="00C567F1" w:rsidRPr="003048E7" w:rsidRDefault="00C567F1" w:rsidP="00C567F1">
      <w:pPr>
        <w:pStyle w:val="SingleTxtG"/>
      </w:pPr>
      <w:r>
        <w:tab/>
      </w:r>
      <w:r>
        <w:t>5.</w:t>
      </w:r>
      <w:r>
        <w:tab/>
      </w:r>
      <w:r>
        <w:rPr>
          <w:i/>
          <w:iCs/>
        </w:rPr>
        <w:t>просит</w:t>
      </w:r>
      <w:r>
        <w:t xml:space="preserve"> каждую Сторону о конструктивном сотрудничестве с Комитетом в связи с любым будущим рассмотрением соблюдения ею Конвенции;</w:t>
      </w:r>
    </w:p>
    <w:p w14:paraId="6C1192D2" w14:textId="5790862D" w:rsidR="00C567F1" w:rsidRPr="003048E7" w:rsidRDefault="00C567F1" w:rsidP="00C567F1">
      <w:pPr>
        <w:pStyle w:val="SingleTxtG"/>
      </w:pPr>
      <w:r>
        <w:tab/>
      </w:r>
      <w:r>
        <w:t>6.</w:t>
      </w:r>
      <w:r>
        <w:tab/>
      </w:r>
      <w:r>
        <w:rPr>
          <w:i/>
          <w:iCs/>
        </w:rPr>
        <w:t>с удовлетворением отмечает</w:t>
      </w:r>
      <w:r>
        <w:t xml:space="preserve">, что рекомендации, консультации и экспертная помощь, предоставляемые Комитетом соответствующим Сторонам в межсессионный период, являются эффективным средством содействия соблюдению Сторонами положений Конвенции; </w:t>
      </w:r>
    </w:p>
    <w:p w14:paraId="793A7B25" w14:textId="5923421B" w:rsidR="00C567F1" w:rsidRPr="003048E7" w:rsidRDefault="00C567F1" w:rsidP="00C567F1">
      <w:pPr>
        <w:pStyle w:val="H23G"/>
      </w:pPr>
      <w:r>
        <w:tab/>
      </w:r>
      <w:r>
        <w:tab/>
        <w:t>Выводы и рекомендации, сформулированные в 2017−2021</w:t>
      </w:r>
      <w:r w:rsidR="000A2D7F">
        <w:t xml:space="preserve"> </w:t>
      </w:r>
      <w:r>
        <w:t>годах, и</w:t>
      </w:r>
      <w:r>
        <w:rPr>
          <w:lang w:val="fr-CH"/>
        </w:rPr>
        <w:t> </w:t>
      </w:r>
      <w:r>
        <w:t xml:space="preserve">сотрудничество Сторон </w:t>
      </w:r>
    </w:p>
    <w:p w14:paraId="53933A31" w14:textId="3533EF07" w:rsidR="00C567F1" w:rsidRPr="003048E7" w:rsidRDefault="00C567F1" w:rsidP="00C567F1">
      <w:pPr>
        <w:pStyle w:val="SingleTxtG"/>
      </w:pPr>
      <w:r>
        <w:tab/>
      </w:r>
      <w:r>
        <w:t>7.</w:t>
      </w:r>
      <w:r>
        <w:tab/>
      </w:r>
      <w:r>
        <w:rPr>
          <w:i/>
          <w:iCs/>
        </w:rPr>
        <w:t>приветствует</w:t>
      </w:r>
      <w:r>
        <w:t xml:space="preserve"> конструктивный подход к Комитету и сотрудничество с ним, продемонстрированные Арменией, Беларусью, Бельгией, Болгарией, Венгрией, Германией, Европейским союзом, Ирландией, Испанией, Италией, Литвой, Нидерландами, Республикой Молдова, Словакией, Соединенным Королевством Великобритании и Северной Ирландии, Украиной, Францией и Чехией, соблюдение которыми Конвенции было предметом рассмотрения в межсессионный период </w:t>
      </w:r>
      <w:r w:rsidR="000A2D7F">
        <w:br/>
      </w:r>
      <w:r>
        <w:t>2017–2021 годов;</w:t>
      </w:r>
    </w:p>
    <w:p w14:paraId="522C5E77" w14:textId="12CB9817" w:rsidR="00C567F1" w:rsidRPr="003048E7" w:rsidRDefault="00C567F1" w:rsidP="00C567F1">
      <w:pPr>
        <w:pStyle w:val="SingleTxtG"/>
      </w:pPr>
      <w:r>
        <w:tab/>
      </w:r>
      <w:r>
        <w:t>8.</w:t>
      </w:r>
      <w:r>
        <w:tab/>
      </w:r>
      <w:r>
        <w:rPr>
          <w:i/>
          <w:iCs/>
        </w:rPr>
        <w:t>приветствует также</w:t>
      </w:r>
      <w:r>
        <w:t xml:space="preserve"> рассмотрение и оценку Комитетом конкретных случаев предполагаемого несоблюдения Конвенции, указанных в выводах и рекомендациях, принятых Комитетом в межсессионный период</w:t>
      </w:r>
      <w:r w:rsidRPr="000A2D7F">
        <w:rPr>
          <w:rStyle w:val="aa"/>
        </w:rPr>
        <w:footnoteReference w:id="8"/>
      </w:r>
      <w:r>
        <w:t>;</w:t>
      </w:r>
    </w:p>
    <w:p w14:paraId="0B30CDF4" w14:textId="27965D4F" w:rsidR="00C567F1" w:rsidRPr="003048E7" w:rsidRDefault="00C567F1" w:rsidP="00C567F1">
      <w:pPr>
        <w:pStyle w:val="SingleTxtG"/>
      </w:pPr>
      <w:r>
        <w:lastRenderedPageBreak/>
        <w:tab/>
      </w:r>
      <w:r>
        <w:t>9.</w:t>
      </w:r>
      <w:r>
        <w:tab/>
      </w:r>
      <w:r>
        <w:rPr>
          <w:i/>
          <w:iCs/>
        </w:rPr>
        <w:t>одобряет</w:t>
      </w:r>
      <w:r>
        <w:t xml:space="preserve"> основные выводы в отношении соблюдения, содержащиеся в выводах и рекомендациях, принятых Комитетом в межсессионный период и перечисленных в сноске к пункту 8 выше; </w:t>
      </w:r>
    </w:p>
    <w:p w14:paraId="6A59D17F" w14:textId="4E8666F5" w:rsidR="00C567F1" w:rsidRPr="003048E7" w:rsidRDefault="00C567F1" w:rsidP="00C567F1">
      <w:pPr>
        <w:pStyle w:val="SingleTxtG"/>
      </w:pPr>
      <w:r>
        <w:tab/>
      </w:r>
      <w:r>
        <w:t>10.</w:t>
      </w:r>
      <w:r>
        <w:tab/>
      </w:r>
      <w:r>
        <w:rPr>
          <w:i/>
          <w:iCs/>
        </w:rPr>
        <w:t>отмечает</w:t>
      </w:r>
      <w:r>
        <w:t xml:space="preserve"> заключительные замечания Комитета в его выводах по сообщению ACCC/C/2016/138</w:t>
      </w:r>
      <w:r w:rsidRPr="000A2D7F">
        <w:rPr>
          <w:rStyle w:val="aa"/>
        </w:rPr>
        <w:footnoteReference w:id="9"/>
      </w:r>
      <w:r>
        <w:t xml:space="preserve"> о том, что Армения обеспечила соблюдение положений Конвенции в этом случае, в его выводах по сообщению ACCC/C/2013/106</w:t>
      </w:r>
      <w:r w:rsidRPr="000A2D7F">
        <w:rPr>
          <w:rStyle w:val="aa"/>
        </w:rPr>
        <w:footnoteReference w:id="10"/>
      </w:r>
      <w:r>
        <w:t xml:space="preserve"> о том, что Чехия обеспечила соблюдение положений Конвенции в этом случае; в его выводах по сообщению ACCC/C/2015/135</w:t>
      </w:r>
      <w:r w:rsidRPr="000A2D7F">
        <w:rPr>
          <w:rStyle w:val="aa"/>
        </w:rPr>
        <w:footnoteReference w:id="11"/>
      </w:r>
      <w:r>
        <w:t xml:space="preserve"> о том, что Франция обеспечила соблюдение положений Конвенции в этом случае, в его выводах по сообщению ACCC/C/2014/120</w:t>
      </w:r>
      <w:r w:rsidRPr="000A2D7F">
        <w:rPr>
          <w:rStyle w:val="aa"/>
        </w:rPr>
        <w:footnoteReference w:id="12"/>
      </w:r>
      <w:r>
        <w:t xml:space="preserve"> о том, что Словакия обеспечила соблюдение положений Конвенции в этом случае, и в его выводах по сообщению ACCC/C/2014/100</w:t>
      </w:r>
      <w:r w:rsidRPr="000A2D7F">
        <w:rPr>
          <w:rStyle w:val="aa"/>
        </w:rPr>
        <w:footnoteReference w:id="13"/>
      </w:r>
      <w:r>
        <w:t xml:space="preserve"> о том, что Соединенное Королевство Великобритании и Северной Ирландии обеспечило соблюдение положений Конвенции в этом случае;</w:t>
      </w:r>
    </w:p>
    <w:p w14:paraId="12C6D666" w14:textId="14486233" w:rsidR="00C567F1" w:rsidRPr="003048E7" w:rsidRDefault="00C567F1" w:rsidP="00C567F1">
      <w:pPr>
        <w:pStyle w:val="SingleTxtG"/>
      </w:pPr>
      <w:r>
        <w:tab/>
      </w:r>
      <w:r>
        <w:t>11.</w:t>
      </w:r>
      <w:r>
        <w:tab/>
      </w:r>
      <w:r>
        <w:rPr>
          <w:i/>
          <w:iCs/>
        </w:rPr>
        <w:t>отмечает также</w:t>
      </w:r>
      <w:r>
        <w:t xml:space="preserve"> заключительные замечания Комитета в его выводах по сообщению ACCC/C/2015/134</w:t>
      </w:r>
      <w:r w:rsidRPr="000A2D7F">
        <w:rPr>
          <w:rStyle w:val="aa"/>
        </w:rPr>
        <w:footnoteReference w:id="14"/>
      </w:r>
      <w:r>
        <w:t xml:space="preserve"> о том, что Бельгия не обеспечила соблюдения пунктов</w:t>
      </w:r>
      <w:r w:rsidR="000A2D7F">
        <w:t> </w:t>
      </w:r>
      <w:r>
        <w:t>2 и 7 статьи 4 и пунктов 1 и 4 статьи 9 Конвенции, но что, принимая во внимание тот факт, что ему не было представлено никаких доказательств того, что выявленное несоблюдение носит широкий или системный характер, Комитет воздержался от вынесения каких-либо рекомендаций по этому делу;</w:t>
      </w:r>
    </w:p>
    <w:p w14:paraId="711BB1B0" w14:textId="714E266E" w:rsidR="00C567F1" w:rsidRPr="003048E7" w:rsidRDefault="00C567F1" w:rsidP="00C567F1">
      <w:pPr>
        <w:pStyle w:val="SingleTxtG"/>
      </w:pPr>
      <w:r>
        <w:tab/>
      </w:r>
      <w:r>
        <w:t>12.</w:t>
      </w:r>
      <w:r>
        <w:tab/>
      </w:r>
      <w:r>
        <w:rPr>
          <w:i/>
          <w:iCs/>
        </w:rPr>
        <w:t>отмечает далее</w:t>
      </w:r>
      <w:r>
        <w:t xml:space="preserve"> заключительные замечания Комитета в его выводах по сообщению ACCC/C/2014/122</w:t>
      </w:r>
      <w:r w:rsidRPr="000A2D7F">
        <w:rPr>
          <w:rStyle w:val="aa"/>
        </w:rPr>
        <w:footnoteReference w:id="15"/>
      </w:r>
      <w:r>
        <w:t xml:space="preserve"> о том, что Испания не обеспечила соблюдение пункта</w:t>
      </w:r>
      <w:r w:rsidR="000A2D7F">
        <w:t> </w:t>
      </w:r>
      <w:r>
        <w:t>10 статьи 6 Конвенции, но, принимая во внимание обстоятельства, изложенные в пункте 100 указанных выводов, Комитет воздержался от вынесения рекомендаций;</w:t>
      </w:r>
      <w:bookmarkStart w:id="5" w:name="_Hlk78913581"/>
      <w:bookmarkEnd w:id="5"/>
    </w:p>
    <w:p w14:paraId="4E7C9457" w14:textId="73963CC5" w:rsidR="00C567F1" w:rsidRPr="003048E7" w:rsidRDefault="00C567F1" w:rsidP="00C567F1">
      <w:pPr>
        <w:pStyle w:val="SingleTxtG"/>
      </w:pPr>
      <w:r>
        <w:tab/>
      </w:r>
      <w:r>
        <w:t>13.</w:t>
      </w:r>
      <w:r>
        <w:tab/>
      </w:r>
      <w:r>
        <w:rPr>
          <w:i/>
          <w:iCs/>
        </w:rPr>
        <w:t>приветствует</w:t>
      </w:r>
      <w:r>
        <w:t xml:space="preserve"> согласие большинства Сторон, признанных не соблюдающими Конвенцию, на то, чтобы Комитет напрямую вынес им рекомендации в соответствии с пунктом 36 b) приложения к решению I/7;</w:t>
      </w:r>
    </w:p>
    <w:p w14:paraId="1C539A8F" w14:textId="65A639F1" w:rsidR="00C567F1" w:rsidRPr="003048E7" w:rsidRDefault="00C567F1" w:rsidP="00C567F1">
      <w:pPr>
        <w:pStyle w:val="SingleTxtG"/>
      </w:pPr>
      <w:r>
        <w:tab/>
      </w:r>
      <w:r>
        <w:t>14.</w:t>
      </w:r>
      <w:r>
        <w:tab/>
      </w:r>
      <w:r>
        <w:rPr>
          <w:i/>
          <w:iCs/>
        </w:rPr>
        <w:t>приветствует также</w:t>
      </w:r>
      <w:r>
        <w:t xml:space="preserve"> конструктивные усилия, предпринятые Ирландией и Нидерландами в межсессионный период для выполнения рекомендаций, вынесенных Комитетом в соответствии с пунктом 36 b) приложения к решению I/7 в его выводах по сообщениям ACCC/C/2013/107 (Ирландия)</w:t>
      </w:r>
      <w:r w:rsidRPr="000A2D7F">
        <w:rPr>
          <w:rStyle w:val="aa"/>
        </w:rPr>
        <w:footnoteReference w:id="16"/>
      </w:r>
      <w:r>
        <w:t>, ACCC/C/2016/141 (Ирландия)</w:t>
      </w:r>
      <w:r w:rsidRPr="000A2D7F">
        <w:rPr>
          <w:rStyle w:val="aa"/>
        </w:rPr>
        <w:footnoteReference w:id="17"/>
      </w:r>
      <w:r>
        <w:t xml:space="preserve"> и ACCC/C/2014/104 (Нидерланды)</w:t>
      </w:r>
      <w:r w:rsidRPr="000A2D7F">
        <w:rPr>
          <w:rStyle w:val="aa"/>
        </w:rPr>
        <w:footnoteReference w:id="18"/>
      </w:r>
      <w:r>
        <w:t xml:space="preserve">; </w:t>
      </w:r>
    </w:p>
    <w:p w14:paraId="4E5D2854" w14:textId="4F4F8830" w:rsidR="00C567F1" w:rsidRPr="003048E7" w:rsidRDefault="00C567F1" w:rsidP="00C567F1">
      <w:pPr>
        <w:pStyle w:val="H23G"/>
      </w:pPr>
      <w:r>
        <w:tab/>
      </w:r>
      <w:r>
        <w:tab/>
        <w:t>Рекомендации в отношении просьб о предоставлении консультаций или</w:t>
      </w:r>
      <w:r>
        <w:rPr>
          <w:lang w:val="fr-CH"/>
        </w:rPr>
        <w:t> </w:t>
      </w:r>
      <w:r>
        <w:t>помощи</w:t>
      </w:r>
    </w:p>
    <w:p w14:paraId="66E10A2F" w14:textId="392885DC" w:rsidR="00C567F1" w:rsidRPr="003048E7" w:rsidRDefault="00C567F1" w:rsidP="00C567F1">
      <w:pPr>
        <w:pStyle w:val="SingleTxtG"/>
      </w:pPr>
      <w:r>
        <w:tab/>
      </w:r>
      <w:r>
        <w:t>15.</w:t>
      </w:r>
      <w:r>
        <w:tab/>
      </w:r>
      <w:r>
        <w:rPr>
          <w:i/>
          <w:iCs/>
        </w:rPr>
        <w:t>приветствует далее</w:t>
      </w:r>
      <w:r>
        <w:t xml:space="preserve"> инициативный подход Казахстана в отношении его просьбы ACCC/A/2020/2 о предоставлении консультаций и помощи в соответствии с пунктами 14, 36 а) и 37 а) приложения к решению I/7 и приветствует рекомендации Комитета, касающиеся этой просьбы</w:t>
      </w:r>
      <w:r w:rsidRPr="000A2D7F">
        <w:rPr>
          <w:rStyle w:val="aa"/>
        </w:rPr>
        <w:footnoteReference w:id="19"/>
      </w:r>
      <w:r>
        <w:t xml:space="preserve">; </w:t>
      </w:r>
    </w:p>
    <w:p w14:paraId="6250ADF3" w14:textId="77777777" w:rsidR="00C567F1" w:rsidRPr="003048E7" w:rsidRDefault="00C567F1" w:rsidP="00C567F1">
      <w:pPr>
        <w:pStyle w:val="H23G"/>
      </w:pPr>
      <w:r>
        <w:lastRenderedPageBreak/>
        <w:tab/>
      </w:r>
      <w:r>
        <w:tab/>
        <w:t xml:space="preserve">Выполнение решений и запросов относительно соблюдения Конвенции отдельными Сторонами </w:t>
      </w:r>
    </w:p>
    <w:p w14:paraId="4C2E2D4D" w14:textId="1C3445A5" w:rsidR="00C567F1" w:rsidRPr="003048E7" w:rsidRDefault="00736266" w:rsidP="00736266">
      <w:pPr>
        <w:pStyle w:val="SingleTxtG"/>
      </w:pPr>
      <w:r>
        <w:tab/>
      </w:r>
      <w:r w:rsidR="00C567F1">
        <w:t>16.</w:t>
      </w:r>
      <w:r w:rsidR="00C567F1">
        <w:tab/>
      </w:r>
      <w:r w:rsidR="00C567F1">
        <w:rPr>
          <w:i/>
          <w:iCs/>
        </w:rPr>
        <w:t>одобряет</w:t>
      </w:r>
      <w:r w:rsidR="00C567F1">
        <w:t xml:space="preserve"> основные выводы в отношении соблюдения, содержащиеся в докладе Комитета о выполнении решения VI/8i, касающегося соблюдения Конвенции Словакией</w:t>
      </w:r>
      <w:r w:rsidR="00C567F1" w:rsidRPr="000A2D7F">
        <w:rPr>
          <w:rStyle w:val="aa"/>
        </w:rPr>
        <w:footnoteReference w:id="20"/>
      </w:r>
      <w:r w:rsidR="00C567F1">
        <w:t xml:space="preserve">, и приветствует решительные действия соответствующей Стороны по всестороннему выполнению рекомендаций Совещания Сторон и приведению своих законодательства и практики в соответствие с Конвенцией; </w:t>
      </w:r>
    </w:p>
    <w:p w14:paraId="228CBDA3" w14:textId="116D8341" w:rsidR="00C567F1" w:rsidRPr="003048E7" w:rsidRDefault="00736266" w:rsidP="00736266">
      <w:pPr>
        <w:pStyle w:val="SingleTxtG"/>
      </w:pPr>
      <w:r>
        <w:tab/>
      </w:r>
      <w:r w:rsidR="00C567F1">
        <w:t>17.</w:t>
      </w:r>
      <w:r w:rsidR="00C567F1">
        <w:tab/>
      </w:r>
      <w:r w:rsidR="00C567F1">
        <w:rPr>
          <w:i/>
          <w:iCs/>
        </w:rPr>
        <w:t>приветствует</w:t>
      </w:r>
      <w:r w:rsidR="00C567F1">
        <w:t xml:space="preserve"> конструктивные усилия, предпринятые Австрией, Беларусью, Казахстаном, Румынией, Испанией и Соединенным Королевством Великобритании и Северной Ирландии для выполнения рекомендаций, вынесенных Совещанием Сторон в решениях VI/8b, VI/8c, VI/8g, VI/8h, VI/8j </w:t>
      </w:r>
      <w:r>
        <w:t>и</w:t>
      </w:r>
      <w:r w:rsidR="00C567F1">
        <w:t xml:space="preserve"> VI/8k, соответственно, в отношении приведения их законодательства и практики в соответствие с Конвенцией, одновременно признавая необходимость проведения каждой Стороной дополнительной работы с целью полного устранения остающихся случаев несоблюдения; </w:t>
      </w:r>
    </w:p>
    <w:p w14:paraId="0C53E7D1" w14:textId="558A16CD" w:rsidR="00C567F1" w:rsidRPr="003048E7" w:rsidRDefault="00736266" w:rsidP="00736266">
      <w:pPr>
        <w:pStyle w:val="SingleTxtG"/>
      </w:pPr>
      <w:r>
        <w:tab/>
      </w:r>
      <w:r w:rsidR="00C567F1">
        <w:t>18.</w:t>
      </w:r>
      <w:r w:rsidR="00C567F1">
        <w:tab/>
      </w:r>
      <w:r w:rsidR="00C567F1">
        <w:rPr>
          <w:i/>
          <w:iCs/>
        </w:rPr>
        <w:t>приветствует также</w:t>
      </w:r>
      <w:r w:rsidR="00C567F1">
        <w:t xml:space="preserve"> конструктивные усилия, предпринятые Европейским </w:t>
      </w:r>
      <w:r w:rsidR="000A2D7F">
        <w:t>с</w:t>
      </w:r>
      <w:r w:rsidR="00C567F1">
        <w:t>оюзом для устранения несоблюдения, которое было предметом запроса ACCC/M/2017/3, признавая при этом необходимость проведения указанной Стороной дополнительной работы с целью полного устранения остающихся пунктов несоблюдения в отношении пункта 3 решения V/9g;</w:t>
      </w:r>
    </w:p>
    <w:p w14:paraId="09F0E8FD" w14:textId="6CCA8930" w:rsidR="00C567F1" w:rsidRPr="003048E7" w:rsidRDefault="00736266" w:rsidP="00736266">
      <w:pPr>
        <w:pStyle w:val="SingleTxtG"/>
      </w:pPr>
      <w:r>
        <w:tab/>
      </w:r>
      <w:r w:rsidR="00C567F1">
        <w:t>19.</w:t>
      </w:r>
      <w:r w:rsidR="00C567F1">
        <w:tab/>
      </w:r>
      <w:r w:rsidR="00C567F1">
        <w:rPr>
          <w:i/>
          <w:iCs/>
        </w:rPr>
        <w:t>с удовлетворением отмечает</w:t>
      </w:r>
      <w:r w:rsidR="00C567F1">
        <w:t xml:space="preserve"> взаимодействие Армении, Чехии и Туркменистана с Комитетом в межсессионный период, но выражает обеспокоенность по поводу отсутствия со стороны этих Сторон конкретных действий по выполнению рекомендаций, вынесенных Совещанием Сторон в решениях VI/8a и VI/8e, и несоблюдения, которое было предметом запроса ACCC/M/2017/2, соответственно;</w:t>
      </w:r>
    </w:p>
    <w:p w14:paraId="7A26DDE4" w14:textId="30FDDE5D" w:rsidR="00C567F1" w:rsidRPr="003048E7" w:rsidRDefault="00736266" w:rsidP="00736266">
      <w:pPr>
        <w:pStyle w:val="SingleTxtG"/>
      </w:pPr>
      <w:r>
        <w:tab/>
      </w:r>
      <w:r w:rsidR="00C567F1">
        <w:t>20.</w:t>
      </w:r>
      <w:r w:rsidR="00C567F1">
        <w:tab/>
      </w:r>
      <w:r w:rsidR="00C567F1">
        <w:rPr>
          <w:i/>
          <w:iCs/>
        </w:rPr>
        <w:t>с удовлетворением отмечает также</w:t>
      </w:r>
      <w:r w:rsidR="00C567F1">
        <w:t xml:space="preserve"> конструктивное сотрудничество Болгарии с Комитетом в межсессионный период, но выражает глубокую обеспокоенность по поводу того, что соответствующая Сторона продолжает придерживаться позиции, которая заключается в том, что для обеспечения полного соблюдения пунктов 2 и 3 статьи 9 Конвенции не требуется выполнения рекомендаций, содержащихся в пунктах 3 a) и b) решения VI/8d, а также напоминает, что Комитет уже выражал свою обеспокоенность в связи с позицией Болгарии по данному вопросу в пункте 17 решения VI/8;</w:t>
      </w:r>
    </w:p>
    <w:p w14:paraId="401B6592" w14:textId="16486D3B" w:rsidR="00C567F1" w:rsidRPr="003048E7" w:rsidRDefault="00736266" w:rsidP="00736266">
      <w:pPr>
        <w:pStyle w:val="SingleTxtG"/>
      </w:pPr>
      <w:r>
        <w:tab/>
      </w:r>
      <w:r w:rsidR="00C567F1">
        <w:t>21.</w:t>
      </w:r>
      <w:r w:rsidR="00C567F1">
        <w:tab/>
      </w:r>
      <w:r w:rsidR="00C567F1">
        <w:rPr>
          <w:i/>
          <w:iCs/>
        </w:rPr>
        <w:t>с озабоченностью отмечает</w:t>
      </w:r>
      <w:r w:rsidR="00C567F1">
        <w:t>, что, несмотря на конструктивное сотрудничество Беларуси с Комитетом, в последнее время появились сообщения о действиях государственных органов Беларуси в отношении экологических организаций в этой стране, которые, на первый взгляд, представляются нарушениями пункта 8 статьи 3 Конвенции, и поэтому просит Комитет при оценке выполнения соответствующей Стороной рекомендаций, содержащихся в пункте 3 решения VII/8c, принимать во внимание любую представленную ему информацию о случаях предполагаемого наказания, преследования или притеснения в нарушение пункта 8 статьи 3 Конвенции;</w:t>
      </w:r>
    </w:p>
    <w:p w14:paraId="761461AF" w14:textId="739322EF" w:rsidR="00C567F1" w:rsidRPr="00AF6E39" w:rsidRDefault="00736266" w:rsidP="00736266">
      <w:pPr>
        <w:pStyle w:val="SingleTxtG"/>
      </w:pPr>
      <w:r>
        <w:tab/>
      </w:r>
      <w:r w:rsidR="00C567F1">
        <w:t>22.</w:t>
      </w:r>
      <w:r w:rsidR="00C567F1">
        <w:tab/>
      </w:r>
      <w:r w:rsidR="00C567F1">
        <w:rPr>
          <w:i/>
          <w:iCs/>
        </w:rPr>
        <w:t>просит</w:t>
      </w:r>
      <w:r w:rsidR="00C567F1">
        <w:t xml:space="preserve"> Комитет при поддержке секретариата предоставлять консультации, оказывать помощь и при необходимости выносить рекомендации соответствующим Сторонам в целях поддержки осуществления мер, упомянутых в решениях VII/8a–s, касающихся соблюдения ими Конвенции; </w:t>
      </w:r>
    </w:p>
    <w:p w14:paraId="06F47A01" w14:textId="1B0DC0B6" w:rsidR="00C567F1" w:rsidRPr="003048E7" w:rsidRDefault="00736266" w:rsidP="00736266">
      <w:pPr>
        <w:pStyle w:val="SingleTxtG"/>
      </w:pPr>
      <w:r>
        <w:tab/>
      </w:r>
      <w:r w:rsidR="00C567F1">
        <w:t>23.</w:t>
      </w:r>
      <w:r w:rsidR="00C567F1">
        <w:tab/>
      </w:r>
      <w:r w:rsidR="00C567F1">
        <w:rPr>
          <w:i/>
          <w:iCs/>
        </w:rPr>
        <w:t>обязуется</w:t>
      </w:r>
      <w:r w:rsidR="00C567F1">
        <w:t xml:space="preserve"> провести обзор выполнения решений VII/8a</w:t>
      </w:r>
      <w:r w:rsidR="004E5F1C">
        <w:t>–</w:t>
      </w:r>
      <w:r w:rsidR="00C567F1">
        <w:t xml:space="preserve">s на своей восьмой очередной сессии и с учетом этого просит Комитет рассмотреть указанные вопросы до этого заседания и представить доклады о выполнении этих решений для рассмотрения на его восьмой сессии; </w:t>
      </w:r>
    </w:p>
    <w:p w14:paraId="6BF91C8D" w14:textId="77777777" w:rsidR="00C567F1" w:rsidRPr="00B44EDD" w:rsidRDefault="00C567F1" w:rsidP="00736266">
      <w:pPr>
        <w:pStyle w:val="H23G"/>
      </w:pPr>
      <w:r>
        <w:lastRenderedPageBreak/>
        <w:tab/>
      </w:r>
      <w:r>
        <w:tab/>
        <w:t xml:space="preserve">Ресурсы </w:t>
      </w:r>
    </w:p>
    <w:p w14:paraId="4EC94329" w14:textId="7422634F" w:rsidR="00C567F1" w:rsidRPr="00AF6E39" w:rsidRDefault="00736266" w:rsidP="00736266">
      <w:pPr>
        <w:pStyle w:val="SingleTxtG"/>
      </w:pPr>
      <w:r>
        <w:tab/>
      </w:r>
      <w:r w:rsidR="00C567F1">
        <w:t>24.</w:t>
      </w:r>
      <w:r w:rsidR="00C567F1">
        <w:tab/>
      </w:r>
      <w:r w:rsidR="00C567F1">
        <w:rPr>
          <w:i/>
          <w:iCs/>
        </w:rPr>
        <w:t>предлагает</w:t>
      </w:r>
      <w:r w:rsidR="00C567F1">
        <w:t xml:space="preserve"> всем Сторонам и другим заинтересованным государствам и организациям, которые могут это сделать, оказывать странам с переходной экономикой финансовую и/или техническую помощь в целях обеспечения более эффективного осуществления и соблюдения Конвенции; </w:t>
      </w:r>
    </w:p>
    <w:p w14:paraId="1A225224" w14:textId="6648C475" w:rsidR="00C567F1" w:rsidRPr="003048E7" w:rsidRDefault="00736266" w:rsidP="00736266">
      <w:pPr>
        <w:pStyle w:val="SingleTxtG"/>
      </w:pPr>
      <w:r>
        <w:tab/>
      </w:r>
      <w:r w:rsidR="00C567F1">
        <w:t>25.</w:t>
      </w:r>
      <w:r w:rsidR="00C567F1">
        <w:tab/>
      </w:r>
      <w:r w:rsidR="00C567F1">
        <w:rPr>
          <w:i/>
          <w:iCs/>
        </w:rPr>
        <w:t>предлагает далее</w:t>
      </w:r>
      <w:r w:rsidR="00C567F1">
        <w:t xml:space="preserve"> всем Сторонам и другим заинтересованным государствам и организациям, которые могут это сделать, предоставлять экологическим неправительственным организациям, обладающим соответствующим опытом, финансовую поддержку, с тем чтобы они могли оказывать представителям общественности помощь в эффективном использовании механизма соблюдения;</w:t>
      </w:r>
    </w:p>
    <w:p w14:paraId="31B5E52D" w14:textId="0DCB9B24" w:rsidR="00C567F1" w:rsidRPr="003048E7" w:rsidRDefault="00736266" w:rsidP="00736266">
      <w:pPr>
        <w:pStyle w:val="SingleTxtG"/>
      </w:pPr>
      <w:r>
        <w:tab/>
      </w:r>
      <w:r w:rsidR="00C567F1">
        <w:t>26.</w:t>
      </w:r>
      <w:r w:rsidR="00C567F1">
        <w:tab/>
      </w:r>
      <w:r w:rsidR="00C567F1">
        <w:rPr>
          <w:i/>
          <w:iCs/>
        </w:rPr>
        <w:t>отмечает</w:t>
      </w:r>
      <w:r w:rsidR="00C567F1">
        <w:t>, что в межсессионный период 2017−2021</w:t>
      </w:r>
      <w:r w:rsidR="004E5F1C">
        <w:t xml:space="preserve"> </w:t>
      </w:r>
      <w:r w:rsidR="00C567F1">
        <w:t xml:space="preserve">годов объем работы как секретариата, так и Комитета в связи с функционированием механизма соблюдения значительно возрос и что, как предполагается, он будет увеличиваться и далее, и просит Рабочую группу Сторон, Президиум и секретариат с учетом их соответствующих ролей обеспечить выделение достаточных кадровых и финансовых ресурсов для этой цели; </w:t>
      </w:r>
    </w:p>
    <w:p w14:paraId="2A25CEBC" w14:textId="40B583E4" w:rsidR="00C567F1" w:rsidRPr="003048E7" w:rsidRDefault="00736266" w:rsidP="00736266">
      <w:pPr>
        <w:pStyle w:val="SingleTxtG"/>
      </w:pPr>
      <w:r>
        <w:tab/>
      </w:r>
      <w:r w:rsidR="00C567F1">
        <w:t>27.</w:t>
      </w:r>
      <w:r w:rsidR="00C567F1">
        <w:tab/>
      </w:r>
      <w:r w:rsidR="00C567F1">
        <w:rPr>
          <w:i/>
          <w:iCs/>
        </w:rPr>
        <w:t>просит</w:t>
      </w:r>
      <w:r w:rsidR="00C567F1">
        <w:t xml:space="preserve"> секретариат продолжать подготавливать повестки дня, доклады, выводы и другие документы Комитета по вопросам соблюдения в качестве официальных документов и распространять их на соответствующих заседаниях на трех официальных языках Европейской экономической комиссии Организации Объединенных Наций без задействования дополнительных внебюджетных ресурсов.</w:t>
      </w:r>
    </w:p>
    <w:p w14:paraId="5F117F11" w14:textId="77777777" w:rsidR="000A2D7F" w:rsidRDefault="00C567F1" w:rsidP="00C567F1">
      <w:pPr>
        <w:spacing w:before="240"/>
        <w:jc w:val="center"/>
        <w:rPr>
          <w:u w:val="single"/>
        </w:rPr>
      </w:pPr>
      <w:r w:rsidRPr="003048E7">
        <w:rPr>
          <w:u w:val="single"/>
        </w:rPr>
        <w:tab/>
      </w:r>
      <w:r w:rsidRPr="003048E7">
        <w:rPr>
          <w:u w:val="single"/>
        </w:rPr>
        <w:tab/>
      </w:r>
      <w:r w:rsidRPr="003048E7">
        <w:rPr>
          <w:u w:val="single"/>
        </w:rPr>
        <w:tab/>
      </w:r>
    </w:p>
    <w:p w14:paraId="3F315B4E" w14:textId="13DB4C79" w:rsidR="00E12C5F" w:rsidRPr="008D53B6" w:rsidRDefault="00E12C5F" w:rsidP="00D9145B"/>
    <w:sectPr w:rsidR="00E12C5F" w:rsidRPr="008D53B6" w:rsidSect="00C567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F009" w14:textId="77777777" w:rsidR="00A02AE7" w:rsidRPr="00A312BC" w:rsidRDefault="00A02AE7" w:rsidP="00A312BC"/>
  </w:endnote>
  <w:endnote w:type="continuationSeparator" w:id="0">
    <w:p w14:paraId="23E248BE" w14:textId="77777777" w:rsidR="00A02AE7" w:rsidRPr="00A312BC" w:rsidRDefault="00A02A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B817" w14:textId="692B5B3F" w:rsidR="00C567F1" w:rsidRPr="00C567F1" w:rsidRDefault="00C567F1">
    <w:pPr>
      <w:pStyle w:val="a8"/>
    </w:pPr>
    <w:r w:rsidRPr="00C567F1">
      <w:rPr>
        <w:b/>
        <w:sz w:val="18"/>
      </w:rPr>
      <w:fldChar w:fldCharType="begin"/>
    </w:r>
    <w:r w:rsidRPr="00C567F1">
      <w:rPr>
        <w:b/>
        <w:sz w:val="18"/>
      </w:rPr>
      <w:instrText xml:space="preserve"> PAGE  \* MERGEFORMAT </w:instrText>
    </w:r>
    <w:r w:rsidRPr="00C567F1">
      <w:rPr>
        <w:b/>
        <w:sz w:val="18"/>
      </w:rPr>
      <w:fldChar w:fldCharType="separate"/>
    </w:r>
    <w:r w:rsidRPr="00C567F1">
      <w:rPr>
        <w:b/>
        <w:noProof/>
        <w:sz w:val="18"/>
      </w:rPr>
      <w:t>2</w:t>
    </w:r>
    <w:r w:rsidRPr="00C567F1">
      <w:rPr>
        <w:b/>
        <w:sz w:val="18"/>
      </w:rPr>
      <w:fldChar w:fldCharType="end"/>
    </w:r>
    <w:r>
      <w:rPr>
        <w:b/>
        <w:sz w:val="18"/>
      </w:rPr>
      <w:tab/>
    </w:r>
    <w:r>
      <w:t>GE.21-11375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22D6" w14:textId="02D05AA1" w:rsidR="00C567F1" w:rsidRPr="00C567F1" w:rsidRDefault="00C567F1" w:rsidP="00C567F1">
    <w:pPr>
      <w:pStyle w:val="a8"/>
      <w:tabs>
        <w:tab w:val="clear" w:pos="9639"/>
        <w:tab w:val="right" w:pos="9638"/>
      </w:tabs>
      <w:rPr>
        <w:b/>
        <w:sz w:val="18"/>
      </w:rPr>
    </w:pPr>
    <w:r>
      <w:t>GE.21-11375</w:t>
    </w:r>
    <w:r>
      <w:tab/>
    </w:r>
    <w:r w:rsidRPr="00C567F1">
      <w:rPr>
        <w:b/>
        <w:sz w:val="18"/>
      </w:rPr>
      <w:fldChar w:fldCharType="begin"/>
    </w:r>
    <w:r w:rsidRPr="00C567F1">
      <w:rPr>
        <w:b/>
        <w:sz w:val="18"/>
      </w:rPr>
      <w:instrText xml:space="preserve"> PAGE  \* MERGEFORMAT </w:instrText>
    </w:r>
    <w:r w:rsidRPr="00C567F1">
      <w:rPr>
        <w:b/>
        <w:sz w:val="18"/>
      </w:rPr>
      <w:fldChar w:fldCharType="separate"/>
    </w:r>
    <w:r w:rsidRPr="00C567F1">
      <w:rPr>
        <w:b/>
        <w:noProof/>
        <w:sz w:val="18"/>
      </w:rPr>
      <w:t>3</w:t>
    </w:r>
    <w:r w:rsidRPr="00C567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03B7" w14:textId="13FF8F07" w:rsidR="00042B72" w:rsidRPr="00C567F1" w:rsidRDefault="00C567F1" w:rsidP="00C567F1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E8F4D2" wp14:editId="542335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21-11375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389D17" wp14:editId="503A2F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071021  081021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CC2B" w14:textId="77777777" w:rsidR="00A02AE7" w:rsidRPr="001075E9" w:rsidRDefault="00A02A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F32AB5" w14:textId="77777777" w:rsidR="00A02AE7" w:rsidRDefault="00A02A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328F79" w14:textId="77777777" w:rsidR="00C567F1" w:rsidRPr="003048E7" w:rsidRDefault="00C567F1" w:rsidP="000A2D7F">
      <w:pPr>
        <w:pStyle w:val="ad"/>
      </w:pPr>
      <w:r>
        <w:tab/>
      </w:r>
      <w:r w:rsidRPr="00C567F1">
        <w:rPr>
          <w:sz w:val="20"/>
        </w:rPr>
        <w:t>*</w:t>
      </w:r>
      <w:r>
        <w:tab/>
        <w:t>Данный документ был представлен с опозданием в связи с тем, что для завершения его подготовки потребовалось дополнительное время.</w:t>
      </w:r>
    </w:p>
  </w:footnote>
  <w:footnote w:id="2">
    <w:p w14:paraId="34B6D88B" w14:textId="77777777" w:rsidR="00C567F1" w:rsidRPr="00C567F1" w:rsidRDefault="00C567F1" w:rsidP="000A2D7F">
      <w:pPr>
        <w:pStyle w:val="ad"/>
        <w:rPr>
          <w:lang w:val="en-US"/>
        </w:rPr>
      </w:pPr>
      <w: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/2/Add.8. </w:t>
      </w:r>
    </w:p>
  </w:footnote>
  <w:footnote w:id="3">
    <w:p w14:paraId="659E2030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/2017/2/Add.1.</w:t>
      </w:r>
    </w:p>
  </w:footnote>
  <w:footnote w:id="4">
    <w:p w14:paraId="7E45CD84" w14:textId="77777777" w:rsidR="00C567F1" w:rsidRPr="003048E7" w:rsidRDefault="00C567F1" w:rsidP="000A2D7F">
      <w:pPr>
        <w:pStyle w:val="ad"/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>
        <w:tab/>
        <w:t>Решение VI/8 по общим вопросам соблюдения, п. 19.</w:t>
      </w:r>
    </w:p>
  </w:footnote>
  <w:footnote w:id="5">
    <w:p w14:paraId="56EA395D" w14:textId="77777777" w:rsidR="00C567F1" w:rsidRPr="00C567F1" w:rsidRDefault="00C567F1" w:rsidP="000A2D7F">
      <w:pPr>
        <w:pStyle w:val="ad"/>
        <w:rPr>
          <w:lang w:val="en-US"/>
        </w:rPr>
      </w:pPr>
      <w:r w:rsidRPr="0007035E"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/2017/2, </w:t>
      </w:r>
      <w:r>
        <w:t>п</w:t>
      </w:r>
      <w:r w:rsidRPr="00AF6E39">
        <w:rPr>
          <w:lang w:val="en-US"/>
        </w:rPr>
        <w:t>. 63.</w:t>
      </w:r>
    </w:p>
  </w:footnote>
  <w:footnote w:id="6">
    <w:p w14:paraId="72A77ABA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/2021/44 </w:t>
      </w:r>
      <w:r>
        <w:t>и</w:t>
      </w:r>
      <w:r w:rsidRPr="00AF6E39">
        <w:rPr>
          <w:lang w:val="en-US"/>
        </w:rPr>
        <w:t xml:space="preserve"> ECE/MP.PP/2021/45.</w:t>
      </w:r>
    </w:p>
  </w:footnote>
  <w:footnote w:id="7">
    <w:p w14:paraId="1E1C1886" w14:textId="77777777" w:rsidR="00C567F1" w:rsidRPr="003048E7" w:rsidRDefault="00C567F1" w:rsidP="000A2D7F">
      <w:pPr>
        <w:pStyle w:val="ad"/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>
        <w:tab/>
        <w:t xml:space="preserve">Европейская экономическая комиссия Организации Объединенных Наций (Женева, 2019 год). </w:t>
      </w:r>
    </w:p>
  </w:footnote>
  <w:footnote w:id="8">
    <w:p w14:paraId="36E59656" w14:textId="2465BB2F" w:rsidR="00C567F1" w:rsidRPr="003048E7" w:rsidRDefault="00C567F1" w:rsidP="000A2D7F">
      <w:pPr>
        <w:pStyle w:val="ad"/>
      </w:pPr>
      <w:r w:rsidRPr="00415A37">
        <w:tab/>
      </w:r>
      <w:r w:rsidRPr="000A2D7F">
        <w:rPr>
          <w:rStyle w:val="aa"/>
        </w:rPr>
        <w:footnoteRef/>
      </w:r>
      <w:r>
        <w:tab/>
        <w:t>ECE/MP.PP/C.1/2019/3 (Нидерланды), ECE/MP.PP/C.1/2019/6 (Соединенное Королевство), ECE/MP.PP/C.1/2019/9 (Ирландия), ECE/MP.PP/C.1/2020/3 (Чехия), ECE/MP.PP/C.1/2020/8 (Европейский союз), ECE/MP.PP/C.1/2020/9 (Франция), ECE/MP.PP/C.1/2021/3 (Европейский союз), ECE/MP.PP/C.1/2021/7 (Испания), ECE/MP.PP/C.1/2021/8 (Ирландия), ECE/MP.PP/C.1/2021/13 (Беларусь), ECE/MP.PP/C.1/2021/14 (Соединенное Королевство), ECE/MP.PP/C.1/2021/15 (Литва), ECE/MP.PP/C.1/2021/16 (Венгрия), ECE/MP.PP/C.1/2021/17 (Ирландия), ECE/MP.PP/C.1/2021/18 (Украина), ECE/MP.PP/C.1/2021/19 (Словакия), ECE/MP.PP/C.1/2021/20 (Нидерланды), ECE/MP.PP/C.1/2021/21 (Европейский союз), ECE/MP.PP/C.1/2021/22 (Италия), ECE/MP.PP/C.1/2021/23 (Соединенное Королевство), ECE/MP.PP/C.1/2021/24 (Бельгия), ECE/MP.PP/C.1/2021/25 (Германия), ECE/MP.PP/C.1/2021/26 (Армения), ECE/MP.PP/C.1/2021/27 (Соединенное Королевство), ECE/MP.PP/C.1/2021/28 (Чехия)</w:t>
      </w:r>
      <w:r w:rsidR="000A2D7F">
        <w:t>,</w:t>
      </w:r>
      <w:r>
        <w:t xml:space="preserve"> ECE/MP.PP/C.1/2021/29 (Болгария) </w:t>
      </w:r>
      <w:r>
        <w:t xml:space="preserve">и </w:t>
      </w:r>
      <w:r>
        <w:t xml:space="preserve">ECE/MP.PP/C.1/2021/30 (Республика Молдова). </w:t>
      </w:r>
      <w:bookmarkStart w:id="0" w:name="_Hlk78965694"/>
      <w:bookmarkStart w:id="1" w:name="_Hlk78966207"/>
      <w:bookmarkEnd w:id="0"/>
      <w:bookmarkEnd w:id="1"/>
    </w:p>
  </w:footnote>
  <w:footnote w:id="9">
    <w:p w14:paraId="20C529ED" w14:textId="77777777" w:rsidR="00C567F1" w:rsidRPr="00C567F1" w:rsidRDefault="00C567F1" w:rsidP="000A2D7F">
      <w:pPr>
        <w:pStyle w:val="ad"/>
        <w:rPr>
          <w:lang w:val="en-US"/>
        </w:rPr>
      </w:pPr>
      <w: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/C.1/2021/26.</w:t>
      </w:r>
    </w:p>
  </w:footnote>
  <w:footnote w:id="10">
    <w:p w14:paraId="46E623EB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/C.1/2020/3.</w:t>
      </w:r>
    </w:p>
  </w:footnote>
  <w:footnote w:id="11">
    <w:p w14:paraId="05FCB867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/C.1/2020/9.</w:t>
      </w:r>
      <w:bookmarkStart w:id="2" w:name="_Hlk78910776"/>
      <w:bookmarkEnd w:id="2"/>
    </w:p>
  </w:footnote>
  <w:footnote w:id="12">
    <w:p w14:paraId="4B3B0C94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/C.1/2021/19.</w:t>
      </w:r>
    </w:p>
  </w:footnote>
  <w:footnote w:id="13">
    <w:p w14:paraId="335E5658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/C.1/2019/6.</w:t>
      </w:r>
      <w:bookmarkStart w:id="3" w:name="_Hlk78911162"/>
      <w:bookmarkEnd w:id="3"/>
    </w:p>
  </w:footnote>
  <w:footnote w:id="14">
    <w:p w14:paraId="452339DF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/C.1/2021/24.</w:t>
      </w:r>
    </w:p>
  </w:footnote>
  <w:footnote w:id="15">
    <w:p w14:paraId="736FF9EC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>/C.1/2021/7.</w:t>
      </w:r>
      <w:bookmarkStart w:id="4" w:name="_Hlk78911110"/>
      <w:bookmarkEnd w:id="4"/>
    </w:p>
  </w:footnote>
  <w:footnote w:id="16">
    <w:p w14:paraId="29D3D1BD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/C.1/2019/9. </w:t>
      </w:r>
    </w:p>
  </w:footnote>
  <w:footnote w:id="17">
    <w:p w14:paraId="3E221501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/C.1/2021/8. </w:t>
      </w:r>
    </w:p>
  </w:footnote>
  <w:footnote w:id="18">
    <w:p w14:paraId="3C8C9CEF" w14:textId="77777777" w:rsidR="00C567F1" w:rsidRPr="00C567F1" w:rsidRDefault="00C567F1" w:rsidP="000A2D7F">
      <w:pPr>
        <w:pStyle w:val="ad"/>
        <w:rPr>
          <w:lang w:val="en-US"/>
        </w:rPr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 w:rsidRPr="00AF6E39">
        <w:rPr>
          <w:lang w:val="en-US"/>
        </w:rPr>
        <w:tab/>
        <w:t>ECE/</w:t>
      </w:r>
      <w:proofErr w:type="gramStart"/>
      <w:r w:rsidRPr="00AF6E39">
        <w:rPr>
          <w:lang w:val="en-US"/>
        </w:rPr>
        <w:t>MP.PP</w:t>
      </w:r>
      <w:proofErr w:type="gramEnd"/>
      <w:r w:rsidRPr="00AF6E39">
        <w:rPr>
          <w:lang w:val="en-US"/>
        </w:rPr>
        <w:t xml:space="preserve">/C.1/2019/3. </w:t>
      </w:r>
    </w:p>
  </w:footnote>
  <w:footnote w:id="19">
    <w:p w14:paraId="796D40EE" w14:textId="77777777" w:rsidR="00C567F1" w:rsidRPr="003048E7" w:rsidRDefault="00C567F1" w:rsidP="000A2D7F">
      <w:pPr>
        <w:pStyle w:val="ad"/>
      </w:pPr>
      <w:r w:rsidRPr="00AF6E39">
        <w:rPr>
          <w:lang w:val="en-US"/>
        </w:rPr>
        <w:tab/>
      </w:r>
      <w:r w:rsidRPr="000A2D7F">
        <w:rPr>
          <w:rStyle w:val="aa"/>
        </w:rPr>
        <w:footnoteRef/>
      </w:r>
      <w:r>
        <w:tab/>
        <w:t>ECE/MP.PP/C.1/2021/6.</w:t>
      </w:r>
    </w:p>
  </w:footnote>
  <w:footnote w:id="20">
    <w:p w14:paraId="6F60EEEE" w14:textId="77777777" w:rsidR="00C567F1" w:rsidRPr="003048E7" w:rsidRDefault="00C567F1" w:rsidP="000A2D7F">
      <w:pPr>
        <w:pStyle w:val="ad"/>
      </w:pPr>
      <w:r w:rsidRPr="00590FFC">
        <w:tab/>
      </w:r>
      <w:r w:rsidRPr="000A2D7F">
        <w:rPr>
          <w:rStyle w:val="aa"/>
        </w:rPr>
        <w:footnoteRef/>
      </w:r>
      <w:r>
        <w:tab/>
        <w:t>ECE/MP.PP/2021/56 (Словакия),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A489" w14:textId="79533FB5" w:rsidR="00C567F1" w:rsidRPr="00C567F1" w:rsidRDefault="00C567F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615FC">
      <w:t>ECE/</w:t>
    </w:r>
    <w:proofErr w:type="gramStart"/>
    <w:r w:rsidR="009615FC">
      <w:t>MP.PP</w:t>
    </w:r>
    <w:proofErr w:type="gramEnd"/>
    <w:r w:rsidR="009615FC">
      <w:t>/2021/23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4F8E" w14:textId="22616F3E" w:rsidR="00C567F1" w:rsidRPr="00C567F1" w:rsidRDefault="00C567F1" w:rsidP="00C567F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615FC">
      <w:t>ECE/</w:t>
    </w:r>
    <w:proofErr w:type="gramStart"/>
    <w:r w:rsidR="009615FC">
      <w:t>MP.PP</w:t>
    </w:r>
    <w:proofErr w:type="gramEnd"/>
    <w:r w:rsidR="009615FC">
      <w:t>/2021/23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E7"/>
    <w:rsid w:val="00033EE1"/>
    <w:rsid w:val="00042B72"/>
    <w:rsid w:val="000558BD"/>
    <w:rsid w:val="000A2D7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6773"/>
    <w:rsid w:val="00452493"/>
    <w:rsid w:val="00453318"/>
    <w:rsid w:val="00454AF2"/>
    <w:rsid w:val="00454E07"/>
    <w:rsid w:val="00472C5C"/>
    <w:rsid w:val="00485F8A"/>
    <w:rsid w:val="004E05B7"/>
    <w:rsid w:val="004E5F1C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6266"/>
    <w:rsid w:val="00757357"/>
    <w:rsid w:val="00792497"/>
    <w:rsid w:val="007D2F8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5FC"/>
    <w:rsid w:val="009A24AC"/>
    <w:rsid w:val="009C59D7"/>
    <w:rsid w:val="009C6FE6"/>
    <w:rsid w:val="009D7E7D"/>
    <w:rsid w:val="00A02AE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67F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7A3E9C"/>
  <w15:docId w15:val="{48DE1F55-162E-4F08-A013-1D1567C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C567F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1457</Words>
  <Characters>10076</Characters>
  <Application>Microsoft Office Word</Application>
  <DocSecurity>0</DocSecurity>
  <Lines>916</Lines>
  <Paragraphs>384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ECE/MP.PP/2021/23</vt:lpstr>
      <vt:lpstr>A/</vt:lpstr>
      <vt:lpstr>A/</vt:lpstr>
    </vt:vector>
  </TitlesOfParts>
  <Company>DCM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ECE/MP.PP/2021/23</dc:title>
  <dc:subject/>
  <dc:creator>Elena IZOTOVA</dc:creator>
  <cp:keywords/>
  <cp:lastModifiedBy>Elena IZOTOVA</cp:lastModifiedBy>
  <cp:revision>3</cp:revision>
  <cp:lastPrinted>2021-10-08T14:05:00Z</cp:lastPrinted>
  <dcterms:created xsi:type="dcterms:W3CDTF">2021-10-08T14:05:00Z</dcterms:created>
  <dcterms:modified xsi:type="dcterms:W3CDTF">2021-10-08T14:05:00Z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