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1E7D9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0FDFC7" w14:textId="77777777" w:rsidR="002D5AAC" w:rsidRDefault="002D5AAC" w:rsidP="008555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D08946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314B31" w14:textId="3CB3BF1F" w:rsidR="002D5AAC" w:rsidRDefault="00855544" w:rsidP="00855544">
            <w:pPr>
              <w:jc w:val="right"/>
            </w:pPr>
            <w:r w:rsidRPr="00855544">
              <w:rPr>
                <w:sz w:val="40"/>
              </w:rPr>
              <w:t>ECE</w:t>
            </w:r>
            <w:r>
              <w:t>/TRANS/WP.15/2021/13</w:t>
            </w:r>
          </w:p>
        </w:tc>
      </w:tr>
      <w:tr w:rsidR="002D5AAC" w:rsidRPr="00161661" w14:paraId="30B78B2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C55E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0B914B" wp14:editId="63D1CC6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D5A0B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FD50CC" w14:textId="77777777" w:rsidR="002D5AAC" w:rsidRDefault="008555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415205D" w14:textId="77777777" w:rsidR="00855544" w:rsidRDefault="00855544" w:rsidP="008555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2021</w:t>
            </w:r>
          </w:p>
          <w:p w14:paraId="71109DC9" w14:textId="77777777" w:rsidR="00855544" w:rsidRDefault="00855544" w:rsidP="008555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83C208" w14:textId="09293441" w:rsidR="00855544" w:rsidRPr="008D53B6" w:rsidRDefault="00855544" w:rsidP="008555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C62B76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869D32" w14:textId="77777777" w:rsidR="00855544" w:rsidRPr="00FF0A18" w:rsidRDefault="00855544" w:rsidP="00855544">
      <w:pPr>
        <w:spacing w:before="120"/>
        <w:rPr>
          <w:sz w:val="28"/>
          <w:szCs w:val="28"/>
        </w:rPr>
      </w:pPr>
      <w:r w:rsidRPr="00FF0A18">
        <w:rPr>
          <w:sz w:val="28"/>
          <w:szCs w:val="28"/>
        </w:rPr>
        <w:t>Комитет по внутреннему транспорту</w:t>
      </w:r>
    </w:p>
    <w:p w14:paraId="62497E13" w14:textId="77777777" w:rsidR="00855544" w:rsidRPr="00FF0A18" w:rsidRDefault="00855544" w:rsidP="00855544">
      <w:pPr>
        <w:spacing w:before="120"/>
        <w:rPr>
          <w:b/>
          <w:sz w:val="24"/>
          <w:szCs w:val="24"/>
        </w:rPr>
      </w:pPr>
      <w:r w:rsidRPr="00FF0A18">
        <w:rPr>
          <w:b/>
          <w:bCs/>
          <w:sz w:val="24"/>
          <w:szCs w:val="24"/>
        </w:rPr>
        <w:t>Рабочая группа по перевозкам опасных грузов</w:t>
      </w:r>
    </w:p>
    <w:p w14:paraId="387682DC" w14:textId="77777777" w:rsidR="00855544" w:rsidRPr="001C6206" w:rsidRDefault="00855544" w:rsidP="00855544">
      <w:pPr>
        <w:spacing w:before="120"/>
        <w:rPr>
          <w:b/>
          <w:bCs/>
        </w:rPr>
      </w:pPr>
      <w:r>
        <w:rPr>
          <w:b/>
          <w:bCs/>
        </w:rPr>
        <w:t>Сто десятая сессия</w:t>
      </w:r>
    </w:p>
    <w:p w14:paraId="3586F13D" w14:textId="77777777" w:rsidR="00855544" w:rsidRPr="001C6206" w:rsidRDefault="00855544" w:rsidP="00855544">
      <w:pPr>
        <w:rPr>
          <w:rFonts w:eastAsia="SimSun"/>
        </w:rPr>
      </w:pPr>
      <w:r>
        <w:t>Женева, 8–12 ноября 2021 года</w:t>
      </w:r>
    </w:p>
    <w:p w14:paraId="14E1774C" w14:textId="77777777" w:rsidR="00855544" w:rsidRPr="001C6206" w:rsidRDefault="00855544" w:rsidP="00855544">
      <w:r>
        <w:t>Пункт 5 b) предварительной повестки дня</w:t>
      </w:r>
    </w:p>
    <w:p w14:paraId="28AA52B0" w14:textId="4C8FB3B1" w:rsidR="00855544" w:rsidRPr="001C6206" w:rsidRDefault="00855544" w:rsidP="00855544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 w:rsidR="00161661">
        <w:rPr>
          <w:b/>
          <w:bCs/>
        </w:rPr>
        <w:br/>
      </w:r>
      <w:r>
        <w:rPr>
          <w:b/>
          <w:bCs/>
        </w:rPr>
        <w:t>в приложения А и B к ДОПОГ:</w:t>
      </w:r>
    </w:p>
    <w:p w14:paraId="2932E6A2" w14:textId="77777777" w:rsidR="00855544" w:rsidRPr="001C6206" w:rsidRDefault="00855544" w:rsidP="00855544">
      <w:r>
        <w:rPr>
          <w:b/>
          <w:bCs/>
        </w:rPr>
        <w:t>различные предложения</w:t>
      </w:r>
    </w:p>
    <w:p w14:paraId="20C68D46" w14:textId="77777777" w:rsidR="00855544" w:rsidRPr="001C6206" w:rsidRDefault="00855544" w:rsidP="00855544">
      <w:pPr>
        <w:pStyle w:val="HChG"/>
        <w:keepNext w:val="0"/>
        <w:keepLines w:val="0"/>
        <w:rPr>
          <w:sz w:val="20"/>
        </w:rPr>
      </w:pPr>
      <w:r>
        <w:tab/>
      </w:r>
      <w:r>
        <w:tab/>
      </w:r>
      <w:r>
        <w:rPr>
          <w:bCs/>
        </w:rPr>
        <w:t>Перевозка при регулируемой температуре</w:t>
      </w:r>
    </w:p>
    <w:p w14:paraId="7C2687A6" w14:textId="7CC1BBFF" w:rsidR="00855544" w:rsidRDefault="00855544" w:rsidP="00855544">
      <w:pPr>
        <w:pStyle w:val="H1G"/>
        <w:keepNext w:val="0"/>
        <w:keepLines w:val="0"/>
        <w:rPr>
          <w:b w:val="0"/>
          <w:sz w:val="20"/>
        </w:rPr>
      </w:pPr>
      <w:r w:rsidRPr="00855544">
        <w:rPr>
          <w:bCs/>
        </w:rPr>
        <w:tab/>
      </w:r>
      <w:r w:rsidRPr="00855544">
        <w:rPr>
          <w:bCs/>
        </w:rPr>
        <w:tab/>
        <w:t>Передано правительством Нидерландов и Европейским советом химической промышленности (ЕСФХП)</w:t>
      </w:r>
      <w:r w:rsidRPr="00855544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55544" w:rsidRPr="00855544" w14:paraId="3637A3E2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1B20A08" w14:textId="77777777" w:rsidR="00855544" w:rsidRPr="00855544" w:rsidRDefault="0085554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55544">
              <w:rPr>
                <w:rFonts w:cs="Times New Roman"/>
              </w:rPr>
              <w:tab/>
            </w:r>
            <w:r w:rsidRPr="0085554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55544" w:rsidRPr="00855544" w14:paraId="292EC9B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F96D9D0" w14:textId="717FFA85" w:rsidR="00855544" w:rsidRPr="00855544" w:rsidRDefault="00855544" w:rsidP="00855544">
            <w:pPr>
              <w:pStyle w:val="SingleTxtG"/>
              <w:tabs>
                <w:tab w:val="clear" w:pos="2835"/>
                <w:tab w:val="left" w:pos="3819"/>
              </w:tabs>
              <w:ind w:left="3819" w:hanging="2685"/>
            </w:pPr>
            <w:r w:rsidRPr="00855544">
              <w:rPr>
                <w:b/>
                <w:bCs/>
              </w:rPr>
              <w:t>Существо предложения:</w:t>
            </w:r>
            <w:r w:rsidRPr="00855544">
              <w:tab/>
              <w:t>Уточнение области применения главы 7.1 и уточнение толкования теплоизоляции в пункте 7.1.7.4.5 ДОПОГ 2021 года, а также использования контейнеров для перевозки веществ при регулируемой температуре в пункте 7.1.7.4.7 ДОПОГ 2021 года.</w:t>
            </w:r>
          </w:p>
        </w:tc>
      </w:tr>
      <w:tr w:rsidR="00855544" w:rsidRPr="00855544" w14:paraId="456349A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A1DD438" w14:textId="123260F9" w:rsidR="00855544" w:rsidRPr="00855544" w:rsidRDefault="00855544" w:rsidP="00855544">
            <w:pPr>
              <w:pStyle w:val="SingleTxtG"/>
              <w:tabs>
                <w:tab w:val="clear" w:pos="2835"/>
                <w:tab w:val="left" w:pos="3819"/>
              </w:tabs>
              <w:ind w:left="3819" w:hanging="2685"/>
              <w:rPr>
                <w:b/>
                <w:bCs/>
              </w:rPr>
            </w:pPr>
            <w:r w:rsidRPr="00855544">
              <w:rPr>
                <w:b/>
                <w:bCs/>
              </w:rPr>
              <w:t>Предлагаемое решение:</w:t>
            </w:r>
            <w:r w:rsidRPr="00855544">
              <w:rPr>
                <w:b/>
                <w:bCs/>
              </w:rPr>
              <w:tab/>
            </w:r>
            <w:r w:rsidRPr="00855544">
              <w:t>Изменить формулировку заголовка главы 7.1 и тексты пунктов 7.1.7.4.5 и 7.1.7.4.7 на основе предложений 1, 2 и 3.</w:t>
            </w:r>
          </w:p>
        </w:tc>
      </w:tr>
      <w:tr w:rsidR="00855544" w:rsidRPr="00855544" w14:paraId="0C32B2C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99A36BC" w14:textId="26C2C4AE" w:rsidR="00855544" w:rsidRPr="00855544" w:rsidRDefault="00855544" w:rsidP="00161661">
            <w:pPr>
              <w:pStyle w:val="SingleTxtG"/>
              <w:tabs>
                <w:tab w:val="clear" w:pos="2835"/>
                <w:tab w:val="left" w:pos="3819"/>
              </w:tabs>
              <w:ind w:left="3819" w:hanging="2685"/>
              <w:rPr>
                <w:b/>
                <w:bCs/>
              </w:rPr>
            </w:pPr>
            <w:r w:rsidRPr="00855544">
              <w:rPr>
                <w:b/>
                <w:bCs/>
              </w:rPr>
              <w:t>Справочные документы:</w:t>
            </w:r>
            <w:r w:rsidRPr="00855544">
              <w:t xml:space="preserve"> </w:t>
            </w:r>
            <w:r w:rsidRPr="00855544">
              <w:tab/>
              <w:t>ECE/TRANS/WP.15/246 (доклад о работе сто шестой сессии, май 2019 года), пункты 21 и 22; ECE/TRANS/WP.15/2019/1; неофициальный документ INF.3 сто шестой сессии; ECE/TRANS/WP.15/251 (доклад о работе сто восьмой сессии, ноябрь 2020 года), пункты 27 и 28; ECE/TRANS/WP.15/2020/1; неофициальный документ INF.11 сто восьмой сессии; ECE/TRANS/WP.15/253 (доклад о работе сто девятой сессии, май 2021 года), пункт 40; и неофициальный документ INF.4/Rev.1 сто девятой сессии.</w:t>
            </w:r>
          </w:p>
        </w:tc>
      </w:tr>
      <w:tr w:rsidR="00855544" w:rsidRPr="00855544" w14:paraId="295ED521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2FC6FEF" w14:textId="77777777" w:rsidR="00855544" w:rsidRPr="00855544" w:rsidRDefault="00855544" w:rsidP="00850215">
            <w:pPr>
              <w:rPr>
                <w:rFonts w:cs="Times New Roman"/>
              </w:rPr>
            </w:pPr>
          </w:p>
        </w:tc>
      </w:tr>
    </w:tbl>
    <w:p w14:paraId="6761FFA9" w14:textId="77777777" w:rsidR="00855544" w:rsidRDefault="0085554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rPr>
          <w:b/>
        </w:rPr>
        <w:br w:type="page"/>
      </w:r>
    </w:p>
    <w:p w14:paraId="3768E71D" w14:textId="0F450F20" w:rsidR="00855544" w:rsidRPr="001C6206" w:rsidRDefault="00855544" w:rsidP="00855544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4E77041F" w14:textId="77777777" w:rsidR="00855544" w:rsidRPr="001C6206" w:rsidRDefault="00855544" w:rsidP="00855544">
      <w:pPr>
        <w:pStyle w:val="SingleTxtG"/>
      </w:pPr>
      <w:r>
        <w:t>1.</w:t>
      </w:r>
      <w:r>
        <w:tab/>
        <w:t>После обсуждения на сессии Рабочей группы в ноябре 2020 года документа ECE/TRANS/WP.15/2020/1 и неофициального документа INF.11 (Соединенное Королевство) было сочтено, что следует дополнительно рассмотреть раздел 7.1.7 и согласованность с главой 9.6.</w:t>
      </w:r>
    </w:p>
    <w:p w14:paraId="46E60921" w14:textId="24D4D6D1" w:rsidR="00855544" w:rsidRPr="001C6206" w:rsidRDefault="00855544" w:rsidP="00855544">
      <w:pPr>
        <w:pStyle w:val="SingleTxtG"/>
      </w:pPr>
      <w:r>
        <w:t>2.</w:t>
      </w:r>
      <w:r>
        <w:tab/>
        <w:t>В неофициальном документе INF.4/Rev.1 Нидерланды и ЕСФХП представили проекты предложений, которые обсуждались на сессии Рабочей группы в мае 2021</w:t>
      </w:r>
      <w:r w:rsidR="00954238">
        <w:rPr>
          <w:lang w:val="en-US"/>
        </w:rPr>
        <w:t> </w:t>
      </w:r>
      <w:r>
        <w:t xml:space="preserve">года. Делегациям, желающим высказать замечания по этим проектам поправок, было предложено направить их представителям Нидерландов и ЕСФХП для подготовки официального документа к следующей сессии. </w:t>
      </w:r>
    </w:p>
    <w:p w14:paraId="01F91819" w14:textId="77777777" w:rsidR="00855544" w:rsidRPr="001C6206" w:rsidRDefault="00855544" w:rsidP="00855544">
      <w:pPr>
        <w:pStyle w:val="SingleTxtG"/>
      </w:pPr>
      <w:r>
        <w:t>3.</w:t>
      </w:r>
      <w:r>
        <w:tab/>
        <w:t>Приведенные ниже предложения представляют собой результат обсуждения между представителями Нидерландов и ЕСФХП и основаны на итогах обсуждения этой темы в ходе различных сессий Рабочей группы.</w:t>
      </w:r>
    </w:p>
    <w:p w14:paraId="4C1E3A24" w14:textId="77777777" w:rsidR="00855544" w:rsidRPr="001C6206" w:rsidRDefault="00855544" w:rsidP="00855544">
      <w:pPr>
        <w:pStyle w:val="SingleTxtG"/>
      </w:pPr>
      <w:r>
        <w:t>4.</w:t>
      </w:r>
      <w:r>
        <w:tab/>
        <w:t xml:space="preserve">Рабочей группе предлагается высказать свое мнение по этим предложениям о поправках к ДОПОГ 2021 года. </w:t>
      </w:r>
    </w:p>
    <w:p w14:paraId="3EA966B9" w14:textId="77777777" w:rsidR="00855544" w:rsidRPr="001C6206" w:rsidRDefault="00855544" w:rsidP="00855544">
      <w:pPr>
        <w:pStyle w:val="HChG"/>
      </w:pPr>
      <w:r>
        <w:tab/>
      </w:r>
      <w:r>
        <w:tab/>
      </w:r>
      <w:r>
        <w:rPr>
          <w:bCs/>
        </w:rPr>
        <w:t>Предложения</w:t>
      </w:r>
    </w:p>
    <w:p w14:paraId="03D6AA6B" w14:textId="77777777" w:rsidR="00855544" w:rsidRPr="001C6206" w:rsidRDefault="00855544" w:rsidP="00855544">
      <w:pPr>
        <w:pStyle w:val="H1G"/>
      </w:pPr>
      <w:r>
        <w:tab/>
      </w:r>
      <w:r>
        <w:tab/>
      </w:r>
      <w:r>
        <w:rPr>
          <w:bCs/>
        </w:rPr>
        <w:t>Предложение 1</w:t>
      </w:r>
    </w:p>
    <w:p w14:paraId="5D546ADD" w14:textId="77777777" w:rsidR="00855544" w:rsidRPr="001C6206" w:rsidRDefault="00855544" w:rsidP="00855544">
      <w:pPr>
        <w:pStyle w:val="SingleTxtG"/>
      </w:pPr>
      <w:r>
        <w:t>5.</w:t>
      </w:r>
      <w:r>
        <w:tab/>
        <w:t>Изменить формулировку заголовка главы 7.1 следующим образом (исключенный текст зачеркнут):</w:t>
      </w:r>
    </w:p>
    <w:p w14:paraId="0A948FA2" w14:textId="77777777" w:rsidR="00855544" w:rsidRPr="001C6206" w:rsidRDefault="00855544" w:rsidP="00855544">
      <w:pPr>
        <w:ind w:left="1701" w:right="1133"/>
        <w:rPr>
          <w:b/>
          <w:bCs/>
          <w:i/>
          <w:iCs/>
          <w:strike/>
        </w:rPr>
      </w:pPr>
      <w:r w:rsidRPr="000C02C6">
        <w:t>«</w:t>
      </w:r>
      <w:r>
        <w:rPr>
          <w:b/>
          <w:bCs/>
        </w:rPr>
        <w:t>ОБЩИЕ ПОЛОЖЕНИЯ</w:t>
      </w:r>
      <w:r>
        <w:rPr>
          <w:b/>
          <w:bCs/>
          <w:strike/>
        </w:rPr>
        <w:t xml:space="preserve"> И СПЕЦИАЛЬНЫЕ ПОЛОЖЕНИЯ, КАСАЮЩИЕСЯ РЕГУЛИРОВАНИЯ ТЕМПЕРАТУРЫ</w:t>
      </w:r>
      <w:r w:rsidRPr="000C02C6">
        <w:t>».</w:t>
      </w:r>
    </w:p>
    <w:p w14:paraId="0056EA2F" w14:textId="77777777" w:rsidR="00855544" w:rsidRPr="001C6206" w:rsidRDefault="00855544" w:rsidP="00855544">
      <w:pPr>
        <w:pStyle w:val="H1G"/>
        <w:rPr>
          <w:b w:val="0"/>
          <w:bCs/>
        </w:rPr>
      </w:pPr>
      <w:r>
        <w:tab/>
      </w:r>
      <w:r>
        <w:tab/>
      </w:r>
      <w:r>
        <w:rPr>
          <w:bCs/>
        </w:rPr>
        <w:t>Предложение 2</w:t>
      </w:r>
    </w:p>
    <w:p w14:paraId="2162C69F" w14:textId="77777777" w:rsidR="00855544" w:rsidRPr="00937708" w:rsidRDefault="00855544" w:rsidP="00855544">
      <w:pPr>
        <w:pStyle w:val="SingleTxtG"/>
      </w:pPr>
      <w:r>
        <w:t>6.</w:t>
      </w:r>
      <w:r>
        <w:tab/>
        <w:t>Изменить подпункты a) и b) пункта 7.1.7.4.5 следующим образом (новый текст подчеркнут, исключенный текст зачеркнут). Следует отметить, что</w:t>
      </w:r>
      <w:r w:rsidRPr="005A049E">
        <w:t xml:space="preserve"> </w:t>
      </w:r>
      <w:r>
        <w:t>измененный текст подпунктов с), d) и е) пункта 7.1.7.4.5, приведенный в настоящем предложении, уже был принят на основе предложения 2, содержащегося в неофициальном документе INF.11, см. ECE/TRANS/WP.15/251, пункты 27 и 28 и приложение I):</w:t>
      </w:r>
    </w:p>
    <w:p w14:paraId="656A886B" w14:textId="77777777" w:rsidR="00855544" w:rsidRPr="001C6206" w:rsidRDefault="00855544" w:rsidP="00855544">
      <w:pPr>
        <w:pStyle w:val="SingleTxtG"/>
      </w:pPr>
      <w:r>
        <w:t>«7.1.7.4.5</w:t>
      </w:r>
      <w:r>
        <w:tab/>
        <w:t>К приемлемым методам предотвращения превышения контрольной температуры относятся (указанные ниже методы перечислены в порядке возрастания их эффективности):</w:t>
      </w:r>
    </w:p>
    <w:p w14:paraId="4300641C" w14:textId="77777777" w:rsidR="00855544" w:rsidRPr="001C6206" w:rsidRDefault="00855544" w:rsidP="00855544">
      <w:pPr>
        <w:pStyle w:val="SingleTxtG"/>
        <w:ind w:left="1701" w:hanging="567"/>
      </w:pPr>
      <w:r>
        <w:t>a)</w:t>
      </w:r>
      <w:r>
        <w:tab/>
        <w:t xml:space="preserve">использование </w:t>
      </w:r>
      <w:r>
        <w:rPr>
          <w:u w:val="single"/>
        </w:rPr>
        <w:t>транспортного средства, контейнера или тары (например, транспортного пакета) с теплоизоляцией</w:t>
      </w:r>
      <w:r w:rsidRPr="00510CED">
        <w:rPr>
          <w:strike/>
        </w:rPr>
        <w:t xml:space="preserve"> </w:t>
      </w:r>
      <w:r>
        <w:rPr>
          <w:strike/>
        </w:rPr>
        <w:t>теплоизоляции</w:t>
      </w:r>
      <w:r>
        <w:t xml:space="preserve"> при условии, что первоначальная температура вещества (веществ), подлежащего(их) перевозке, достаточно ниже контрольной температуры;</w:t>
      </w:r>
    </w:p>
    <w:p w14:paraId="010D6DF4" w14:textId="77777777" w:rsidR="00855544" w:rsidRPr="001C6206" w:rsidRDefault="00855544" w:rsidP="00855544">
      <w:pPr>
        <w:pStyle w:val="SingleTxtG"/>
        <w:ind w:left="1701" w:hanging="567"/>
      </w:pPr>
      <w:r>
        <w:t>b)</w:t>
      </w:r>
      <w:r>
        <w:tab/>
        <w:t xml:space="preserve">использование </w:t>
      </w:r>
      <w:r>
        <w:rPr>
          <w:u w:val="single"/>
        </w:rPr>
        <w:t>транспортного средства, контейнера или тары (например, транспортного пакета) с теплоизоляцией</w:t>
      </w:r>
      <w:r w:rsidRPr="0009005D">
        <w:rPr>
          <w:strike/>
        </w:rPr>
        <w:t xml:space="preserve"> </w:t>
      </w:r>
      <w:r>
        <w:rPr>
          <w:strike/>
        </w:rPr>
        <w:t>теплоизоляции</w:t>
      </w:r>
      <w:r>
        <w:t xml:space="preserve"> в сочетании с системой охлаждения с расходуемым хладагентом при условии, что:</w:t>
      </w:r>
    </w:p>
    <w:p w14:paraId="7B3FCCB4" w14:textId="77777777" w:rsidR="00855544" w:rsidRPr="001C6206" w:rsidRDefault="00855544" w:rsidP="00855544">
      <w:pPr>
        <w:pStyle w:val="SingleTxtG"/>
        <w:ind w:left="2268" w:hanging="567"/>
      </w:pPr>
      <w:r>
        <w:t>i)</w:t>
      </w:r>
      <w:r>
        <w:tab/>
        <w:t>перевозится надлежащее количество невоспламеняющегося хладагента (например, жидкого азота или твердого диоксида углерода), обеспечивающее достаточный резерв на случай задержки в пути следования, или обеспечены средства его пополнения;</w:t>
      </w:r>
    </w:p>
    <w:p w14:paraId="599D15E5" w14:textId="77777777" w:rsidR="00855544" w:rsidRPr="001C6206" w:rsidRDefault="00855544" w:rsidP="00855544">
      <w:pPr>
        <w:pStyle w:val="SingleTxtG"/>
        <w:ind w:left="2268" w:hanging="567"/>
      </w:pPr>
      <w:r>
        <w:t>ii)</w:t>
      </w:r>
      <w:r>
        <w:tab/>
        <w:t>в качестве хладагента не используются жидкий кислород или воздух;</w:t>
      </w:r>
    </w:p>
    <w:p w14:paraId="7A5DC4FC" w14:textId="77777777" w:rsidR="00855544" w:rsidRPr="001C6206" w:rsidRDefault="00855544" w:rsidP="00855544">
      <w:pPr>
        <w:pStyle w:val="SingleTxtG"/>
        <w:ind w:left="2268" w:hanging="567"/>
      </w:pPr>
      <w:r>
        <w:t>iii)</w:t>
      </w:r>
      <w:r>
        <w:tab/>
        <w:t>обеспечивается равномерное охлаждение даже в том случае, если израсходована бóльшая часть хладагента; и</w:t>
      </w:r>
    </w:p>
    <w:p w14:paraId="7A5AECBB" w14:textId="77777777" w:rsidR="00855544" w:rsidRPr="001C6206" w:rsidRDefault="00855544" w:rsidP="00855544">
      <w:pPr>
        <w:pStyle w:val="SingleTxtG"/>
        <w:ind w:left="2268" w:hanging="567"/>
      </w:pPr>
      <w:r>
        <w:lastRenderedPageBreak/>
        <w:t>iv)</w:t>
      </w:r>
      <w:r>
        <w:tab/>
        <w:t>необходимость провентилировать транспортную единицу до входа в нее четко указана посредством предупреждающей надписи на двери(ях) транспортной единицы;</w:t>
      </w:r>
    </w:p>
    <w:p w14:paraId="0D38C570" w14:textId="7F3E4AA4" w:rsidR="00855544" w:rsidRPr="001C6206" w:rsidRDefault="00855544" w:rsidP="00855544">
      <w:pPr>
        <w:pStyle w:val="SingleTxtG"/>
        <w:ind w:left="1701" w:hanging="567"/>
        <w:rPr>
          <w:rFonts w:asciiTheme="majorBidi" w:hAnsiTheme="majorBidi" w:cstheme="majorBidi"/>
        </w:rPr>
      </w:pPr>
      <w:r>
        <w:t>c)</w:t>
      </w:r>
      <w:r>
        <w:tab/>
        <w:t xml:space="preserve">использование </w:t>
      </w:r>
      <w:r>
        <w:rPr>
          <w:u w:val="single"/>
        </w:rPr>
        <w:t>транспортного средства или контейнера с теплоизоляцией</w:t>
      </w:r>
      <w:r w:rsidRPr="001D443F">
        <w:rPr>
          <w:strike/>
        </w:rPr>
        <w:t xml:space="preserve"> </w:t>
      </w:r>
      <w:r>
        <w:rPr>
          <w:strike/>
        </w:rPr>
        <w:t>теплоизоляции</w:t>
      </w:r>
      <w:r>
        <w:t xml:space="preserve"> и систем</w:t>
      </w:r>
      <w:r>
        <w:rPr>
          <w:u w:val="single"/>
        </w:rPr>
        <w:t>ой</w:t>
      </w:r>
      <w:r>
        <w:rPr>
          <w:strike/>
        </w:rPr>
        <w:t>ы</w:t>
      </w:r>
      <w:r>
        <w:t xml:space="preserve"> простого машинного охлаждения при условии, что в случае вещества (веществ), подлежащего(их) перевозке, с температурой вспышки ниже аварийной температуры плюс 5 °C в холодильной камере используются взрывобезопасные электрические соединения, EEx IIB T3, с</w:t>
      </w:r>
      <w:r w:rsidR="00161661">
        <w:t> </w:t>
      </w:r>
      <w:r>
        <w:t>целью предотвращения воспламенения горючих паров, выделяемых веществами;</w:t>
      </w:r>
    </w:p>
    <w:p w14:paraId="55FB04C5" w14:textId="77777777" w:rsidR="00855544" w:rsidRPr="001C6206" w:rsidRDefault="00855544" w:rsidP="00855544">
      <w:pPr>
        <w:pStyle w:val="SingleTxtG"/>
        <w:ind w:left="1701" w:hanging="567"/>
        <w:rPr>
          <w:rFonts w:asciiTheme="majorBidi" w:hAnsiTheme="majorBidi" w:cstheme="majorBidi"/>
        </w:rPr>
      </w:pPr>
      <w:r>
        <w:t>d)</w:t>
      </w:r>
      <w:r>
        <w:tab/>
        <w:t xml:space="preserve">использование </w:t>
      </w:r>
      <w:r>
        <w:rPr>
          <w:u w:val="single"/>
        </w:rPr>
        <w:t>транспортного средства или контейнера с теплоизоляцией</w:t>
      </w:r>
      <w:r w:rsidRPr="009A4888">
        <w:rPr>
          <w:strike/>
        </w:rPr>
        <w:t xml:space="preserve"> </w:t>
      </w:r>
      <w:r>
        <w:rPr>
          <w:strike/>
        </w:rPr>
        <w:t>теплоизоляции</w:t>
      </w:r>
      <w:r>
        <w:t xml:space="preserve"> и систем</w:t>
      </w:r>
      <w:r>
        <w:rPr>
          <w:u w:val="single"/>
        </w:rPr>
        <w:t>ой</w:t>
      </w:r>
      <w:r>
        <w:rPr>
          <w:strike/>
        </w:rPr>
        <w:t>ы</w:t>
      </w:r>
      <w:r>
        <w:t xml:space="preserve"> механического охлаждения в сочетании с системой охлаждения с расходуемым хладагентом при условии, что: </w:t>
      </w:r>
    </w:p>
    <w:p w14:paraId="19F2E46B" w14:textId="77777777" w:rsidR="00855544" w:rsidRPr="001C6206" w:rsidRDefault="00855544" w:rsidP="00855544">
      <w:pPr>
        <w:pStyle w:val="SingleTxtG"/>
        <w:ind w:left="2268" w:hanging="567"/>
        <w:rPr>
          <w:rFonts w:asciiTheme="majorBidi" w:hAnsiTheme="majorBidi" w:cstheme="majorBidi"/>
        </w:rPr>
      </w:pPr>
      <w:r>
        <w:t>i)</w:t>
      </w:r>
      <w:r>
        <w:tab/>
        <w:t>обе системы не зависят друг от друга;</w:t>
      </w:r>
    </w:p>
    <w:p w14:paraId="16319119" w14:textId="77777777" w:rsidR="00855544" w:rsidRPr="001C6206" w:rsidRDefault="00855544" w:rsidP="00855544">
      <w:pPr>
        <w:pStyle w:val="SingleTxtG"/>
        <w:ind w:left="2268" w:hanging="567"/>
        <w:rPr>
          <w:rFonts w:asciiTheme="majorBidi" w:hAnsiTheme="majorBidi" w:cstheme="majorBidi"/>
        </w:rPr>
      </w:pPr>
      <w:r>
        <w:t>ii)</w:t>
      </w:r>
      <w:r>
        <w:tab/>
        <w:t>соблюдаются условия подпунктов b) и с);</w:t>
      </w:r>
    </w:p>
    <w:p w14:paraId="069836B7" w14:textId="77777777" w:rsidR="00855544" w:rsidRPr="001C6206" w:rsidRDefault="00855544" w:rsidP="00855544">
      <w:pPr>
        <w:pStyle w:val="SingleTxtG"/>
        <w:ind w:left="1701" w:hanging="567"/>
        <w:rPr>
          <w:rFonts w:asciiTheme="majorBidi" w:hAnsiTheme="majorBidi" w:cstheme="majorBidi"/>
        </w:rPr>
      </w:pPr>
      <w:r>
        <w:t>e)</w:t>
      </w:r>
      <w:r>
        <w:tab/>
        <w:t xml:space="preserve">использование </w:t>
      </w:r>
      <w:r>
        <w:rPr>
          <w:u w:val="single"/>
        </w:rPr>
        <w:t>транспортного средства или контейнера с теплоизоляцией</w:t>
      </w:r>
      <w:r w:rsidRPr="00643A1A">
        <w:rPr>
          <w:strike/>
        </w:rPr>
        <w:t xml:space="preserve"> </w:t>
      </w:r>
      <w:r>
        <w:rPr>
          <w:strike/>
        </w:rPr>
        <w:t>теплоизоляции</w:t>
      </w:r>
      <w:r>
        <w:t xml:space="preserve"> и 2 систем</w:t>
      </w:r>
      <w:r>
        <w:rPr>
          <w:u w:val="single"/>
        </w:rPr>
        <w:t>ами</w:t>
      </w:r>
      <w:r>
        <w:t xml:space="preserve"> механического охлаждения при условии, что: </w:t>
      </w:r>
    </w:p>
    <w:p w14:paraId="1877BAA9" w14:textId="77777777" w:rsidR="00855544" w:rsidRPr="001C6206" w:rsidRDefault="00855544" w:rsidP="00855544">
      <w:pPr>
        <w:pStyle w:val="SingleTxtG"/>
        <w:ind w:left="2268" w:hanging="567"/>
        <w:rPr>
          <w:rFonts w:asciiTheme="majorBidi" w:hAnsiTheme="majorBidi" w:cstheme="majorBidi"/>
        </w:rPr>
      </w:pPr>
      <w:r>
        <w:t>i)</w:t>
      </w:r>
      <w:r>
        <w:tab/>
        <w:t>за исключением единого источника энергопитания, обе системы не зависят друг от друга;</w:t>
      </w:r>
    </w:p>
    <w:p w14:paraId="4440B75E" w14:textId="77777777" w:rsidR="00855544" w:rsidRPr="001C6206" w:rsidRDefault="00855544" w:rsidP="00855544">
      <w:pPr>
        <w:pStyle w:val="SingleTxtG"/>
        <w:ind w:left="2268" w:hanging="567"/>
        <w:rPr>
          <w:rFonts w:asciiTheme="majorBidi" w:hAnsiTheme="majorBidi" w:cstheme="majorBidi"/>
        </w:rPr>
      </w:pPr>
      <w:r>
        <w:t>ii)</w:t>
      </w:r>
      <w:r>
        <w:tab/>
        <w:t>каждая система способна самостоятельно обеспечивать требуемое регулирование температуры; и</w:t>
      </w:r>
    </w:p>
    <w:p w14:paraId="01C7600D" w14:textId="77777777" w:rsidR="00855544" w:rsidRPr="001C6206" w:rsidRDefault="00855544" w:rsidP="00855544">
      <w:pPr>
        <w:pStyle w:val="SingleTxtG"/>
        <w:ind w:left="2268" w:hanging="567"/>
      </w:pPr>
      <w:r>
        <w:t>iii)</w:t>
      </w:r>
      <w:r>
        <w:tab/>
        <w:t>для вещества (веществ), подлежащего(их) перевозке, с температурой вспышки ниже аварийной температуры плюс 5 °C в холодильной камере используются взрывобезопасные электрические соединения, EEx IIB T3, с целью предотвращения воспламенения горючих паров, выделяемых веществами.».</w:t>
      </w:r>
    </w:p>
    <w:p w14:paraId="58BC9076" w14:textId="77777777" w:rsidR="00855544" w:rsidRPr="001C6206" w:rsidRDefault="00855544" w:rsidP="00855544">
      <w:pPr>
        <w:pStyle w:val="H1G"/>
        <w:rPr>
          <w:b w:val="0"/>
          <w:bCs/>
        </w:rPr>
      </w:pPr>
      <w:r>
        <w:tab/>
      </w:r>
      <w:r>
        <w:tab/>
      </w:r>
      <w:r>
        <w:rPr>
          <w:bCs/>
        </w:rPr>
        <w:t>Предложение 3</w:t>
      </w:r>
    </w:p>
    <w:p w14:paraId="54FEF27C" w14:textId="77777777" w:rsidR="00855544" w:rsidRPr="001C6206" w:rsidRDefault="00855544" w:rsidP="00855544">
      <w:pPr>
        <w:pStyle w:val="SingleTxtG"/>
      </w:pPr>
      <w:r>
        <w:t>7.</w:t>
      </w:r>
      <w:r>
        <w:tab/>
        <w:t>Изменить пункт 7.1.7.4.7 следующим образом (новый текст подчеркнут, исключенный текст зачеркнут):</w:t>
      </w:r>
    </w:p>
    <w:p w14:paraId="53A953F1" w14:textId="77777777" w:rsidR="00855544" w:rsidRPr="001C6206" w:rsidRDefault="00855544" w:rsidP="00855544">
      <w:pPr>
        <w:pStyle w:val="SingleTxtG"/>
        <w:rPr>
          <w:u w:val="single"/>
        </w:rPr>
      </w:pPr>
      <w:r>
        <w:t xml:space="preserve">«7.1.7.4.7 </w:t>
      </w:r>
      <w:r>
        <w:tab/>
      </w:r>
      <w:r>
        <w:rPr>
          <w:u w:val="single"/>
        </w:rPr>
        <w:t>Изотермические контейнеры, контейнеры-ледники и контейнеры-</w:t>
      </w:r>
      <w:r w:rsidRPr="00231E94">
        <w:rPr>
          <w:rFonts w:eastAsia="Calibri" w:cs="Arial"/>
          <w:sz w:val="21"/>
          <w:szCs w:val="21"/>
        </w:rPr>
        <w:t xml:space="preserve"> </w:t>
      </w:r>
      <w:r w:rsidRPr="00E62468">
        <w:rPr>
          <w:rFonts w:eastAsia="Calibri" w:cs="Arial"/>
          <w:sz w:val="21"/>
          <w:szCs w:val="21"/>
          <w:u w:val="single"/>
        </w:rPr>
        <w:t>рефрижераторы</w:t>
      </w:r>
      <w:r>
        <w:rPr>
          <w:u w:val="single"/>
        </w:rPr>
        <w:t>, предназначенные для перевозки веществ при регулируемой температуре, должны удовлетворять следующим требованиям:</w:t>
      </w:r>
    </w:p>
    <w:p w14:paraId="220616AD" w14:textId="77777777" w:rsidR="00855544" w:rsidRPr="001C6206" w:rsidRDefault="00855544" w:rsidP="00855544">
      <w:pPr>
        <w:pStyle w:val="SingleTxtG"/>
        <w:ind w:left="1701" w:hanging="567"/>
        <w:rPr>
          <w:u w:val="single"/>
        </w:rPr>
      </w:pPr>
      <w:r w:rsidRPr="009E2ACA">
        <w:rPr>
          <w:u w:val="single"/>
        </w:rPr>
        <w:t>a)</w:t>
      </w:r>
      <w:r w:rsidRPr="009E2ACA">
        <w:rPr>
          <w:u w:val="single"/>
        </w:rPr>
        <w:tab/>
      </w:r>
      <w:r>
        <w:rPr>
          <w:u w:val="single"/>
        </w:rPr>
        <w:t>общий коэффициент теплопередачи изотермического контейнера не должен превышать 0,4 Вт/(м</w:t>
      </w:r>
      <w:r w:rsidRPr="00543B0E">
        <w:rPr>
          <w:u w:val="single"/>
          <w:vertAlign w:val="superscript"/>
        </w:rPr>
        <w:t>2</w:t>
      </w:r>
      <w:r w:rsidRPr="006E1F97">
        <w:rPr>
          <w:rFonts w:ascii="Arial" w:hAnsi="Arial" w:cs="Arial"/>
          <w:spacing w:val="4"/>
          <w:sz w:val="21"/>
          <w:szCs w:val="21"/>
          <w:u w:val="single"/>
          <w:shd w:val="clear" w:color="auto" w:fill="FFFFFF"/>
        </w:rPr>
        <w:t xml:space="preserve"> </w:t>
      </w:r>
      <w:r>
        <w:rPr>
          <w:u w:val="single"/>
        </w:rPr>
        <w:t>К);</w:t>
      </w:r>
    </w:p>
    <w:p w14:paraId="5EA0A152" w14:textId="77777777" w:rsidR="00855544" w:rsidRPr="001C6206" w:rsidRDefault="00855544" w:rsidP="00855544">
      <w:pPr>
        <w:pStyle w:val="SingleTxtG"/>
        <w:ind w:left="1701" w:hanging="567"/>
        <w:rPr>
          <w:u w:val="single"/>
        </w:rPr>
      </w:pPr>
      <w:r w:rsidRPr="009E2ACA">
        <w:rPr>
          <w:u w:val="single"/>
        </w:rPr>
        <w:t>b)</w:t>
      </w:r>
      <w:r w:rsidRPr="009E2ACA">
        <w:rPr>
          <w:u w:val="single"/>
        </w:rPr>
        <w:tab/>
      </w:r>
      <w:r>
        <w:rPr>
          <w:u w:val="single"/>
        </w:rPr>
        <w:t>используемый хладагент должен быть невоспламеняющимся</w:t>
      </w:r>
      <w:r w:rsidRPr="006E1F97">
        <w:rPr>
          <w:u w:val="single"/>
        </w:rPr>
        <w:t xml:space="preserve">; </w:t>
      </w:r>
      <w:r>
        <w:rPr>
          <w:u w:val="single"/>
        </w:rPr>
        <w:t>и</w:t>
      </w:r>
    </w:p>
    <w:p w14:paraId="5359A2A6" w14:textId="77777777" w:rsidR="00855544" w:rsidRPr="001C6206" w:rsidRDefault="00855544" w:rsidP="00855544">
      <w:pPr>
        <w:pStyle w:val="SingleTxtG"/>
        <w:ind w:left="1701" w:hanging="567"/>
      </w:pPr>
      <w:r w:rsidRPr="003A22FF">
        <w:rPr>
          <w:u w:val="single"/>
        </w:rPr>
        <w:t>c)</w:t>
      </w:r>
      <w:r w:rsidRPr="003A22FF">
        <w:rPr>
          <w:u w:val="single"/>
        </w:rPr>
        <w:tab/>
      </w:r>
      <w:r>
        <w:rPr>
          <w:u w:val="single"/>
        </w:rPr>
        <w:t>если контейнеры имеют вентиляционные щели или вентиляционные клапаны, надлежит принять меры к тому, чтобы вентиляционные щели или вентиляционные клапаны не препятствовали охлаждению.</w:t>
      </w:r>
    </w:p>
    <w:p w14:paraId="30C1AEAB" w14:textId="77777777" w:rsidR="00855544" w:rsidRPr="001C6206" w:rsidRDefault="00855544" w:rsidP="00855544">
      <w:pPr>
        <w:pStyle w:val="SingleTxtG"/>
      </w:pPr>
      <w:r>
        <w:t>Если вещества должны перевозиться в изотермических транспортных средствах</w:t>
      </w:r>
      <w:r>
        <w:rPr>
          <w:strike/>
        </w:rPr>
        <w:t xml:space="preserve"> или контейнерах</w:t>
      </w:r>
      <w:r>
        <w:t xml:space="preserve">, транспортных средствах-ледниках или </w:t>
      </w:r>
      <w:r>
        <w:rPr>
          <w:strike/>
        </w:rPr>
        <w:t xml:space="preserve">контейнерах-ледниках, </w:t>
      </w:r>
      <w:r>
        <w:t>транспортных средствах-рефрижераторах</w:t>
      </w:r>
      <w:r>
        <w:rPr>
          <w:strike/>
        </w:rPr>
        <w:t xml:space="preserve"> или контейнерах-рефрижераторах</w:t>
      </w:r>
      <w:r>
        <w:t>, то указанные транспортные средства</w:t>
      </w:r>
      <w:r>
        <w:rPr>
          <w:strike/>
        </w:rPr>
        <w:t xml:space="preserve"> или контейнеры</w:t>
      </w:r>
      <w:r>
        <w:t xml:space="preserve"> должны удовлетворять требованиям главы 9.6.».</w:t>
      </w:r>
    </w:p>
    <w:p w14:paraId="1156B356" w14:textId="77777777" w:rsidR="00855544" w:rsidRPr="001C6206" w:rsidRDefault="00855544" w:rsidP="00855544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462A9C38" w14:textId="3C8465FA" w:rsidR="00855544" w:rsidRPr="001C6206" w:rsidRDefault="00855544" w:rsidP="00855544">
      <w:pPr>
        <w:pStyle w:val="SingleTxtG"/>
      </w:pPr>
      <w:r>
        <w:t>8.</w:t>
      </w:r>
      <w:r>
        <w:tab/>
        <w:t xml:space="preserve">В Типовых правилах, прилагаемых к двадцатому пересмотренному изданию Рекомендаций по перевозке опасных грузов, опубликованных Организацией Объединенных Наций (Типовые правила ООН), в раздел 7.1.5 были включены новые </w:t>
      </w:r>
      <w:r>
        <w:lastRenderedPageBreak/>
        <w:t>требования к перевозке веществ, требующих регулирования температуры. Эти</w:t>
      </w:r>
      <w:r w:rsidR="00954238">
        <w:t> </w:t>
      </w:r>
      <w:r>
        <w:t>требования, дублирующие аналогичные требования в ДОПОГ, были включены в новый раздел 7.1.7 варианта ДОПОГ 2019 года. Существующее специальное положение V8 в разделе 7.2.4 было удалено, и вместо него было включено пояснительное примечание.</w:t>
      </w:r>
    </w:p>
    <w:p w14:paraId="6BB7F01A" w14:textId="77777777" w:rsidR="00855544" w:rsidRPr="001C6206" w:rsidRDefault="00855544" w:rsidP="00855544">
      <w:pPr>
        <w:pStyle w:val="SingleTxtG"/>
      </w:pPr>
      <w:r>
        <w:t>9.</w:t>
      </w:r>
      <w:r>
        <w:tab/>
        <w:t>В ходе обсуждения вопроса о включении в ДОПОГ Нидерланды высказали замечание о том, что к мерам, указанным в новом пункте 7.1.7.4.5, следует добавить «изоляцию», что привело к принятию решений и внесению поправок в рекомендации, а также к дальнейшему обсуждению различий между перевозкой изотермических упаковок в неизотермических транспортных единицах и неизотермических упаковок в изотермических транспортных единицах.</w:t>
      </w:r>
    </w:p>
    <w:p w14:paraId="0A82F488" w14:textId="77777777" w:rsidR="00855544" w:rsidRPr="001C6206" w:rsidRDefault="00855544" w:rsidP="00855544">
      <w:pPr>
        <w:pStyle w:val="SingleTxtG"/>
      </w:pPr>
      <w:r>
        <w:t>10.</w:t>
      </w:r>
      <w:r>
        <w:tab/>
        <w:t xml:space="preserve">Давно ведется дискуссия о применимости пункта 9.6.1 ДОПОГ, некоторые положения которого очень трудно выполнить в случае контейнеров. </w:t>
      </w:r>
    </w:p>
    <w:p w14:paraId="5CEBCC36" w14:textId="77777777" w:rsidR="00855544" w:rsidRPr="001C6206" w:rsidRDefault="00855544" w:rsidP="00855544">
      <w:pPr>
        <w:pStyle w:val="SingleTxtG"/>
      </w:pPr>
      <w:r>
        <w:t>11.</w:t>
      </w:r>
      <w:r>
        <w:tab/>
        <w:t xml:space="preserve">Обоснование предложения 1: С введением нового раздела 7.1.7 был изменен и заголовок главы 7.1 ДОПОГ. Однако в пунктах 7.1.1–7.1.6 речь идет о контейнерах в целом. В результате изменения заголовка вся глава 7.1 применяется к положениям о регулировании температуры, а не к контейнерам в целом. Поскольку это может иметь юридические последствия, предлагается внести исправление. </w:t>
      </w:r>
    </w:p>
    <w:p w14:paraId="5D062668" w14:textId="77777777" w:rsidR="00855544" w:rsidRPr="001C6206" w:rsidRDefault="00855544" w:rsidP="00855544">
      <w:pPr>
        <w:pStyle w:val="SingleTxtG"/>
      </w:pPr>
      <w:r>
        <w:t>12.</w:t>
      </w:r>
      <w:r>
        <w:tab/>
        <w:t>Обоснование предложения 2: Для уточнения использования термина «изоляция», как это уже было сделано в результате принятии документа INF.11 (предложение 2 по подпунктам с), d) и е) пункта 7.1.7.4.5), предлагается использовать тот же текст с добавлением изотермической тары в подпункты a) и b) пункта 7.1.7.4.5.</w:t>
      </w:r>
    </w:p>
    <w:p w14:paraId="1AF73FB6" w14:textId="3EE02A9A" w:rsidR="00E12C5F" w:rsidRDefault="00855544" w:rsidP="00855544">
      <w:pPr>
        <w:pStyle w:val="SingleTxtG"/>
      </w:pPr>
      <w:r>
        <w:t>13.</w:t>
      </w:r>
      <w:r>
        <w:tab/>
        <w:t>Обоснование предложения 3: Некоторые требования пункта 9.6.1 ДОПОГ применимы как к транспортным средствам, так и к контейнерам. Как отмечалось в ходе обсуждений на предыдущих сессиях Рабочей группы, пункт 9.6.1 не должен применяться к контейнерам, и в этой связи предлагается перенести смысловое содержание требований подпунктов a), d) и e) пункта 9.6.1 в пункт 7.1.7.4.7 в отношении контейнеров. Пункт 7.1.7.4.7 является специфическим для ДОПОГ и не противоречит Типовым правилам ООН.</w:t>
      </w:r>
    </w:p>
    <w:p w14:paraId="38CF30FC" w14:textId="7F97019E" w:rsidR="00855544" w:rsidRPr="00855544" w:rsidRDefault="00855544" w:rsidP="0085554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5544" w:rsidRPr="00855544" w:rsidSect="008555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CF06" w14:textId="77777777" w:rsidR="00451193" w:rsidRPr="00A312BC" w:rsidRDefault="00451193" w:rsidP="00A312BC"/>
  </w:endnote>
  <w:endnote w:type="continuationSeparator" w:id="0">
    <w:p w14:paraId="4D21B63C" w14:textId="77777777" w:rsidR="00451193" w:rsidRPr="00A312BC" w:rsidRDefault="004511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B443" w14:textId="44641C38" w:rsidR="00855544" w:rsidRPr="00855544" w:rsidRDefault="00855544">
    <w:pPr>
      <w:pStyle w:val="Footer"/>
    </w:pPr>
    <w:r w:rsidRPr="00855544">
      <w:rPr>
        <w:b/>
        <w:sz w:val="18"/>
      </w:rPr>
      <w:fldChar w:fldCharType="begin"/>
    </w:r>
    <w:r w:rsidRPr="00855544">
      <w:rPr>
        <w:b/>
        <w:sz w:val="18"/>
      </w:rPr>
      <w:instrText xml:space="preserve"> PAGE  \* MERGEFORMAT </w:instrText>
    </w:r>
    <w:r w:rsidRPr="00855544">
      <w:rPr>
        <w:b/>
        <w:sz w:val="18"/>
      </w:rPr>
      <w:fldChar w:fldCharType="separate"/>
    </w:r>
    <w:r w:rsidRPr="00855544">
      <w:rPr>
        <w:b/>
        <w:noProof/>
        <w:sz w:val="18"/>
      </w:rPr>
      <w:t>2</w:t>
    </w:r>
    <w:r w:rsidRPr="00855544">
      <w:rPr>
        <w:b/>
        <w:sz w:val="18"/>
      </w:rPr>
      <w:fldChar w:fldCharType="end"/>
    </w:r>
    <w:r>
      <w:rPr>
        <w:b/>
        <w:sz w:val="18"/>
      </w:rPr>
      <w:tab/>
    </w:r>
    <w:r>
      <w:t>GE.21-11515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7594E" w14:textId="197CDF5D" w:rsidR="00855544" w:rsidRPr="00855544" w:rsidRDefault="00855544" w:rsidP="00855544">
    <w:pPr>
      <w:pStyle w:val="Footer"/>
      <w:tabs>
        <w:tab w:val="clear" w:pos="9639"/>
        <w:tab w:val="right" w:pos="9638"/>
      </w:tabs>
      <w:rPr>
        <w:b/>
        <w:sz w:val="18"/>
      </w:rPr>
    </w:pPr>
    <w:r>
      <w:t>GE.21-11515</w:t>
    </w:r>
    <w:r>
      <w:tab/>
    </w:r>
    <w:r w:rsidRPr="00855544">
      <w:rPr>
        <w:b/>
        <w:sz w:val="18"/>
      </w:rPr>
      <w:fldChar w:fldCharType="begin"/>
    </w:r>
    <w:r w:rsidRPr="00855544">
      <w:rPr>
        <w:b/>
        <w:sz w:val="18"/>
      </w:rPr>
      <w:instrText xml:space="preserve"> PAGE  \* MERGEFORMAT </w:instrText>
    </w:r>
    <w:r w:rsidRPr="00855544">
      <w:rPr>
        <w:b/>
        <w:sz w:val="18"/>
      </w:rPr>
      <w:fldChar w:fldCharType="separate"/>
    </w:r>
    <w:r w:rsidRPr="00855544">
      <w:rPr>
        <w:b/>
        <w:noProof/>
        <w:sz w:val="18"/>
      </w:rPr>
      <w:t>3</w:t>
    </w:r>
    <w:r w:rsidRPr="008555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D40F" w14:textId="06758399" w:rsidR="00042B72" w:rsidRPr="00855544" w:rsidRDefault="00855544" w:rsidP="0085554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A91027" wp14:editId="25B8327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21-11515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5D79031" wp14:editId="7D49194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230821  300821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B6376" w14:textId="77777777" w:rsidR="00451193" w:rsidRPr="001075E9" w:rsidRDefault="004511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3CDA53" w14:textId="77777777" w:rsidR="00451193" w:rsidRDefault="004511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078419" w14:textId="77777777" w:rsidR="00855544" w:rsidRDefault="00855544" w:rsidP="00855544">
      <w:pPr>
        <w:pStyle w:val="FootnoteText"/>
        <w:tabs>
          <w:tab w:val="left" w:pos="720"/>
        </w:tabs>
        <w:ind w:left="1418" w:right="1260" w:hanging="284"/>
        <w:jc w:val="both"/>
      </w:pPr>
      <w:r w:rsidRPr="00855544">
        <w:rPr>
          <w:rStyle w:val="FootnoteReference"/>
          <w:sz w:val="20"/>
          <w:vertAlign w:val="baseline"/>
        </w:rPr>
        <w:sym w:font="Symbol" w:char="F02A"/>
      </w:r>
      <w:r>
        <w:tab/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0298" w14:textId="38A35520" w:rsidR="00855544" w:rsidRPr="00855544" w:rsidRDefault="00A40973">
    <w:pPr>
      <w:pStyle w:val="Header"/>
    </w:pPr>
    <w:fldSimple w:instr=" TITLE  \* MERGEFORMAT ">
      <w:r>
        <w:t>ECE/TRANS/WP.15/2021/13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372F" w14:textId="0677A6C1" w:rsidR="00855544" w:rsidRPr="00855544" w:rsidRDefault="00A40973" w:rsidP="00855544">
    <w:pPr>
      <w:pStyle w:val="Header"/>
      <w:jc w:val="right"/>
    </w:pPr>
    <w:fldSimple w:instr=" TITLE  \* MERGEFORMAT ">
      <w:r>
        <w:t>ECE/TRANS/WP.15/2021/13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93"/>
    <w:rsid w:val="00033EE1"/>
    <w:rsid w:val="00042B72"/>
    <w:rsid w:val="000558BD"/>
    <w:rsid w:val="000A4F95"/>
    <w:rsid w:val="000B57E7"/>
    <w:rsid w:val="000B6373"/>
    <w:rsid w:val="000E4E5B"/>
    <w:rsid w:val="000F09DF"/>
    <w:rsid w:val="000F61B2"/>
    <w:rsid w:val="001075E9"/>
    <w:rsid w:val="0014152F"/>
    <w:rsid w:val="00161661"/>
    <w:rsid w:val="00180183"/>
    <w:rsid w:val="0018024D"/>
    <w:rsid w:val="0018649F"/>
    <w:rsid w:val="00196389"/>
    <w:rsid w:val="001B3EF6"/>
    <w:rsid w:val="001C7A89"/>
    <w:rsid w:val="00246686"/>
    <w:rsid w:val="00255343"/>
    <w:rsid w:val="0027151D"/>
    <w:rsid w:val="002A2EFC"/>
    <w:rsid w:val="002B0106"/>
    <w:rsid w:val="002B74B1"/>
    <w:rsid w:val="002C0E18"/>
    <w:rsid w:val="002D5AAC"/>
    <w:rsid w:val="002E5067"/>
    <w:rsid w:val="002E7CD8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119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1F97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554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238"/>
    <w:rsid w:val="009608F3"/>
    <w:rsid w:val="009A24AC"/>
    <w:rsid w:val="009C59D7"/>
    <w:rsid w:val="009C6FE6"/>
    <w:rsid w:val="009D7E7D"/>
    <w:rsid w:val="00A14DA8"/>
    <w:rsid w:val="00A312BC"/>
    <w:rsid w:val="00A4097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00D4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E96858"/>
  <w15:docId w15:val="{A89B4F54-F9E3-4DC9-A665-E1525471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855544"/>
    <w:rPr>
      <w:lang w:val="ru-RU" w:eastAsia="en-US"/>
    </w:rPr>
  </w:style>
  <w:style w:type="paragraph" w:customStyle="1" w:styleId="ParNoG">
    <w:name w:val="_ParNo_G"/>
    <w:basedOn w:val="SingleTxtG"/>
    <w:qFormat/>
    <w:rsid w:val="00855544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locked/>
    <w:rsid w:val="0085554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85554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7680</Characters>
  <Application>Microsoft Office Word</Application>
  <DocSecurity>0</DocSecurity>
  <Lines>64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ECE/TRANS/WP.15/2021/13</vt:lpstr>
      <vt:lpstr>A/</vt:lpstr>
      <vt:lpstr>A/</vt:lpstr>
    </vt:vector>
  </TitlesOfParts>
  <Company>DCM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ECE/TRANS/WP.15/2021/13</dc:title>
  <dc:subject/>
  <dc:creator>Uliana ANTIPOVA</dc:creator>
  <cp:keywords/>
  <cp:lastModifiedBy>Christine Barrio-Champeau</cp:lastModifiedBy>
  <cp:revision>2</cp:revision>
  <cp:lastPrinted>2021-08-30T10:41:00Z</cp:lastPrinted>
  <dcterms:created xsi:type="dcterms:W3CDTF">2021-10-06T08:05:00Z</dcterms:created>
  <dcterms:modified xsi:type="dcterms:W3CDTF">2021-10-06T08:05:00Z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