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B82CE99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4C0F67" w14:textId="77777777" w:rsidR="001433FD" w:rsidRPr="00DB58B5" w:rsidRDefault="001433FD" w:rsidP="0000779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F7AE9F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F2D92F" w14:textId="205FEB65" w:rsidR="001433FD" w:rsidRPr="00DB58B5" w:rsidRDefault="00007798" w:rsidP="00007798">
            <w:pPr>
              <w:jc w:val="right"/>
            </w:pPr>
            <w:r w:rsidRPr="00007798">
              <w:rPr>
                <w:sz w:val="40"/>
              </w:rPr>
              <w:t>ECE</w:t>
            </w:r>
            <w:r>
              <w:t>/TRANS/WP.15/2021/13</w:t>
            </w:r>
          </w:p>
        </w:tc>
      </w:tr>
      <w:tr w:rsidR="001433FD" w:rsidRPr="00DB58B5" w14:paraId="69CFBEC8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3C7410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03D287" wp14:editId="7FB08DB5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3D514C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FE17C4" w14:textId="77777777" w:rsidR="001433FD" w:rsidRDefault="00007798" w:rsidP="00295CCA">
            <w:pPr>
              <w:spacing w:before="240"/>
            </w:pPr>
            <w:r>
              <w:t>Distr. générale</w:t>
            </w:r>
          </w:p>
          <w:p w14:paraId="4303251F" w14:textId="77777777" w:rsidR="00007798" w:rsidRDefault="00007798" w:rsidP="00007798">
            <w:pPr>
              <w:spacing w:line="240" w:lineRule="exact"/>
            </w:pPr>
            <w:r>
              <w:t>20 août 2021</w:t>
            </w:r>
          </w:p>
          <w:p w14:paraId="4856755C" w14:textId="77777777" w:rsidR="00007798" w:rsidRDefault="00007798" w:rsidP="00007798">
            <w:pPr>
              <w:spacing w:line="240" w:lineRule="exact"/>
            </w:pPr>
            <w:r>
              <w:t>Français</w:t>
            </w:r>
          </w:p>
          <w:p w14:paraId="61648F06" w14:textId="54BA1EAE" w:rsidR="00007798" w:rsidRPr="00DB58B5" w:rsidRDefault="00007798" w:rsidP="00007798">
            <w:pPr>
              <w:spacing w:line="240" w:lineRule="exact"/>
            </w:pPr>
            <w:r>
              <w:t>Original : anglais</w:t>
            </w:r>
          </w:p>
        </w:tc>
      </w:tr>
    </w:tbl>
    <w:p w14:paraId="61D6E42F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43D8996" w14:textId="77777777" w:rsidR="00007798" w:rsidRPr="008328B0" w:rsidRDefault="00007798" w:rsidP="00C46D4B">
      <w:pPr>
        <w:spacing w:before="120"/>
        <w:rPr>
          <w:sz w:val="28"/>
          <w:szCs w:val="28"/>
          <w:lang w:val="fr-FR"/>
        </w:rPr>
      </w:pPr>
      <w:r w:rsidRPr="008328B0">
        <w:rPr>
          <w:sz w:val="28"/>
          <w:szCs w:val="28"/>
          <w:lang w:val="fr-FR"/>
        </w:rPr>
        <w:t>Comité des transports intérieurs</w:t>
      </w:r>
    </w:p>
    <w:p w14:paraId="67D3FA89" w14:textId="77777777" w:rsidR="00007798" w:rsidRPr="00577436" w:rsidRDefault="00007798" w:rsidP="00C46D4B">
      <w:pPr>
        <w:spacing w:before="120"/>
        <w:rPr>
          <w:bCs/>
          <w:sz w:val="24"/>
          <w:szCs w:val="24"/>
          <w:lang w:val="fr-FR"/>
        </w:rPr>
      </w:pPr>
      <w:r w:rsidRPr="008328B0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4A3F38B4" w14:textId="77777777" w:rsidR="00007798" w:rsidRPr="00C46D4B" w:rsidRDefault="00007798" w:rsidP="00C46D4B">
      <w:pPr>
        <w:spacing w:before="120"/>
        <w:rPr>
          <w:b/>
          <w:bCs/>
          <w:lang w:val="fr-FR"/>
        </w:rPr>
      </w:pPr>
      <w:r w:rsidRPr="00C46D4B">
        <w:rPr>
          <w:b/>
          <w:bCs/>
          <w:lang w:val="fr-FR"/>
        </w:rPr>
        <w:t>110</w:t>
      </w:r>
      <w:r w:rsidRPr="00C46D4B">
        <w:rPr>
          <w:b/>
          <w:bCs/>
          <w:vertAlign w:val="superscript"/>
          <w:lang w:val="fr-FR"/>
        </w:rPr>
        <w:t>e</w:t>
      </w:r>
      <w:r w:rsidRPr="00C46D4B">
        <w:rPr>
          <w:b/>
          <w:bCs/>
          <w:lang w:val="fr-FR"/>
        </w:rPr>
        <w:t xml:space="preserve"> session</w:t>
      </w:r>
    </w:p>
    <w:p w14:paraId="766F308C" w14:textId="77777777" w:rsidR="00007798" w:rsidRPr="00C46D4B" w:rsidRDefault="00007798" w:rsidP="00007798">
      <w:pPr>
        <w:rPr>
          <w:rFonts w:eastAsia="SimSun"/>
          <w:lang w:val="fr-FR"/>
        </w:rPr>
      </w:pPr>
      <w:r w:rsidRPr="00C46D4B">
        <w:rPr>
          <w:lang w:val="fr-FR"/>
        </w:rPr>
        <w:t>Genève, 8-12 novembre 2021</w:t>
      </w:r>
    </w:p>
    <w:p w14:paraId="22A65EED" w14:textId="77777777" w:rsidR="00007798" w:rsidRPr="00C46D4B" w:rsidRDefault="00007798" w:rsidP="00007798">
      <w:pPr>
        <w:rPr>
          <w:lang w:val="fr-FR"/>
        </w:rPr>
      </w:pPr>
      <w:r w:rsidRPr="00C46D4B">
        <w:rPr>
          <w:lang w:val="fr-FR"/>
        </w:rPr>
        <w:t>Point 5 b) de l’ordre du jour provisoire</w:t>
      </w:r>
    </w:p>
    <w:p w14:paraId="63946B82" w14:textId="77777777" w:rsidR="00007798" w:rsidRPr="00C46D4B" w:rsidRDefault="00007798" w:rsidP="00007798">
      <w:pPr>
        <w:rPr>
          <w:b/>
          <w:bCs/>
          <w:lang w:val="fr-FR"/>
        </w:rPr>
      </w:pPr>
      <w:r w:rsidRPr="00C46D4B">
        <w:rPr>
          <w:b/>
          <w:bCs/>
          <w:lang w:val="fr-FR"/>
        </w:rPr>
        <w:t>Propositions d’amendements aux annexes A et B de l’ADR :</w:t>
      </w:r>
    </w:p>
    <w:p w14:paraId="4FED4A05" w14:textId="77777777" w:rsidR="00007798" w:rsidRPr="00C46D4B" w:rsidRDefault="00007798" w:rsidP="00007798">
      <w:pPr>
        <w:rPr>
          <w:lang w:val="fr-FR"/>
        </w:rPr>
      </w:pPr>
      <w:r w:rsidRPr="00C46D4B">
        <w:rPr>
          <w:b/>
          <w:bCs/>
          <w:lang w:val="fr-FR"/>
        </w:rPr>
        <w:t>Propositions diverses</w:t>
      </w:r>
    </w:p>
    <w:p w14:paraId="5D3D7BF4" w14:textId="77777777" w:rsidR="00007798" w:rsidRPr="008328B0" w:rsidRDefault="00007798" w:rsidP="00C46D4B">
      <w:pPr>
        <w:pStyle w:val="HChG"/>
        <w:rPr>
          <w:lang w:val="fr-FR"/>
        </w:rPr>
      </w:pPr>
      <w:r w:rsidRPr="008328B0">
        <w:rPr>
          <w:lang w:val="fr-FR"/>
        </w:rPr>
        <w:tab/>
      </w:r>
      <w:r w:rsidRPr="008328B0">
        <w:rPr>
          <w:lang w:val="fr-FR"/>
        </w:rPr>
        <w:tab/>
        <w:t xml:space="preserve">Transports sous régulation de température </w:t>
      </w:r>
    </w:p>
    <w:p w14:paraId="1AC92D30" w14:textId="1C90449A" w:rsidR="00007798" w:rsidRDefault="00C46D4B" w:rsidP="00C46D4B">
      <w:pPr>
        <w:pStyle w:val="H1G"/>
        <w:rPr>
          <w:b w:val="0"/>
          <w:bCs/>
          <w:sz w:val="20"/>
          <w:szCs w:val="1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07798" w:rsidRPr="00577436">
        <w:rPr>
          <w:lang w:val="fr-FR"/>
        </w:rPr>
        <w:t xml:space="preserve">Communication du Gouvernement néerlandais et du Conseil </w:t>
      </w:r>
      <w:r>
        <w:rPr>
          <w:lang w:val="fr-FR"/>
        </w:rPr>
        <w:br/>
      </w:r>
      <w:r w:rsidR="00007798" w:rsidRPr="00577436">
        <w:rPr>
          <w:lang w:val="fr-FR"/>
        </w:rPr>
        <w:t>européen de l</w:t>
      </w:r>
      <w:r w:rsidR="00007798">
        <w:rPr>
          <w:lang w:val="fr-FR"/>
        </w:rPr>
        <w:t>’</w:t>
      </w:r>
      <w:r w:rsidR="00007798" w:rsidRPr="00577436">
        <w:rPr>
          <w:lang w:val="fr-FR"/>
        </w:rPr>
        <w:t>industrie chimique (CEFIC)</w:t>
      </w:r>
      <w:r w:rsidR="00007798" w:rsidRPr="00C46D4B">
        <w:rPr>
          <w:b w:val="0"/>
          <w:bCs/>
          <w:sz w:val="20"/>
          <w:szCs w:val="16"/>
          <w:lang w:val="fr-FR"/>
        </w:rPr>
        <w:footnoteReference w:customMarkFollows="1" w:id="2"/>
        <w:sym w:font="Symbol" w:char="F02A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C46D4B" w:rsidRPr="00C46D4B" w14:paraId="34BB573A" w14:textId="77777777" w:rsidTr="00895B4F">
        <w:trPr>
          <w:trHeight w:val="687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AFCA7" w14:textId="23A817DA" w:rsidR="00C46D4B" w:rsidRPr="00C46D4B" w:rsidRDefault="00C46D4B" w:rsidP="00895B4F">
            <w:pPr>
              <w:spacing w:before="240" w:after="120"/>
              <w:ind w:left="255"/>
              <w:rPr>
                <w:i/>
                <w:sz w:val="24"/>
                <w:szCs w:val="24"/>
                <w:lang w:val="fr-FR"/>
              </w:rPr>
            </w:pPr>
            <w:r w:rsidRPr="00C46D4B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C46D4B" w:rsidRPr="00C46D4B" w14:paraId="44F93FFF" w14:textId="77777777" w:rsidTr="00895B4F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E2DA1" w14:textId="28F36751" w:rsidR="00C46D4B" w:rsidRPr="00C46D4B" w:rsidRDefault="00C46D4B" w:rsidP="00895B4F">
            <w:pPr>
              <w:pStyle w:val="SingleTxtG"/>
              <w:ind w:left="3686" w:hanging="2552"/>
              <w:rPr>
                <w:b/>
                <w:lang w:val="fr-FR"/>
              </w:rPr>
            </w:pPr>
            <w:r w:rsidRPr="00C46D4B">
              <w:rPr>
                <w:b/>
                <w:bCs/>
                <w:lang w:val="fr-FR"/>
              </w:rPr>
              <w:t>Résumé analytique :</w:t>
            </w:r>
            <w:r w:rsidRPr="00C46D4B">
              <w:rPr>
                <w:lang w:val="fr-FR"/>
              </w:rPr>
              <w:tab/>
              <w:t>Précisions concernant le champ d’application du chapitre</w:t>
            </w:r>
            <w:r>
              <w:rPr>
                <w:lang w:val="fr-FR"/>
              </w:rPr>
              <w:t> </w:t>
            </w:r>
            <w:r w:rsidRPr="00C46D4B">
              <w:rPr>
                <w:lang w:val="fr-FR"/>
              </w:rPr>
              <w:t>7.1 et l’interprétation de l’isolation thermique dans la sous-section 7.1.7.4.5 de l’édition 2021 de l’ADR ainsi que de l’utilisation de conteneurs pour le transport de matières sous régulation de température dans la sous</w:t>
            </w:r>
            <w:r w:rsidR="009A15B6">
              <w:rPr>
                <w:lang w:val="fr-FR"/>
              </w:rPr>
              <w:noBreakHyphen/>
            </w:r>
            <w:r w:rsidRPr="00C46D4B">
              <w:rPr>
                <w:lang w:val="fr-FR"/>
              </w:rPr>
              <w:t>section</w:t>
            </w:r>
            <w:r>
              <w:rPr>
                <w:lang w:val="fr-FR"/>
              </w:rPr>
              <w:t> </w:t>
            </w:r>
            <w:r w:rsidRPr="00C46D4B">
              <w:rPr>
                <w:lang w:val="fr-FR"/>
              </w:rPr>
              <w:t>7.1.7.4.7.</w:t>
            </w:r>
          </w:p>
        </w:tc>
      </w:tr>
      <w:tr w:rsidR="00C46D4B" w:rsidRPr="00C46D4B" w14:paraId="34A23D27" w14:textId="77777777" w:rsidTr="00895B4F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91BF5" w14:textId="77C92780" w:rsidR="00C46D4B" w:rsidRPr="00C46D4B" w:rsidRDefault="00C46D4B" w:rsidP="00895B4F">
            <w:pPr>
              <w:pStyle w:val="SingleTxtG"/>
              <w:ind w:left="3686" w:hanging="2552"/>
              <w:rPr>
                <w:b/>
                <w:bCs/>
                <w:lang w:val="fr-FR"/>
              </w:rPr>
            </w:pPr>
            <w:r w:rsidRPr="00C46D4B">
              <w:rPr>
                <w:b/>
                <w:bCs/>
                <w:lang w:val="fr-FR"/>
              </w:rPr>
              <w:t>Mesures à prendre :</w:t>
            </w:r>
            <w:r w:rsidRPr="00C46D4B">
              <w:rPr>
                <w:b/>
                <w:bCs/>
                <w:lang w:val="fr-FR"/>
              </w:rPr>
              <w:tab/>
            </w:r>
            <w:r w:rsidRPr="00C46D4B">
              <w:rPr>
                <w:lang w:val="fr-FR"/>
              </w:rPr>
              <w:t>Modifier le libellé du titre du chapitre</w:t>
            </w:r>
            <w:r>
              <w:rPr>
                <w:lang w:val="fr-FR"/>
              </w:rPr>
              <w:t> </w:t>
            </w:r>
            <w:r w:rsidRPr="00C46D4B">
              <w:rPr>
                <w:lang w:val="fr-FR"/>
              </w:rPr>
              <w:t>7.1 et le libellé des sous-sections</w:t>
            </w:r>
            <w:r>
              <w:rPr>
                <w:lang w:val="fr-FR"/>
              </w:rPr>
              <w:t> </w:t>
            </w:r>
            <w:r w:rsidRPr="00C46D4B">
              <w:rPr>
                <w:lang w:val="fr-FR"/>
              </w:rPr>
              <w:t>7.1.7.4.5 et 7.1.7.4.7 sur la base des propositions 1, 2 et 3.</w:t>
            </w:r>
          </w:p>
        </w:tc>
      </w:tr>
      <w:tr w:rsidR="00C46D4B" w:rsidRPr="00C46D4B" w14:paraId="63B5A590" w14:textId="77777777" w:rsidTr="00895B4F">
        <w:trPr>
          <w:trHeight w:val="1420"/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314B5" w14:textId="39A48F0B" w:rsidR="009F3F1B" w:rsidRPr="009F3F1B" w:rsidRDefault="00C46D4B" w:rsidP="009F3F1B">
            <w:pPr>
              <w:pStyle w:val="SingleTxtG"/>
              <w:ind w:left="3686" w:hanging="2552"/>
              <w:rPr>
                <w:lang w:val="fr-FR"/>
              </w:rPr>
            </w:pPr>
            <w:r w:rsidRPr="009F3F1B">
              <w:rPr>
                <w:b/>
                <w:bCs/>
                <w:lang w:val="fr-FR"/>
              </w:rPr>
              <w:t>Documents connexes :</w:t>
            </w:r>
            <w:r w:rsidRPr="009F3F1B">
              <w:rPr>
                <w:lang w:val="fr-FR"/>
              </w:rPr>
              <w:tab/>
            </w:r>
            <w:r w:rsidR="009F3F1B" w:rsidRPr="009F3F1B">
              <w:rPr>
                <w:lang w:val="fr-FR"/>
              </w:rPr>
              <w:t>ECE/TRANS/WP.15/246 (rapport sur la 106</w:t>
            </w:r>
            <w:r w:rsidR="009F3F1B" w:rsidRPr="009F3F1B">
              <w:rPr>
                <w:vertAlign w:val="superscript"/>
                <w:lang w:val="fr-FR"/>
              </w:rPr>
              <w:t>e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session, mai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2019), par.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21 et 22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; ECE/TRANS/WP.15/2019/1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; document informel INF.3 (106</w:t>
            </w:r>
            <w:r w:rsidR="009F3F1B" w:rsidRPr="009F3F1B">
              <w:rPr>
                <w:vertAlign w:val="superscript"/>
                <w:lang w:val="fr-FR"/>
              </w:rPr>
              <w:t>e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session)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; ECE/TRANS/WP.15/251 (rapport sur la 108</w:t>
            </w:r>
            <w:r w:rsidR="009F3F1B" w:rsidRPr="009F3F1B">
              <w:rPr>
                <w:vertAlign w:val="superscript"/>
                <w:lang w:val="fr-FR"/>
              </w:rPr>
              <w:t>e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session, novembre 2020), par.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27 et 28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; ECE/TRANS/WP.15/2020/1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; document informel INF.11 (108</w:t>
            </w:r>
            <w:r w:rsidR="009F3F1B" w:rsidRPr="009F3F1B">
              <w:rPr>
                <w:vertAlign w:val="superscript"/>
                <w:lang w:val="fr-FR"/>
              </w:rPr>
              <w:t>e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>session)</w:t>
            </w:r>
            <w:r w:rsidR="009F3F1B">
              <w:rPr>
                <w:lang w:val="fr-FR"/>
              </w:rPr>
              <w:t> </w:t>
            </w:r>
            <w:r w:rsidR="009F3F1B" w:rsidRPr="009F3F1B">
              <w:rPr>
                <w:lang w:val="fr-FR"/>
              </w:rPr>
              <w:t xml:space="preserve">; </w:t>
            </w:r>
          </w:p>
          <w:p w14:paraId="36367F12" w14:textId="783C092F" w:rsidR="00C46D4B" w:rsidRPr="009F3F1B" w:rsidRDefault="009F3F1B" w:rsidP="009F3F1B">
            <w:pPr>
              <w:pStyle w:val="SingleTxtG"/>
              <w:ind w:left="3686" w:hanging="2552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9F3F1B">
              <w:rPr>
                <w:lang w:val="fr-FR"/>
              </w:rPr>
              <w:tab/>
              <w:t>ECE/TRANS/WP.15/253 ((rapport sur la 109</w:t>
            </w:r>
            <w:r w:rsidRPr="009F3F1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9F3F1B">
              <w:rPr>
                <w:lang w:val="fr-FR"/>
              </w:rPr>
              <w:t>session, mai</w:t>
            </w:r>
            <w:r>
              <w:rPr>
                <w:lang w:val="fr-FR"/>
              </w:rPr>
              <w:t> </w:t>
            </w:r>
            <w:r w:rsidRPr="009F3F1B">
              <w:rPr>
                <w:lang w:val="fr-FR"/>
              </w:rPr>
              <w:t>2021), par.</w:t>
            </w:r>
            <w:r>
              <w:rPr>
                <w:lang w:val="fr-FR"/>
              </w:rPr>
              <w:t> </w:t>
            </w:r>
            <w:r w:rsidRPr="009F3F1B">
              <w:rPr>
                <w:lang w:val="fr-FR"/>
              </w:rPr>
              <w:t>40, et document informel INF.4/Rev.1 (109</w:t>
            </w:r>
            <w:r w:rsidRPr="009F3F1B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9F3F1B">
              <w:rPr>
                <w:lang w:val="fr-FR"/>
              </w:rPr>
              <w:t>session).</w:t>
            </w:r>
          </w:p>
        </w:tc>
      </w:tr>
      <w:tr w:rsidR="009F3F1B" w:rsidRPr="009F3F1B" w14:paraId="2B9AC39A" w14:textId="77777777" w:rsidTr="00895B4F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E8" w14:textId="77777777" w:rsidR="00C46D4B" w:rsidRPr="009F3F1B" w:rsidRDefault="00C46D4B" w:rsidP="00895B4F">
            <w:pPr>
              <w:rPr>
                <w:lang w:val="fr-FR"/>
              </w:rPr>
            </w:pPr>
          </w:p>
        </w:tc>
      </w:tr>
    </w:tbl>
    <w:p w14:paraId="5AFE3D91" w14:textId="77777777" w:rsidR="00007798" w:rsidRPr="008328B0" w:rsidRDefault="00007798" w:rsidP="009F3F1B">
      <w:pPr>
        <w:pStyle w:val="HChG"/>
        <w:rPr>
          <w:lang w:val="fr-FR"/>
        </w:rPr>
      </w:pPr>
      <w:r w:rsidRPr="008328B0">
        <w:rPr>
          <w:lang w:val="fr-FR"/>
        </w:rPr>
        <w:lastRenderedPageBreak/>
        <w:tab/>
      </w:r>
      <w:r w:rsidRPr="008328B0">
        <w:rPr>
          <w:lang w:val="fr-FR"/>
        </w:rPr>
        <w:tab/>
        <w:t>Introduction</w:t>
      </w:r>
    </w:p>
    <w:p w14:paraId="668CDCE8" w14:textId="77777777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1.</w:t>
      </w:r>
      <w:r w:rsidRPr="008328B0">
        <w:rPr>
          <w:lang w:val="fr-FR"/>
        </w:rPr>
        <w:tab/>
        <w:t>À sa session de novembre 2020, le Groupe de travail a estimé</w:t>
      </w:r>
      <w:r>
        <w:rPr>
          <w:lang w:val="fr-FR"/>
        </w:rPr>
        <w:t>,</w:t>
      </w:r>
      <w:r w:rsidRPr="008328B0">
        <w:rPr>
          <w:lang w:val="fr-FR"/>
        </w:rPr>
        <w:t xml:space="preserve"> </w:t>
      </w:r>
      <w:r>
        <w:rPr>
          <w:lang w:val="fr-FR"/>
        </w:rPr>
        <w:t>à</w:t>
      </w:r>
      <w:r w:rsidRPr="008328B0">
        <w:rPr>
          <w:lang w:val="fr-FR"/>
        </w:rPr>
        <w:t xml:space="preserve"> l</w:t>
      </w:r>
      <w:r>
        <w:rPr>
          <w:lang w:val="fr-FR"/>
        </w:rPr>
        <w:t>’</w:t>
      </w:r>
      <w:r w:rsidRPr="008328B0">
        <w:rPr>
          <w:lang w:val="fr-FR"/>
        </w:rPr>
        <w:t>issue d</w:t>
      </w:r>
      <w:r>
        <w:rPr>
          <w:lang w:val="fr-FR"/>
        </w:rPr>
        <w:t>’</w:t>
      </w:r>
      <w:r w:rsidRPr="008328B0">
        <w:rPr>
          <w:lang w:val="fr-FR"/>
        </w:rPr>
        <w:t>un débat sur le document ECE/TRANS/WP.15/2020/1 et le document informel INF.11 (</w:t>
      </w:r>
      <w:r>
        <w:rPr>
          <w:lang w:val="fr-FR"/>
        </w:rPr>
        <w:t xml:space="preserve">Royaume-Uni), </w:t>
      </w:r>
      <w:r w:rsidRPr="008328B0">
        <w:rPr>
          <w:lang w:val="fr-FR"/>
        </w:rPr>
        <w:t>qu</w:t>
      </w:r>
      <w:r>
        <w:rPr>
          <w:lang w:val="fr-FR"/>
        </w:rPr>
        <w:t>’</w:t>
      </w:r>
      <w:r w:rsidRPr="008328B0">
        <w:rPr>
          <w:lang w:val="fr-FR"/>
        </w:rPr>
        <w:t>il convenait d</w:t>
      </w:r>
      <w:r>
        <w:rPr>
          <w:lang w:val="fr-FR"/>
        </w:rPr>
        <w:t>’</w:t>
      </w:r>
      <w:r w:rsidRPr="008328B0">
        <w:rPr>
          <w:lang w:val="fr-FR"/>
        </w:rPr>
        <w:t>examiner plus avant la section 7.1.7 et sa cohérence avec le chapitre 9.6.</w:t>
      </w:r>
    </w:p>
    <w:p w14:paraId="4503AC70" w14:textId="77777777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2.</w:t>
      </w:r>
      <w:r w:rsidRPr="008328B0">
        <w:rPr>
          <w:lang w:val="fr-FR"/>
        </w:rPr>
        <w:tab/>
        <w:t>Dans le document informel INF.4/Rev.1, les Pays-Bas et le CEFIC ont présenté des projets de propositions qui ont été débattus à la session de mai 2021 du Groupe de travail. Les délégations souhaitant faire des observations sur ces projets de propositions d</w:t>
      </w:r>
      <w:r>
        <w:rPr>
          <w:lang w:val="fr-FR"/>
        </w:rPr>
        <w:t>’</w:t>
      </w:r>
      <w:r w:rsidRPr="008328B0">
        <w:rPr>
          <w:lang w:val="fr-FR"/>
        </w:rPr>
        <w:t>amendement</w:t>
      </w:r>
      <w:r>
        <w:rPr>
          <w:lang w:val="fr-FR"/>
        </w:rPr>
        <w:t>s</w:t>
      </w:r>
      <w:r w:rsidRPr="008328B0">
        <w:rPr>
          <w:lang w:val="fr-FR"/>
        </w:rPr>
        <w:t xml:space="preserve"> ont été invitées à les soumettre aux représentants des Pays-Bas et du CEFIC en vue de l</w:t>
      </w:r>
      <w:r>
        <w:rPr>
          <w:lang w:val="fr-FR"/>
        </w:rPr>
        <w:t>’</w:t>
      </w:r>
      <w:r w:rsidRPr="008328B0">
        <w:rPr>
          <w:lang w:val="fr-FR"/>
        </w:rPr>
        <w:t>établissement d</w:t>
      </w:r>
      <w:r>
        <w:rPr>
          <w:lang w:val="fr-FR"/>
        </w:rPr>
        <w:t>’</w:t>
      </w:r>
      <w:r w:rsidRPr="008328B0">
        <w:rPr>
          <w:lang w:val="fr-FR"/>
        </w:rPr>
        <w:t xml:space="preserve">un document officiel pour la session suivante. </w:t>
      </w:r>
    </w:p>
    <w:p w14:paraId="38FB1DB4" w14:textId="77777777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3.</w:t>
      </w:r>
      <w:r w:rsidRPr="008328B0">
        <w:rPr>
          <w:lang w:val="fr-FR"/>
        </w:rPr>
        <w:tab/>
        <w:t>Les propositions ci-après, qui constituent le résultat des débats entre les représentants des Pays-Bas et du CEFIC, s</w:t>
      </w:r>
      <w:r>
        <w:rPr>
          <w:lang w:val="fr-FR"/>
        </w:rPr>
        <w:t>’</w:t>
      </w:r>
      <w:r w:rsidRPr="008328B0">
        <w:rPr>
          <w:lang w:val="fr-FR"/>
        </w:rPr>
        <w:t>appuient sur l</w:t>
      </w:r>
      <w:r>
        <w:rPr>
          <w:lang w:val="fr-FR"/>
        </w:rPr>
        <w:t>’</w:t>
      </w:r>
      <w:r w:rsidRPr="008328B0">
        <w:rPr>
          <w:lang w:val="fr-FR"/>
        </w:rPr>
        <w:t>examen de ce sujet lors des différentes sessions du Groupe de travail.</w:t>
      </w:r>
    </w:p>
    <w:p w14:paraId="14AF5424" w14:textId="77777777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4.</w:t>
      </w:r>
      <w:r w:rsidRPr="008328B0">
        <w:rPr>
          <w:lang w:val="fr-FR"/>
        </w:rPr>
        <w:tab/>
        <w:t>Le Groupe de travail est invité à donner son avis sur ces propositions d</w:t>
      </w:r>
      <w:r>
        <w:rPr>
          <w:lang w:val="fr-FR"/>
        </w:rPr>
        <w:t>’</w:t>
      </w:r>
      <w:r w:rsidRPr="008328B0">
        <w:rPr>
          <w:lang w:val="fr-FR"/>
        </w:rPr>
        <w:t>amendements à l</w:t>
      </w:r>
      <w:r>
        <w:rPr>
          <w:lang w:val="fr-FR"/>
        </w:rPr>
        <w:t>’</w:t>
      </w:r>
      <w:r w:rsidRPr="008328B0">
        <w:rPr>
          <w:lang w:val="fr-FR"/>
        </w:rPr>
        <w:t>édition de 2021 de l</w:t>
      </w:r>
      <w:r>
        <w:rPr>
          <w:lang w:val="fr-FR"/>
        </w:rPr>
        <w:t>’</w:t>
      </w:r>
      <w:r w:rsidRPr="008328B0">
        <w:rPr>
          <w:lang w:val="fr-FR"/>
        </w:rPr>
        <w:t xml:space="preserve">ADR. </w:t>
      </w:r>
    </w:p>
    <w:p w14:paraId="253BA313" w14:textId="77777777" w:rsidR="00007798" w:rsidRPr="008328B0" w:rsidRDefault="00007798" w:rsidP="009F3F1B">
      <w:pPr>
        <w:pStyle w:val="HChG"/>
        <w:rPr>
          <w:lang w:val="fr-FR"/>
        </w:rPr>
      </w:pPr>
      <w:r w:rsidRPr="008328B0">
        <w:rPr>
          <w:lang w:val="fr-FR"/>
        </w:rPr>
        <w:tab/>
      </w:r>
      <w:r w:rsidRPr="008328B0">
        <w:rPr>
          <w:lang w:val="fr-FR"/>
        </w:rPr>
        <w:tab/>
        <w:t>Propositions</w:t>
      </w:r>
    </w:p>
    <w:p w14:paraId="7BEBDA01" w14:textId="39AE56F2" w:rsidR="00007798" w:rsidRPr="00E16EE7" w:rsidRDefault="00007798" w:rsidP="009F3F1B">
      <w:pPr>
        <w:pStyle w:val="SingleTxtG"/>
        <w:ind w:firstLine="567"/>
        <w:rPr>
          <w:b/>
          <w:lang w:val="fr-FR"/>
        </w:rPr>
      </w:pPr>
      <w:r>
        <w:rPr>
          <w:lang w:val="fr-FR"/>
        </w:rPr>
        <w:t>L</w:t>
      </w:r>
      <w:r w:rsidRPr="00E16EE7">
        <w:rPr>
          <w:lang w:val="fr-FR"/>
        </w:rPr>
        <w:t xml:space="preserve">es modifications </w:t>
      </w:r>
      <w:r>
        <w:rPr>
          <w:lang w:val="fr-FR"/>
        </w:rPr>
        <w:t xml:space="preserve">qu’il est proposé d’apporter </w:t>
      </w:r>
      <w:r w:rsidRPr="00E16EE7">
        <w:rPr>
          <w:lang w:val="fr-FR"/>
        </w:rPr>
        <w:t>figurent en caractères soulignés pour les ajouts et biffés pour les suppressions</w:t>
      </w:r>
      <w:r>
        <w:rPr>
          <w:lang w:val="fr-FR"/>
        </w:rPr>
        <w:t>.</w:t>
      </w:r>
    </w:p>
    <w:p w14:paraId="22174ADB" w14:textId="77777777" w:rsidR="00007798" w:rsidRPr="008328B0" w:rsidRDefault="00007798" w:rsidP="009F3F1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328B0">
        <w:rPr>
          <w:lang w:val="fr-FR"/>
        </w:rPr>
        <w:t>Proposition 1</w:t>
      </w:r>
    </w:p>
    <w:p w14:paraId="729F7C03" w14:textId="4F61FE52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5.</w:t>
      </w:r>
      <w:r w:rsidRPr="008328B0">
        <w:rPr>
          <w:lang w:val="fr-FR"/>
        </w:rPr>
        <w:tab/>
        <w:t>Modifier le titre du chapitre</w:t>
      </w:r>
      <w:r w:rsidR="009F3F1B">
        <w:rPr>
          <w:lang w:val="fr-FR"/>
        </w:rPr>
        <w:t> </w:t>
      </w:r>
      <w:r w:rsidRPr="008328B0">
        <w:rPr>
          <w:lang w:val="fr-FR"/>
        </w:rPr>
        <w:t>7.1 comme suit :</w:t>
      </w:r>
    </w:p>
    <w:p w14:paraId="6B6571BA" w14:textId="77777777" w:rsidR="00007798" w:rsidRPr="008328B0" w:rsidRDefault="00007798" w:rsidP="009F3F1B">
      <w:pPr>
        <w:pStyle w:val="SingleTxtG"/>
        <w:ind w:left="1701"/>
        <w:rPr>
          <w:b/>
          <w:bCs/>
          <w:i/>
          <w:iCs/>
          <w:strike/>
          <w:lang w:val="fr-FR"/>
        </w:rPr>
      </w:pPr>
      <w:r w:rsidRPr="008328B0">
        <w:rPr>
          <w:lang w:val="fr-FR"/>
        </w:rPr>
        <w:t>« </w:t>
      </w:r>
      <w:r w:rsidRPr="008328B0">
        <w:rPr>
          <w:b/>
          <w:bCs/>
          <w:lang w:val="fr-FR"/>
        </w:rPr>
        <w:t xml:space="preserve">DISPOSITIONS GÉNÉRALES </w:t>
      </w:r>
      <w:r w:rsidRPr="008328B0">
        <w:rPr>
          <w:b/>
          <w:bCs/>
          <w:strike/>
          <w:lang w:val="fr-FR"/>
        </w:rPr>
        <w:t>ET DISPOSITIONS SPÉCIALES RELATIVES À LA RÉGULATION DE TEMPÉRATURE</w:t>
      </w:r>
      <w:r w:rsidRPr="008328B0">
        <w:rPr>
          <w:lang w:val="fr-FR"/>
        </w:rPr>
        <w:t> ».</w:t>
      </w:r>
    </w:p>
    <w:p w14:paraId="2DC8E97A" w14:textId="77777777" w:rsidR="00007798" w:rsidRPr="008328B0" w:rsidRDefault="00007798" w:rsidP="009F3F1B">
      <w:pPr>
        <w:pStyle w:val="H1G"/>
        <w:rPr>
          <w:lang w:val="fr-FR"/>
        </w:rPr>
      </w:pPr>
      <w:r w:rsidRPr="008328B0">
        <w:rPr>
          <w:lang w:val="fr-FR"/>
        </w:rPr>
        <w:tab/>
      </w:r>
      <w:r w:rsidRPr="008328B0">
        <w:rPr>
          <w:lang w:val="fr-FR"/>
        </w:rPr>
        <w:tab/>
        <w:t>Proposition 2</w:t>
      </w:r>
    </w:p>
    <w:p w14:paraId="0FB1BF5F" w14:textId="39C3282D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6.</w:t>
      </w:r>
      <w:r w:rsidRPr="008328B0">
        <w:rPr>
          <w:lang w:val="fr-FR"/>
        </w:rPr>
        <w:tab/>
        <w:t>Modifier les alinéas a) et b) de la sous-section 7.1.7.4.5, comme suit. À noter que pour les alinéas</w:t>
      </w:r>
      <w:r w:rsidR="009F3F1B">
        <w:rPr>
          <w:lang w:val="fr-FR"/>
        </w:rPr>
        <w:t> </w:t>
      </w:r>
      <w:r w:rsidRPr="008328B0">
        <w:rPr>
          <w:lang w:val="fr-FR"/>
        </w:rPr>
        <w:t xml:space="preserve">c), d), et e) de la sous-section 7.1.7.4.5, le texte </w:t>
      </w:r>
      <w:r>
        <w:rPr>
          <w:lang w:val="fr-FR"/>
        </w:rPr>
        <w:t>modifié</w:t>
      </w:r>
      <w:r w:rsidRPr="008328B0">
        <w:rPr>
          <w:lang w:val="fr-FR"/>
        </w:rPr>
        <w:t xml:space="preserve"> tel que présenté dans la présente proposition a déjà été adopté sur la base de la proposition 2 du document informel INF.11, voir ECE/TRANS/WP.15/251, par.</w:t>
      </w:r>
      <w:r w:rsidR="009F3F1B">
        <w:rPr>
          <w:lang w:val="fr-FR"/>
        </w:rPr>
        <w:t> </w:t>
      </w:r>
      <w:r w:rsidRPr="008328B0">
        <w:rPr>
          <w:lang w:val="fr-FR"/>
        </w:rPr>
        <w:t>27 et 28 et annexe I) :</w:t>
      </w:r>
    </w:p>
    <w:p w14:paraId="31074F04" w14:textId="77777777" w:rsidR="00007798" w:rsidRPr="008328B0" w:rsidRDefault="00007798" w:rsidP="009F3F1B">
      <w:pPr>
        <w:pStyle w:val="SingleTxtG"/>
        <w:keepNext/>
        <w:rPr>
          <w:lang w:val="fr-FR"/>
        </w:rPr>
      </w:pPr>
      <w:r w:rsidRPr="008328B0">
        <w:rPr>
          <w:lang w:val="fr-FR"/>
        </w:rPr>
        <w:t>« 7.1.7.4.5</w:t>
      </w:r>
      <w:r w:rsidRPr="008328B0">
        <w:rPr>
          <w:lang w:val="fr-FR"/>
        </w:rPr>
        <w:tab/>
        <w:t>Des méthodes appropriées pour empêcher le dépassement de la température de régulation sont, par ordre croissant d</w:t>
      </w:r>
      <w:r>
        <w:rPr>
          <w:lang w:val="fr-FR"/>
        </w:rPr>
        <w:t>’</w:t>
      </w:r>
      <w:r w:rsidRPr="008328B0">
        <w:rPr>
          <w:lang w:val="fr-FR"/>
        </w:rPr>
        <w:t>efficacité :</w:t>
      </w:r>
    </w:p>
    <w:p w14:paraId="006F2C71" w14:textId="77777777" w:rsidR="00007798" w:rsidRPr="008328B0" w:rsidRDefault="00007798" w:rsidP="009F3F1B">
      <w:pPr>
        <w:pStyle w:val="SingleTxtG"/>
        <w:ind w:left="1701" w:hanging="567"/>
        <w:rPr>
          <w:lang w:val="fr-FR"/>
        </w:rPr>
      </w:pPr>
      <w:r w:rsidRPr="008328B0">
        <w:rPr>
          <w:lang w:val="fr-FR"/>
        </w:rPr>
        <w:t>a)</w:t>
      </w:r>
      <w:r w:rsidRPr="008328B0">
        <w:rPr>
          <w:lang w:val="fr-FR"/>
        </w:rPr>
        <w:tab/>
      </w:r>
      <w:r w:rsidRPr="008328B0">
        <w:rPr>
          <w:u w:val="single"/>
          <w:lang w:val="fr-FR"/>
        </w:rPr>
        <w:t>Véhicule, conteneur ou emballage (par exemple, suremballage) avec i</w:t>
      </w:r>
      <w:r w:rsidRPr="008328B0">
        <w:rPr>
          <w:strike/>
          <w:lang w:val="fr-FR"/>
        </w:rPr>
        <w:t>I</w:t>
      </w:r>
      <w:r w:rsidRPr="008328B0">
        <w:rPr>
          <w:lang w:val="fr-FR"/>
        </w:rPr>
        <w:t>solation thermique, à condition que la température initiale de la ou des matières à transporter soit suffisamment basse par rapport à la température de régulation ;</w:t>
      </w:r>
    </w:p>
    <w:p w14:paraId="44089250" w14:textId="77777777" w:rsidR="00007798" w:rsidRPr="008328B0" w:rsidRDefault="00007798" w:rsidP="009F3F1B">
      <w:pPr>
        <w:pStyle w:val="SingleTxtG"/>
        <w:ind w:left="1701" w:hanging="567"/>
        <w:rPr>
          <w:lang w:val="fr-FR"/>
        </w:rPr>
      </w:pPr>
      <w:r w:rsidRPr="008328B0">
        <w:rPr>
          <w:lang w:val="fr-FR"/>
        </w:rPr>
        <w:t>b)</w:t>
      </w:r>
      <w:r w:rsidRPr="008328B0">
        <w:rPr>
          <w:lang w:val="fr-FR"/>
        </w:rPr>
        <w:tab/>
      </w:r>
      <w:r w:rsidRPr="008328B0">
        <w:rPr>
          <w:u w:val="single"/>
          <w:lang w:val="fr-FR"/>
        </w:rPr>
        <w:t>Véhicule, conteneur ou emballage (par exemple, suremballage) avec i</w:t>
      </w:r>
      <w:r w:rsidRPr="008328B0">
        <w:rPr>
          <w:strike/>
          <w:u w:val="single"/>
          <w:lang w:val="fr-FR"/>
        </w:rPr>
        <w:t>I</w:t>
      </w:r>
      <w:r w:rsidRPr="008328B0">
        <w:rPr>
          <w:lang w:val="fr-FR"/>
        </w:rPr>
        <w:t>solation thermique avec système de refroidissement, à condition que :</w:t>
      </w:r>
    </w:p>
    <w:p w14:paraId="17E1E7CD" w14:textId="77777777" w:rsidR="00007798" w:rsidRPr="008328B0" w:rsidRDefault="00007798" w:rsidP="009F3F1B">
      <w:pPr>
        <w:pStyle w:val="SingleTxtG"/>
        <w:ind w:left="2268" w:hanging="567"/>
        <w:rPr>
          <w:lang w:val="fr-FR"/>
        </w:rPr>
      </w:pPr>
      <w:r w:rsidRPr="008328B0">
        <w:rPr>
          <w:lang w:val="fr-FR"/>
        </w:rPr>
        <w:t>i)</w:t>
      </w:r>
      <w:r w:rsidRPr="008328B0">
        <w:rPr>
          <w:lang w:val="fr-FR"/>
        </w:rPr>
        <w:tab/>
        <w:t>Une quantité suffisante de réfrigérant non inflammable (par exemple azote liquide ou neige carbonique) soit transportée, en tenant compte d</w:t>
      </w:r>
      <w:r>
        <w:rPr>
          <w:lang w:val="fr-FR"/>
        </w:rPr>
        <w:t>’</w:t>
      </w:r>
      <w:r w:rsidRPr="008328B0">
        <w:rPr>
          <w:lang w:val="fr-FR"/>
        </w:rPr>
        <w:t>une marge raisonnable pour les retards, à moins qu</w:t>
      </w:r>
      <w:r>
        <w:rPr>
          <w:lang w:val="fr-FR"/>
        </w:rPr>
        <w:t>’</w:t>
      </w:r>
      <w:r w:rsidRPr="008328B0">
        <w:rPr>
          <w:lang w:val="fr-FR"/>
        </w:rPr>
        <w:t>un moyen de ravitaillement soit assuré ;</w:t>
      </w:r>
    </w:p>
    <w:p w14:paraId="50864F28" w14:textId="77777777" w:rsidR="00007798" w:rsidRPr="008328B0" w:rsidRDefault="00007798" w:rsidP="009F3F1B">
      <w:pPr>
        <w:pStyle w:val="SingleTxtG"/>
        <w:ind w:left="2268" w:hanging="567"/>
        <w:rPr>
          <w:lang w:val="fr-FR"/>
        </w:rPr>
      </w:pPr>
      <w:r w:rsidRPr="008328B0">
        <w:rPr>
          <w:lang w:val="fr-FR"/>
        </w:rPr>
        <w:t>ii)</w:t>
      </w:r>
      <w:r w:rsidRPr="008328B0">
        <w:rPr>
          <w:lang w:val="fr-FR"/>
        </w:rPr>
        <w:tab/>
        <w:t>Ni l</w:t>
      </w:r>
      <w:r>
        <w:rPr>
          <w:lang w:val="fr-FR"/>
        </w:rPr>
        <w:t>’</w:t>
      </w:r>
      <w:r w:rsidRPr="008328B0">
        <w:rPr>
          <w:lang w:val="fr-FR"/>
        </w:rPr>
        <w:t>oxygène liquide ni l</w:t>
      </w:r>
      <w:r>
        <w:rPr>
          <w:lang w:val="fr-FR"/>
        </w:rPr>
        <w:t>’</w:t>
      </w:r>
      <w:r w:rsidRPr="008328B0">
        <w:rPr>
          <w:lang w:val="fr-FR"/>
        </w:rPr>
        <w:t>air liquide ne soient utilisés comme réfrigérants ;</w:t>
      </w:r>
    </w:p>
    <w:p w14:paraId="4B978766" w14:textId="77777777" w:rsidR="00007798" w:rsidRPr="008328B0" w:rsidRDefault="00007798" w:rsidP="009F3F1B">
      <w:pPr>
        <w:pStyle w:val="SingleTxtG"/>
        <w:ind w:left="2268" w:hanging="567"/>
        <w:rPr>
          <w:lang w:val="fr-FR"/>
        </w:rPr>
      </w:pPr>
      <w:r w:rsidRPr="008328B0">
        <w:rPr>
          <w:lang w:val="fr-FR"/>
        </w:rPr>
        <w:t>iii)</w:t>
      </w:r>
      <w:r w:rsidRPr="008328B0">
        <w:rPr>
          <w:lang w:val="fr-FR"/>
        </w:rPr>
        <w:tab/>
        <w:t>Le système de refroidissement ait un effet uniforme, même lorsque la plupart du réfrigérant est épuisée ; et</w:t>
      </w:r>
    </w:p>
    <w:p w14:paraId="0F32340B" w14:textId="13176A09" w:rsidR="00007798" w:rsidRPr="008328B0" w:rsidRDefault="00007798" w:rsidP="009F3F1B">
      <w:pPr>
        <w:pStyle w:val="SingleTxtG"/>
        <w:ind w:left="2268" w:hanging="567"/>
        <w:rPr>
          <w:lang w:val="fr-FR"/>
        </w:rPr>
      </w:pPr>
      <w:r w:rsidRPr="008328B0">
        <w:rPr>
          <w:lang w:val="fr-FR"/>
        </w:rPr>
        <w:t>iv)</w:t>
      </w:r>
      <w:r w:rsidRPr="008328B0">
        <w:rPr>
          <w:lang w:val="fr-FR"/>
        </w:rPr>
        <w:tab/>
        <w:t>La nécessité de ventiler l</w:t>
      </w:r>
      <w:r>
        <w:rPr>
          <w:lang w:val="fr-FR"/>
        </w:rPr>
        <w:t>’</w:t>
      </w:r>
      <w:r w:rsidRPr="008328B0">
        <w:rPr>
          <w:lang w:val="fr-FR"/>
        </w:rPr>
        <w:t>engin de transport avant d</w:t>
      </w:r>
      <w:r>
        <w:rPr>
          <w:lang w:val="fr-FR"/>
        </w:rPr>
        <w:t>’</w:t>
      </w:r>
      <w:r w:rsidRPr="008328B0">
        <w:rPr>
          <w:lang w:val="fr-FR"/>
        </w:rPr>
        <w:t xml:space="preserve">entrer </w:t>
      </w:r>
      <w:r>
        <w:rPr>
          <w:lang w:val="fr-FR"/>
        </w:rPr>
        <w:t>soit</w:t>
      </w:r>
      <w:r w:rsidRPr="008328B0">
        <w:rPr>
          <w:lang w:val="fr-FR"/>
        </w:rPr>
        <w:t xml:space="preserve"> clairement indiquée par un avis inscrit sur la ou les portes de l</w:t>
      </w:r>
      <w:r>
        <w:rPr>
          <w:lang w:val="fr-FR"/>
        </w:rPr>
        <w:t>’</w:t>
      </w:r>
      <w:r w:rsidRPr="008328B0">
        <w:rPr>
          <w:lang w:val="fr-FR"/>
        </w:rPr>
        <w:t>engin ;</w:t>
      </w:r>
    </w:p>
    <w:p w14:paraId="14033143" w14:textId="77777777" w:rsidR="00007798" w:rsidRPr="008328B0" w:rsidRDefault="00007798" w:rsidP="009F3F1B">
      <w:pPr>
        <w:pStyle w:val="SingleTxtG"/>
        <w:keepLines/>
        <w:ind w:left="1701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lastRenderedPageBreak/>
        <w:t>c)</w:t>
      </w:r>
      <w:r w:rsidRPr="008328B0">
        <w:rPr>
          <w:lang w:val="fr-FR"/>
        </w:rPr>
        <w:tab/>
      </w:r>
      <w:bookmarkStart w:id="0" w:name="_Hlk82354373"/>
      <w:r w:rsidRPr="00D23046">
        <w:rPr>
          <w:u w:val="single"/>
          <w:lang w:val="fr-FR"/>
        </w:rPr>
        <w:t>Véhicule ou conteneur avec i</w:t>
      </w:r>
      <w:r w:rsidRPr="00D23046">
        <w:rPr>
          <w:strike/>
          <w:lang w:val="fr-FR"/>
        </w:rPr>
        <w:t>I</w:t>
      </w:r>
      <w:r w:rsidRPr="008328B0">
        <w:rPr>
          <w:lang w:val="fr-FR"/>
        </w:rPr>
        <w:t xml:space="preserve">solation </w:t>
      </w:r>
      <w:bookmarkEnd w:id="0"/>
      <w:r w:rsidRPr="008328B0">
        <w:rPr>
          <w:lang w:val="fr-FR"/>
        </w:rPr>
        <w:t xml:space="preserve">thermique </w:t>
      </w:r>
      <w:r w:rsidRPr="008328B0">
        <w:rPr>
          <w:strike/>
          <w:lang w:val="fr-FR"/>
        </w:rPr>
        <w:t>de l</w:t>
      </w:r>
      <w:r>
        <w:rPr>
          <w:strike/>
          <w:lang w:val="fr-FR"/>
        </w:rPr>
        <w:t>’</w:t>
      </w:r>
      <w:r w:rsidRPr="008328B0">
        <w:rPr>
          <w:strike/>
          <w:lang w:val="fr-FR"/>
        </w:rPr>
        <w:t xml:space="preserve">unité </w:t>
      </w:r>
      <w:r w:rsidRPr="008328B0">
        <w:rPr>
          <w:lang w:val="fr-FR"/>
        </w:rPr>
        <w:t>et réfrigération mécanique simple, à condition que, pour les matières à transporter ayant un point d</w:t>
      </w:r>
      <w:r>
        <w:rPr>
          <w:lang w:val="fr-FR"/>
        </w:rPr>
        <w:t>’</w:t>
      </w:r>
      <w:r w:rsidRPr="008328B0">
        <w:rPr>
          <w:lang w:val="fr-FR"/>
        </w:rPr>
        <w:t>éclair inférieur à la température critique augmentée de 5 °C, des raccords électriques à protection contre l</w:t>
      </w:r>
      <w:r>
        <w:rPr>
          <w:lang w:val="fr-FR"/>
        </w:rPr>
        <w:t>’</w:t>
      </w:r>
      <w:r w:rsidRPr="008328B0">
        <w:rPr>
          <w:lang w:val="fr-FR"/>
        </w:rPr>
        <w:t>explosion EEx IIB T3 soient utilisés dans le compartiment de réfrigération pour éviter le risque d</w:t>
      </w:r>
      <w:r>
        <w:rPr>
          <w:lang w:val="fr-FR"/>
        </w:rPr>
        <w:t>’</w:t>
      </w:r>
      <w:r w:rsidRPr="008328B0">
        <w:rPr>
          <w:lang w:val="fr-FR"/>
        </w:rPr>
        <w:t>inflammation des vapeurs dégagées par les matières ;</w:t>
      </w:r>
    </w:p>
    <w:p w14:paraId="598591B5" w14:textId="77777777" w:rsidR="00007798" w:rsidRPr="008328B0" w:rsidRDefault="00007798" w:rsidP="009F3F1B">
      <w:pPr>
        <w:pStyle w:val="SingleTxtG"/>
        <w:keepNext/>
        <w:ind w:left="1701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t>d)</w:t>
      </w:r>
      <w:r w:rsidRPr="008328B0">
        <w:rPr>
          <w:lang w:val="fr-FR"/>
        </w:rPr>
        <w:tab/>
      </w:r>
      <w:r w:rsidRPr="00D23046">
        <w:rPr>
          <w:u w:val="single"/>
          <w:lang w:val="fr-FR"/>
        </w:rPr>
        <w:t>Véhicule ou conteneur avec i</w:t>
      </w:r>
      <w:r w:rsidRPr="00D23046">
        <w:rPr>
          <w:strike/>
          <w:lang w:val="fr-FR"/>
        </w:rPr>
        <w:t>I</w:t>
      </w:r>
      <w:r w:rsidRPr="008328B0">
        <w:rPr>
          <w:lang w:val="fr-FR"/>
        </w:rPr>
        <w:t xml:space="preserve">solation </w:t>
      </w:r>
      <w:r>
        <w:rPr>
          <w:lang w:val="fr-FR"/>
        </w:rPr>
        <w:t xml:space="preserve">thermique </w:t>
      </w:r>
      <w:r w:rsidRPr="008328B0">
        <w:rPr>
          <w:lang w:val="fr-FR"/>
        </w:rPr>
        <w:t>avec système de réfrigération mécanique combiné avec système de refroidissement, à condition que :</w:t>
      </w:r>
    </w:p>
    <w:p w14:paraId="7433B9B2" w14:textId="77777777" w:rsidR="00007798" w:rsidRPr="008328B0" w:rsidRDefault="00007798" w:rsidP="009F3F1B">
      <w:pPr>
        <w:pStyle w:val="SingleTxtG"/>
        <w:ind w:left="2268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t>i)</w:t>
      </w:r>
      <w:r w:rsidRPr="008328B0">
        <w:rPr>
          <w:lang w:val="fr-FR"/>
        </w:rPr>
        <w:tab/>
        <w:t>Les deux systèmes soient indépendants l</w:t>
      </w:r>
      <w:r>
        <w:rPr>
          <w:lang w:val="fr-FR"/>
        </w:rPr>
        <w:t>’</w:t>
      </w:r>
      <w:r w:rsidRPr="008328B0">
        <w:rPr>
          <w:lang w:val="fr-FR"/>
        </w:rPr>
        <w:t>un de l</w:t>
      </w:r>
      <w:r>
        <w:rPr>
          <w:lang w:val="fr-FR"/>
        </w:rPr>
        <w:t>’</w:t>
      </w:r>
      <w:r w:rsidRPr="008328B0">
        <w:rPr>
          <w:lang w:val="fr-FR"/>
        </w:rPr>
        <w:t>autre ;</w:t>
      </w:r>
    </w:p>
    <w:p w14:paraId="7F67E5E9" w14:textId="0BEABE2B" w:rsidR="00007798" w:rsidRPr="008328B0" w:rsidRDefault="00007798" w:rsidP="009F3F1B">
      <w:pPr>
        <w:pStyle w:val="SingleTxtG"/>
        <w:ind w:left="2268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t>ii)</w:t>
      </w:r>
      <w:r w:rsidRPr="008328B0">
        <w:rPr>
          <w:lang w:val="fr-FR"/>
        </w:rPr>
        <w:tab/>
        <w:t>Les dispositions des alinéas</w:t>
      </w:r>
      <w:r w:rsidR="009F3F1B">
        <w:rPr>
          <w:lang w:val="fr-FR"/>
        </w:rPr>
        <w:t> </w:t>
      </w:r>
      <w:r w:rsidRPr="008328B0">
        <w:rPr>
          <w:lang w:val="fr-FR"/>
        </w:rPr>
        <w:t>b) et c) soient satisfaites ;</w:t>
      </w:r>
    </w:p>
    <w:p w14:paraId="4FEC0C69" w14:textId="77777777" w:rsidR="00007798" w:rsidRPr="008328B0" w:rsidRDefault="00007798" w:rsidP="009F3F1B">
      <w:pPr>
        <w:pStyle w:val="SingleTxtG"/>
        <w:keepNext/>
        <w:ind w:left="1701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t>e)</w:t>
      </w:r>
      <w:r w:rsidRPr="008328B0">
        <w:rPr>
          <w:lang w:val="fr-FR"/>
        </w:rPr>
        <w:tab/>
      </w:r>
      <w:r w:rsidRPr="00D23046">
        <w:rPr>
          <w:u w:val="single"/>
          <w:lang w:val="fr-FR"/>
        </w:rPr>
        <w:t>Véhicule ou conteneur avec i</w:t>
      </w:r>
      <w:r w:rsidRPr="00D23046">
        <w:rPr>
          <w:strike/>
          <w:lang w:val="fr-FR"/>
        </w:rPr>
        <w:t>I</w:t>
      </w:r>
      <w:r w:rsidRPr="008328B0">
        <w:rPr>
          <w:lang w:val="fr-FR"/>
        </w:rPr>
        <w:t>solation thermique avec système de réfrigération mécanique double, à condition que :</w:t>
      </w:r>
    </w:p>
    <w:p w14:paraId="2DA50039" w14:textId="77777777" w:rsidR="00007798" w:rsidRPr="008328B0" w:rsidRDefault="00007798" w:rsidP="009F3F1B">
      <w:pPr>
        <w:pStyle w:val="SingleTxtG"/>
        <w:ind w:left="2268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t>i)</w:t>
      </w:r>
      <w:r w:rsidRPr="008328B0">
        <w:rPr>
          <w:lang w:val="fr-FR"/>
        </w:rPr>
        <w:tab/>
        <w:t>En dehors du dispositif général d</w:t>
      </w:r>
      <w:r>
        <w:rPr>
          <w:lang w:val="fr-FR"/>
        </w:rPr>
        <w:t>’</w:t>
      </w:r>
      <w:r w:rsidRPr="008328B0">
        <w:rPr>
          <w:lang w:val="fr-FR"/>
        </w:rPr>
        <w:t>alimentation, les deux systèmes soient indépendants l</w:t>
      </w:r>
      <w:r>
        <w:rPr>
          <w:lang w:val="fr-FR"/>
        </w:rPr>
        <w:t>’</w:t>
      </w:r>
      <w:r w:rsidRPr="008328B0">
        <w:rPr>
          <w:lang w:val="fr-FR"/>
        </w:rPr>
        <w:t>un de l</w:t>
      </w:r>
      <w:r>
        <w:rPr>
          <w:lang w:val="fr-FR"/>
        </w:rPr>
        <w:t>’</w:t>
      </w:r>
      <w:r w:rsidRPr="008328B0">
        <w:rPr>
          <w:lang w:val="fr-FR"/>
        </w:rPr>
        <w:t>autre ;</w:t>
      </w:r>
    </w:p>
    <w:p w14:paraId="2E0649A6" w14:textId="77777777" w:rsidR="00007798" w:rsidRPr="008328B0" w:rsidRDefault="00007798" w:rsidP="009F3F1B">
      <w:pPr>
        <w:pStyle w:val="SingleTxtG"/>
        <w:ind w:left="2268" w:hanging="567"/>
        <w:rPr>
          <w:rFonts w:asciiTheme="majorBidi" w:hAnsiTheme="majorBidi" w:cstheme="majorBidi"/>
          <w:lang w:val="fr-FR"/>
        </w:rPr>
      </w:pPr>
      <w:r w:rsidRPr="008328B0">
        <w:rPr>
          <w:lang w:val="fr-FR"/>
        </w:rPr>
        <w:t>ii)</w:t>
      </w:r>
      <w:r w:rsidRPr="008328B0">
        <w:rPr>
          <w:lang w:val="fr-FR"/>
        </w:rPr>
        <w:tab/>
        <w:t>Chaque système puisse à lui seul maintenir une régulation suffisante de la température ; et</w:t>
      </w:r>
    </w:p>
    <w:p w14:paraId="42442EF6" w14:textId="35294378" w:rsidR="00007798" w:rsidRPr="008328B0" w:rsidRDefault="00007798" w:rsidP="009F3F1B">
      <w:pPr>
        <w:pStyle w:val="SingleTxtG"/>
        <w:ind w:left="2268" w:hanging="567"/>
        <w:rPr>
          <w:lang w:val="fr-FR"/>
        </w:rPr>
      </w:pPr>
      <w:r w:rsidRPr="008328B0">
        <w:rPr>
          <w:lang w:val="fr-FR"/>
        </w:rPr>
        <w:t>iii)</w:t>
      </w:r>
      <w:r w:rsidRPr="008328B0">
        <w:rPr>
          <w:lang w:val="fr-FR"/>
        </w:rPr>
        <w:tab/>
        <w:t>Pour les matières ayant un point d</w:t>
      </w:r>
      <w:r>
        <w:rPr>
          <w:lang w:val="fr-FR"/>
        </w:rPr>
        <w:t>’</w:t>
      </w:r>
      <w:r w:rsidRPr="008328B0">
        <w:rPr>
          <w:lang w:val="fr-FR"/>
        </w:rPr>
        <w:t>éclair inférieur à la température critique augmentée de 5</w:t>
      </w:r>
      <w:r w:rsidR="009F3F1B">
        <w:rPr>
          <w:lang w:val="fr-FR"/>
        </w:rPr>
        <w:t> </w:t>
      </w:r>
      <w:r w:rsidRPr="008328B0">
        <w:rPr>
          <w:lang w:val="fr-FR"/>
        </w:rPr>
        <w:t>°C, des raccords électriques à protection contre l</w:t>
      </w:r>
      <w:r>
        <w:rPr>
          <w:lang w:val="fr-FR"/>
        </w:rPr>
        <w:t>’</w:t>
      </w:r>
      <w:r w:rsidRPr="008328B0">
        <w:rPr>
          <w:lang w:val="fr-FR"/>
        </w:rPr>
        <w:t>explosion EEx IIB T3 soient utilisés dans le compartiment de réfrigération pour éviter le risque d</w:t>
      </w:r>
      <w:r>
        <w:rPr>
          <w:lang w:val="fr-FR"/>
        </w:rPr>
        <w:t>’</w:t>
      </w:r>
      <w:r w:rsidRPr="008328B0">
        <w:rPr>
          <w:lang w:val="fr-FR"/>
        </w:rPr>
        <w:t>inflammation des vapeurs dégagées par les matières. ».</w:t>
      </w:r>
    </w:p>
    <w:p w14:paraId="4CCA5C0C" w14:textId="77777777" w:rsidR="00007798" w:rsidRPr="008328B0" w:rsidRDefault="00007798" w:rsidP="009F3F1B">
      <w:pPr>
        <w:pStyle w:val="H1G"/>
        <w:rPr>
          <w:lang w:val="fr-FR"/>
        </w:rPr>
      </w:pPr>
      <w:r w:rsidRPr="008328B0">
        <w:rPr>
          <w:lang w:val="fr-FR"/>
        </w:rPr>
        <w:tab/>
      </w:r>
      <w:r w:rsidRPr="008328B0">
        <w:rPr>
          <w:lang w:val="fr-FR"/>
        </w:rPr>
        <w:tab/>
        <w:t>Proposition 3</w:t>
      </w:r>
    </w:p>
    <w:p w14:paraId="0A3A198C" w14:textId="77777777" w:rsidR="00007798" w:rsidRPr="008328B0" w:rsidRDefault="00007798" w:rsidP="009F3F1B">
      <w:pPr>
        <w:pStyle w:val="SingleTxtG"/>
        <w:keepNext/>
        <w:rPr>
          <w:lang w:val="fr-FR"/>
        </w:rPr>
      </w:pPr>
      <w:r w:rsidRPr="008328B0">
        <w:rPr>
          <w:lang w:val="fr-FR"/>
        </w:rPr>
        <w:t>7.</w:t>
      </w:r>
      <w:r w:rsidRPr="008328B0">
        <w:rPr>
          <w:lang w:val="fr-FR"/>
        </w:rPr>
        <w:tab/>
        <w:t>Modifier la sous-section 7.1.7.4.7, comme suit</w:t>
      </w:r>
      <w:r>
        <w:rPr>
          <w:lang w:val="fr-FR"/>
        </w:rPr>
        <w:t> :</w:t>
      </w:r>
    </w:p>
    <w:p w14:paraId="71F2B386" w14:textId="77777777" w:rsidR="00007798" w:rsidRPr="008328B0" w:rsidRDefault="00007798" w:rsidP="009F3F1B">
      <w:pPr>
        <w:pStyle w:val="SingleTxtG"/>
        <w:keepNext/>
        <w:rPr>
          <w:u w:val="single"/>
          <w:lang w:val="fr-FR"/>
        </w:rPr>
      </w:pPr>
      <w:r w:rsidRPr="008328B0">
        <w:rPr>
          <w:lang w:val="fr-FR"/>
        </w:rPr>
        <w:t>« 7.1.7.4.7</w:t>
      </w:r>
      <w:r w:rsidRPr="008328B0">
        <w:rPr>
          <w:lang w:val="fr-FR"/>
        </w:rPr>
        <w:tab/>
      </w:r>
      <w:r w:rsidRPr="008328B0">
        <w:rPr>
          <w:u w:val="single"/>
          <w:lang w:val="fr-FR"/>
        </w:rPr>
        <w:t>Les conteneurs isothermes, réfrigérants ou frigorifiques destinés au transport de matières stabilisées par régulation de température doivent être conformes aux dispositions suivantes</w:t>
      </w:r>
      <w:r>
        <w:rPr>
          <w:u w:val="single"/>
          <w:lang w:val="fr-FR"/>
        </w:rPr>
        <w:t> :</w:t>
      </w:r>
    </w:p>
    <w:p w14:paraId="06DE0735" w14:textId="77777777" w:rsidR="00007798" w:rsidRPr="008328B0" w:rsidRDefault="00007798" w:rsidP="009F3F1B">
      <w:pPr>
        <w:pStyle w:val="SingleTxtG"/>
        <w:ind w:left="1701" w:hanging="567"/>
        <w:rPr>
          <w:u w:val="single"/>
          <w:lang w:val="fr-FR"/>
        </w:rPr>
      </w:pPr>
      <w:r w:rsidRPr="008328B0">
        <w:rPr>
          <w:lang w:val="fr-FR"/>
        </w:rPr>
        <w:t>a)</w:t>
      </w:r>
      <w:r w:rsidRPr="008328B0">
        <w:rPr>
          <w:lang w:val="fr-FR"/>
        </w:rPr>
        <w:tab/>
      </w:r>
      <w:r w:rsidRPr="008328B0">
        <w:rPr>
          <w:u w:val="single"/>
          <w:lang w:val="fr-FR"/>
        </w:rPr>
        <w:t>Le coefficient global de la transmission de chaleur d</w:t>
      </w:r>
      <w:r>
        <w:rPr>
          <w:u w:val="single"/>
          <w:lang w:val="fr-FR"/>
        </w:rPr>
        <w:t>’</w:t>
      </w:r>
      <w:r w:rsidRPr="008328B0">
        <w:rPr>
          <w:u w:val="single"/>
          <w:lang w:val="fr-FR"/>
        </w:rPr>
        <w:t>un conteneur isotherme ne doit pas dépasser 0,4 W/m</w:t>
      </w:r>
      <w:r w:rsidRPr="008328B0">
        <w:rPr>
          <w:u w:val="single"/>
          <w:vertAlign w:val="superscript"/>
          <w:lang w:val="fr-FR"/>
        </w:rPr>
        <w:t>2</w:t>
      </w:r>
      <w:r w:rsidRPr="008328B0">
        <w:rPr>
          <w:u w:val="single"/>
          <w:lang w:val="fr-FR"/>
        </w:rPr>
        <w:t>/K ;</w:t>
      </w:r>
    </w:p>
    <w:p w14:paraId="0EC7228C" w14:textId="77777777" w:rsidR="00007798" w:rsidRPr="008328B0" w:rsidRDefault="00007798" w:rsidP="009F3F1B">
      <w:pPr>
        <w:pStyle w:val="SingleTxtG"/>
        <w:ind w:left="1701" w:hanging="567"/>
        <w:rPr>
          <w:u w:val="single"/>
          <w:lang w:val="fr-FR"/>
        </w:rPr>
      </w:pPr>
      <w:r w:rsidRPr="008328B0">
        <w:rPr>
          <w:lang w:val="fr-FR"/>
        </w:rPr>
        <w:t>b)</w:t>
      </w:r>
      <w:r w:rsidRPr="008328B0">
        <w:rPr>
          <w:lang w:val="fr-FR"/>
        </w:rPr>
        <w:tab/>
      </w:r>
      <w:r w:rsidRPr="008328B0">
        <w:rPr>
          <w:u w:val="single"/>
          <w:lang w:val="fr-FR"/>
        </w:rPr>
        <w:t>L</w:t>
      </w:r>
      <w:r>
        <w:rPr>
          <w:u w:val="single"/>
          <w:lang w:val="fr-FR"/>
        </w:rPr>
        <w:t>’</w:t>
      </w:r>
      <w:r w:rsidRPr="008328B0">
        <w:rPr>
          <w:u w:val="single"/>
          <w:lang w:val="fr-FR"/>
        </w:rPr>
        <w:t>agent frigorigène utilisé ne doit pas être inflammable ;</w:t>
      </w:r>
      <w:r w:rsidRPr="008328B0">
        <w:rPr>
          <w:lang w:val="fr-FR"/>
        </w:rPr>
        <w:t xml:space="preserve"> </w:t>
      </w:r>
      <w:r w:rsidRPr="008328B0">
        <w:rPr>
          <w:u w:val="single"/>
          <w:lang w:val="fr-FR"/>
        </w:rPr>
        <w:t>et</w:t>
      </w:r>
    </w:p>
    <w:p w14:paraId="0885015F" w14:textId="77777777" w:rsidR="00007798" w:rsidRPr="008328B0" w:rsidRDefault="00007798" w:rsidP="009F3F1B">
      <w:pPr>
        <w:pStyle w:val="SingleTxtG"/>
        <w:ind w:left="1701" w:hanging="567"/>
        <w:rPr>
          <w:lang w:val="fr-FR"/>
        </w:rPr>
      </w:pPr>
      <w:r w:rsidRPr="008328B0">
        <w:rPr>
          <w:lang w:val="fr-FR"/>
        </w:rPr>
        <w:t>c)</w:t>
      </w:r>
      <w:r w:rsidRPr="008328B0">
        <w:rPr>
          <w:lang w:val="fr-FR"/>
        </w:rPr>
        <w:tab/>
      </w:r>
      <w:r w:rsidRPr="008328B0">
        <w:rPr>
          <w:u w:val="single"/>
          <w:lang w:val="fr-FR"/>
        </w:rPr>
        <w:t>Lorsque les conteneurs sont munis d</w:t>
      </w:r>
      <w:r>
        <w:rPr>
          <w:u w:val="single"/>
          <w:lang w:val="fr-FR"/>
        </w:rPr>
        <w:t>’</w:t>
      </w:r>
      <w:r w:rsidRPr="008328B0">
        <w:rPr>
          <w:u w:val="single"/>
          <w:lang w:val="fr-FR"/>
        </w:rPr>
        <w:t>évents ou de soupapes de ventilation, il faut veiller à ce que la réfrigération ne soit pas entravée par ces évents ou soupapes.</w:t>
      </w:r>
    </w:p>
    <w:p w14:paraId="719248F0" w14:textId="77777777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 xml:space="preserve">Si les matières sont transportées dans des véhicules </w:t>
      </w:r>
      <w:r w:rsidRPr="008328B0">
        <w:rPr>
          <w:strike/>
          <w:lang w:val="fr-FR"/>
        </w:rPr>
        <w:t>ou conteneurs</w:t>
      </w:r>
      <w:r w:rsidRPr="008328B0">
        <w:rPr>
          <w:lang w:val="fr-FR"/>
        </w:rPr>
        <w:t xml:space="preserve"> isothermes, réfrigérants ou frigorifiques, ces véhicules </w:t>
      </w:r>
      <w:r w:rsidRPr="008328B0">
        <w:rPr>
          <w:strike/>
          <w:lang w:val="fr-FR"/>
        </w:rPr>
        <w:t>ou conteneurs</w:t>
      </w:r>
      <w:r w:rsidRPr="008328B0">
        <w:rPr>
          <w:lang w:val="fr-FR"/>
        </w:rPr>
        <w:t xml:space="preserve"> doivent être conformes aux prescriptions du chapitre 9.6. ».</w:t>
      </w:r>
    </w:p>
    <w:p w14:paraId="14051E92" w14:textId="77777777" w:rsidR="00007798" w:rsidRPr="008328B0" w:rsidRDefault="00007798" w:rsidP="009F3F1B">
      <w:pPr>
        <w:pStyle w:val="HChG"/>
        <w:rPr>
          <w:lang w:val="fr-FR"/>
        </w:rPr>
      </w:pPr>
      <w:r w:rsidRPr="008328B0">
        <w:rPr>
          <w:lang w:val="fr-FR"/>
        </w:rPr>
        <w:tab/>
      </w:r>
      <w:r w:rsidRPr="008328B0">
        <w:rPr>
          <w:lang w:val="fr-FR"/>
        </w:rPr>
        <w:tab/>
        <w:t>Justification</w:t>
      </w:r>
    </w:p>
    <w:p w14:paraId="2372726D" w14:textId="1CCF52B0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8.</w:t>
      </w:r>
      <w:r w:rsidRPr="008328B0">
        <w:rPr>
          <w:lang w:val="fr-FR"/>
        </w:rPr>
        <w:tab/>
      </w:r>
      <w:r>
        <w:rPr>
          <w:lang w:val="fr-FR"/>
        </w:rPr>
        <w:t>D</w:t>
      </w:r>
      <w:r w:rsidRPr="008328B0">
        <w:rPr>
          <w:lang w:val="fr-FR"/>
        </w:rPr>
        <w:t xml:space="preserve">e nouvelles prescriptions </w:t>
      </w:r>
      <w:r>
        <w:rPr>
          <w:lang w:val="fr-FR"/>
        </w:rPr>
        <w:t>concernant</w:t>
      </w:r>
      <w:r w:rsidRPr="008328B0">
        <w:rPr>
          <w:lang w:val="fr-FR"/>
        </w:rPr>
        <w:t xml:space="preserve"> le transport des matières qui nécessitent une régulation de température ont été introduites au 7.1.5</w:t>
      </w:r>
      <w:r>
        <w:rPr>
          <w:lang w:val="fr-FR"/>
        </w:rPr>
        <w:t xml:space="preserve"> du </w:t>
      </w:r>
      <w:r w:rsidRPr="008328B0">
        <w:rPr>
          <w:lang w:val="fr-FR"/>
        </w:rPr>
        <w:t>Règlement type annexé à la vingtième édition révisée des Recommandations relatives au transport des marchandises dangereuses publiées par l</w:t>
      </w:r>
      <w:r>
        <w:rPr>
          <w:lang w:val="fr-FR"/>
        </w:rPr>
        <w:t>’</w:t>
      </w:r>
      <w:r w:rsidRPr="008328B0">
        <w:rPr>
          <w:lang w:val="fr-FR"/>
        </w:rPr>
        <w:t>ONU (Règlement type de l</w:t>
      </w:r>
      <w:r>
        <w:rPr>
          <w:lang w:val="fr-FR"/>
        </w:rPr>
        <w:t>’</w:t>
      </w:r>
      <w:r w:rsidRPr="008328B0">
        <w:rPr>
          <w:lang w:val="fr-FR"/>
        </w:rPr>
        <w:t>ONU). Ces dispositions, qui recoupent des dispositions similaires de l</w:t>
      </w:r>
      <w:r>
        <w:rPr>
          <w:lang w:val="fr-FR"/>
        </w:rPr>
        <w:t>’</w:t>
      </w:r>
      <w:r w:rsidRPr="008328B0">
        <w:rPr>
          <w:lang w:val="fr-FR"/>
        </w:rPr>
        <w:t>ADR, ont été ajoutées à la version de 2019 de l</w:t>
      </w:r>
      <w:r>
        <w:rPr>
          <w:lang w:val="fr-FR"/>
        </w:rPr>
        <w:t>’</w:t>
      </w:r>
      <w:r w:rsidRPr="008328B0">
        <w:rPr>
          <w:lang w:val="fr-FR"/>
        </w:rPr>
        <w:t>ADR dans une nouvelle section 7.1.7. La disposition spéciale V8 de la section 7.2.4 a été supprimée et remplacée par une Note explicative.</w:t>
      </w:r>
    </w:p>
    <w:p w14:paraId="789C7997" w14:textId="251EBDF3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9.</w:t>
      </w:r>
      <w:r w:rsidRPr="008328B0">
        <w:rPr>
          <w:lang w:val="fr-FR"/>
        </w:rPr>
        <w:tab/>
        <w:t>Au cours du débat sur l</w:t>
      </w:r>
      <w:r>
        <w:rPr>
          <w:lang w:val="fr-FR"/>
        </w:rPr>
        <w:t>’</w:t>
      </w:r>
      <w:r w:rsidRPr="008328B0">
        <w:rPr>
          <w:lang w:val="fr-FR"/>
        </w:rPr>
        <w:t>inclusion dans l</w:t>
      </w:r>
      <w:r>
        <w:rPr>
          <w:lang w:val="fr-FR"/>
        </w:rPr>
        <w:t>’</w:t>
      </w:r>
      <w:r w:rsidRPr="008328B0">
        <w:rPr>
          <w:lang w:val="fr-FR"/>
        </w:rPr>
        <w:t>ADR, les Pays-Bas ont fait remarquer que le terme « isolation » devait être ajouté aux mesures indiquées dans la nouvelle sous</w:t>
      </w:r>
      <w:r w:rsidR="009F3F1B">
        <w:rPr>
          <w:lang w:val="fr-FR"/>
        </w:rPr>
        <w:noBreakHyphen/>
      </w:r>
      <w:r w:rsidRPr="008328B0">
        <w:rPr>
          <w:lang w:val="fr-FR"/>
        </w:rPr>
        <w:t>section</w:t>
      </w:r>
      <w:r w:rsidR="009F3F1B">
        <w:rPr>
          <w:lang w:val="fr-FR"/>
        </w:rPr>
        <w:t> </w:t>
      </w:r>
      <w:r w:rsidRPr="008328B0">
        <w:rPr>
          <w:lang w:val="fr-FR"/>
        </w:rPr>
        <w:t>7.1.7.4.5, ce qui a conduit à des mesures et à une modification des recommandations, mais aussi à un débat approfondi sur la différence entre le transport de colis isolés dans des engins de transport non isolés et de colis non isolés dans des engins de transport isolés.</w:t>
      </w:r>
    </w:p>
    <w:p w14:paraId="25F18653" w14:textId="25898BC5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lastRenderedPageBreak/>
        <w:t>10.</w:t>
      </w:r>
      <w:r w:rsidRPr="008328B0">
        <w:rPr>
          <w:lang w:val="fr-FR"/>
        </w:rPr>
        <w:tab/>
      </w:r>
      <w:r>
        <w:rPr>
          <w:lang w:val="fr-FR"/>
        </w:rPr>
        <w:t>L’</w:t>
      </w:r>
      <w:r w:rsidRPr="008328B0">
        <w:rPr>
          <w:lang w:val="fr-FR"/>
        </w:rPr>
        <w:t>applicabilité de la sous-section</w:t>
      </w:r>
      <w:r w:rsidR="009F3F1B">
        <w:rPr>
          <w:lang w:val="fr-FR"/>
        </w:rPr>
        <w:t> </w:t>
      </w:r>
      <w:r w:rsidRPr="008328B0">
        <w:rPr>
          <w:lang w:val="fr-FR"/>
        </w:rPr>
        <w:t>9.6.1 de l</w:t>
      </w:r>
      <w:r>
        <w:rPr>
          <w:lang w:val="fr-FR"/>
        </w:rPr>
        <w:t>’</w:t>
      </w:r>
      <w:r w:rsidRPr="008328B0">
        <w:rPr>
          <w:lang w:val="fr-FR"/>
        </w:rPr>
        <w:t>ADR, dont certaines sections sont très difficiles à respecter en ce qui concerne les conteneurs</w:t>
      </w:r>
      <w:r>
        <w:rPr>
          <w:lang w:val="fr-FR"/>
        </w:rPr>
        <w:t>,</w:t>
      </w:r>
      <w:r w:rsidRPr="000F2E69">
        <w:rPr>
          <w:lang w:val="fr-FR"/>
        </w:rPr>
        <w:t xml:space="preserve"> </w:t>
      </w:r>
      <w:r>
        <w:rPr>
          <w:lang w:val="fr-FR"/>
        </w:rPr>
        <w:t>est l’objet d’u</w:t>
      </w:r>
      <w:r w:rsidRPr="008328B0">
        <w:rPr>
          <w:lang w:val="fr-FR"/>
        </w:rPr>
        <w:t xml:space="preserve">n débat </w:t>
      </w:r>
      <w:r>
        <w:rPr>
          <w:lang w:val="fr-FR"/>
        </w:rPr>
        <w:t>déjà ancien</w:t>
      </w:r>
      <w:r w:rsidRPr="008328B0">
        <w:rPr>
          <w:lang w:val="fr-FR"/>
        </w:rPr>
        <w:t xml:space="preserve">. </w:t>
      </w:r>
    </w:p>
    <w:p w14:paraId="3DBAEA5B" w14:textId="1C3B8025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11.</w:t>
      </w:r>
      <w:r w:rsidRPr="008328B0">
        <w:rPr>
          <w:lang w:val="fr-FR"/>
        </w:rPr>
        <w:tab/>
        <w:t>Justification de la proposition 1 : Avec l</w:t>
      </w:r>
      <w:r>
        <w:rPr>
          <w:lang w:val="fr-FR"/>
        </w:rPr>
        <w:t>’</w:t>
      </w:r>
      <w:r w:rsidRPr="008328B0">
        <w:rPr>
          <w:lang w:val="fr-FR"/>
        </w:rPr>
        <w:t>introduction de la nouvelle section</w:t>
      </w:r>
      <w:r w:rsidR="00585223">
        <w:rPr>
          <w:lang w:val="fr-FR"/>
        </w:rPr>
        <w:t> </w:t>
      </w:r>
      <w:r w:rsidRPr="008328B0">
        <w:rPr>
          <w:lang w:val="fr-FR"/>
        </w:rPr>
        <w:t>7.1.7, le titre du chapitre</w:t>
      </w:r>
      <w:r w:rsidR="00585223">
        <w:rPr>
          <w:lang w:val="fr-FR"/>
        </w:rPr>
        <w:t> </w:t>
      </w:r>
      <w:r w:rsidRPr="008328B0">
        <w:rPr>
          <w:lang w:val="fr-FR"/>
        </w:rPr>
        <w:t>7.1 de l</w:t>
      </w:r>
      <w:r>
        <w:rPr>
          <w:lang w:val="fr-FR"/>
        </w:rPr>
        <w:t>’</w:t>
      </w:r>
      <w:r w:rsidRPr="008328B0">
        <w:rPr>
          <w:lang w:val="fr-FR"/>
        </w:rPr>
        <w:t>ADR a également été modifié. Cependant, les sections</w:t>
      </w:r>
      <w:r w:rsidR="00585223">
        <w:rPr>
          <w:lang w:val="fr-FR"/>
        </w:rPr>
        <w:t> </w:t>
      </w:r>
      <w:r w:rsidRPr="008328B0">
        <w:rPr>
          <w:lang w:val="fr-FR"/>
        </w:rPr>
        <w:t>7.1.1 à 7.1.6 traitent des conteneurs en général. En modifiant le titre, l</w:t>
      </w:r>
      <w:r>
        <w:rPr>
          <w:lang w:val="fr-FR"/>
        </w:rPr>
        <w:t>’</w:t>
      </w:r>
      <w:r w:rsidRPr="008328B0">
        <w:rPr>
          <w:lang w:val="fr-FR"/>
        </w:rPr>
        <w:t>ensemble du chapitre</w:t>
      </w:r>
      <w:r w:rsidR="009F3F1B">
        <w:rPr>
          <w:lang w:val="fr-FR"/>
        </w:rPr>
        <w:t> </w:t>
      </w:r>
      <w:r w:rsidRPr="008328B0">
        <w:rPr>
          <w:lang w:val="fr-FR"/>
        </w:rPr>
        <w:t>7.1 s</w:t>
      </w:r>
      <w:r>
        <w:rPr>
          <w:lang w:val="fr-FR"/>
        </w:rPr>
        <w:t>’</w:t>
      </w:r>
      <w:r w:rsidRPr="008328B0">
        <w:rPr>
          <w:lang w:val="fr-FR"/>
        </w:rPr>
        <w:t xml:space="preserve">applique aux dispositions relatives à la régulation de température et non plus aux conteneurs en général. Étant donné que cela aurait des conséquences juridiques, une </w:t>
      </w:r>
      <w:r>
        <w:rPr>
          <w:lang w:val="fr-FR"/>
        </w:rPr>
        <w:t>modificat</w:t>
      </w:r>
      <w:r w:rsidRPr="008328B0">
        <w:rPr>
          <w:lang w:val="fr-FR"/>
        </w:rPr>
        <w:t xml:space="preserve">ion est suggérée. </w:t>
      </w:r>
    </w:p>
    <w:p w14:paraId="46BD747C" w14:textId="15EED46A" w:rsidR="00007798" w:rsidRPr="008328B0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12.</w:t>
      </w:r>
      <w:r w:rsidRPr="008328B0">
        <w:rPr>
          <w:lang w:val="fr-FR"/>
        </w:rPr>
        <w:tab/>
        <w:t>Justification de la proposition 2 : Afin de préciser l</w:t>
      </w:r>
      <w:r>
        <w:rPr>
          <w:lang w:val="fr-FR"/>
        </w:rPr>
        <w:t>’</w:t>
      </w:r>
      <w:r w:rsidRPr="008328B0">
        <w:rPr>
          <w:lang w:val="fr-FR"/>
        </w:rPr>
        <w:t>utilisation du terme « isolation », comme cela a déjà été fait par l</w:t>
      </w:r>
      <w:r>
        <w:rPr>
          <w:lang w:val="fr-FR"/>
        </w:rPr>
        <w:t>’</w:t>
      </w:r>
      <w:r w:rsidRPr="008328B0">
        <w:rPr>
          <w:lang w:val="fr-FR"/>
        </w:rPr>
        <w:t xml:space="preserve">adoption de la proposition 2 du document INF.11 pour les </w:t>
      </w:r>
      <w:r>
        <w:rPr>
          <w:lang w:val="fr-FR"/>
        </w:rPr>
        <w:t>alinéas</w:t>
      </w:r>
      <w:r w:rsidR="009F3F1B">
        <w:rPr>
          <w:lang w:val="fr-FR"/>
        </w:rPr>
        <w:t> </w:t>
      </w:r>
      <w:r w:rsidRPr="00016246">
        <w:rPr>
          <w:lang w:val="fr-FR"/>
        </w:rPr>
        <w:t>c), d) et e)</w:t>
      </w:r>
      <w:r>
        <w:rPr>
          <w:lang w:val="fr-FR"/>
        </w:rPr>
        <w:t xml:space="preserve"> de la </w:t>
      </w:r>
      <w:r w:rsidRPr="008328B0">
        <w:rPr>
          <w:lang w:val="fr-FR"/>
        </w:rPr>
        <w:t>sous-section</w:t>
      </w:r>
      <w:r w:rsidR="009F3F1B">
        <w:rPr>
          <w:lang w:val="fr-FR"/>
        </w:rPr>
        <w:t> </w:t>
      </w:r>
      <w:r w:rsidRPr="008328B0">
        <w:rPr>
          <w:lang w:val="fr-FR"/>
        </w:rPr>
        <w:t>7.1.7.4.5, il est proposé d</w:t>
      </w:r>
      <w:r>
        <w:rPr>
          <w:lang w:val="fr-FR"/>
        </w:rPr>
        <w:t>’</w:t>
      </w:r>
      <w:r w:rsidRPr="008328B0">
        <w:rPr>
          <w:lang w:val="fr-FR"/>
        </w:rPr>
        <w:t>utiliser le même texte avec l</w:t>
      </w:r>
      <w:r>
        <w:rPr>
          <w:lang w:val="fr-FR"/>
        </w:rPr>
        <w:t>’</w:t>
      </w:r>
      <w:r w:rsidRPr="008328B0">
        <w:rPr>
          <w:lang w:val="fr-FR"/>
        </w:rPr>
        <w:t>ajout de colis isolés pour les</w:t>
      </w:r>
      <w:r w:rsidRPr="00016246">
        <w:t xml:space="preserve"> </w:t>
      </w:r>
      <w:r w:rsidRPr="00016246">
        <w:rPr>
          <w:lang w:val="fr-FR"/>
        </w:rPr>
        <w:t>alinéas</w:t>
      </w:r>
      <w:r w:rsidR="009F3F1B">
        <w:rPr>
          <w:lang w:val="fr-FR"/>
        </w:rPr>
        <w:t> </w:t>
      </w:r>
      <w:r w:rsidRPr="008328B0">
        <w:rPr>
          <w:lang w:val="fr-FR"/>
        </w:rPr>
        <w:t>a) et b)</w:t>
      </w:r>
      <w:r>
        <w:rPr>
          <w:lang w:val="fr-FR"/>
        </w:rPr>
        <w:t xml:space="preserve"> de ladite </w:t>
      </w:r>
      <w:r w:rsidRPr="008328B0">
        <w:rPr>
          <w:lang w:val="fr-FR"/>
        </w:rPr>
        <w:t>sous-section</w:t>
      </w:r>
      <w:r w:rsidR="009F3F1B">
        <w:rPr>
          <w:lang w:val="fr-FR"/>
        </w:rPr>
        <w:t> </w:t>
      </w:r>
      <w:r w:rsidRPr="008328B0">
        <w:rPr>
          <w:lang w:val="fr-FR"/>
        </w:rPr>
        <w:t>7.1.7.4.5.</w:t>
      </w:r>
    </w:p>
    <w:p w14:paraId="6D2A8133" w14:textId="22BA2656" w:rsidR="00007798" w:rsidRDefault="00007798" w:rsidP="009F3F1B">
      <w:pPr>
        <w:pStyle w:val="SingleTxtG"/>
        <w:rPr>
          <w:lang w:val="fr-FR"/>
        </w:rPr>
      </w:pPr>
      <w:r w:rsidRPr="008328B0">
        <w:rPr>
          <w:lang w:val="fr-FR"/>
        </w:rPr>
        <w:t>13.</w:t>
      </w:r>
      <w:r w:rsidRPr="008328B0">
        <w:rPr>
          <w:lang w:val="fr-FR"/>
        </w:rPr>
        <w:tab/>
        <w:t>Justification de la proposition 3 : certaines dispositions de la section</w:t>
      </w:r>
      <w:r w:rsidR="009F3F1B">
        <w:rPr>
          <w:lang w:val="fr-FR"/>
        </w:rPr>
        <w:t> </w:t>
      </w:r>
      <w:r w:rsidRPr="008328B0">
        <w:rPr>
          <w:lang w:val="fr-FR"/>
        </w:rPr>
        <w:t>9.6.1 de l</w:t>
      </w:r>
      <w:r>
        <w:rPr>
          <w:lang w:val="fr-FR"/>
        </w:rPr>
        <w:t>’</w:t>
      </w:r>
      <w:r w:rsidRPr="008328B0">
        <w:rPr>
          <w:lang w:val="fr-FR"/>
        </w:rPr>
        <w:t>ADR sont applicables aussi bien aux véhicules qu</w:t>
      </w:r>
      <w:r>
        <w:rPr>
          <w:lang w:val="fr-FR"/>
        </w:rPr>
        <w:t>’</w:t>
      </w:r>
      <w:r w:rsidRPr="008328B0">
        <w:rPr>
          <w:lang w:val="fr-FR"/>
        </w:rPr>
        <w:t>aux conteneurs. Ainsi que cela a été évoqué lors des sessions précédentes du Groupe de travail, la section</w:t>
      </w:r>
      <w:r w:rsidR="009F3F1B">
        <w:rPr>
          <w:lang w:val="fr-FR"/>
        </w:rPr>
        <w:t> </w:t>
      </w:r>
      <w:r w:rsidRPr="008328B0">
        <w:rPr>
          <w:lang w:val="fr-FR"/>
        </w:rPr>
        <w:t>9.6.1 ne devrait pas s</w:t>
      </w:r>
      <w:r>
        <w:rPr>
          <w:lang w:val="fr-FR"/>
        </w:rPr>
        <w:t>’</w:t>
      </w:r>
      <w:r w:rsidRPr="008328B0">
        <w:rPr>
          <w:lang w:val="fr-FR"/>
        </w:rPr>
        <w:t>appliquer aux conteneurs et il est proposé d</w:t>
      </w:r>
      <w:r>
        <w:rPr>
          <w:lang w:val="fr-FR"/>
        </w:rPr>
        <w:t>’</w:t>
      </w:r>
      <w:r w:rsidRPr="008328B0">
        <w:rPr>
          <w:lang w:val="fr-FR"/>
        </w:rPr>
        <w:t>intégrer l</w:t>
      </w:r>
      <w:r>
        <w:rPr>
          <w:lang w:val="fr-FR"/>
        </w:rPr>
        <w:t>’</w:t>
      </w:r>
      <w:r w:rsidRPr="008328B0">
        <w:rPr>
          <w:lang w:val="fr-FR"/>
        </w:rPr>
        <w:t>intention des dispositions</w:t>
      </w:r>
      <w:r>
        <w:rPr>
          <w:lang w:val="fr-FR"/>
        </w:rPr>
        <w:t xml:space="preserve"> des alinéas</w:t>
      </w:r>
      <w:r w:rsidR="009F3F1B">
        <w:t> </w:t>
      </w:r>
      <w:r w:rsidRPr="00016246">
        <w:rPr>
          <w:lang w:val="fr-FR"/>
        </w:rPr>
        <w:t xml:space="preserve">a), d) et e) </w:t>
      </w:r>
      <w:r w:rsidRPr="008328B0">
        <w:rPr>
          <w:lang w:val="fr-FR"/>
        </w:rPr>
        <w:t>de la section</w:t>
      </w:r>
      <w:r w:rsidR="009F3F1B">
        <w:rPr>
          <w:lang w:val="fr-FR"/>
        </w:rPr>
        <w:t> </w:t>
      </w:r>
      <w:r w:rsidRPr="008328B0">
        <w:rPr>
          <w:lang w:val="fr-FR"/>
        </w:rPr>
        <w:t>9.6.1 dans la sous-section</w:t>
      </w:r>
      <w:r w:rsidR="009F3F1B">
        <w:rPr>
          <w:lang w:val="fr-FR"/>
        </w:rPr>
        <w:t> </w:t>
      </w:r>
      <w:r w:rsidRPr="008328B0">
        <w:rPr>
          <w:lang w:val="fr-FR"/>
        </w:rPr>
        <w:t xml:space="preserve">7.1.7.4.7 </w:t>
      </w:r>
      <w:r>
        <w:rPr>
          <w:lang w:val="fr-FR"/>
        </w:rPr>
        <w:t>pour</w:t>
      </w:r>
      <w:r w:rsidRPr="008328B0">
        <w:rPr>
          <w:lang w:val="fr-FR"/>
        </w:rPr>
        <w:t xml:space="preserve"> l</w:t>
      </w:r>
      <w:r>
        <w:rPr>
          <w:lang w:val="fr-FR"/>
        </w:rPr>
        <w:t>’</w:t>
      </w:r>
      <w:r w:rsidRPr="008328B0">
        <w:rPr>
          <w:lang w:val="fr-FR"/>
        </w:rPr>
        <w:t>appliqu</w:t>
      </w:r>
      <w:r>
        <w:rPr>
          <w:lang w:val="fr-FR"/>
        </w:rPr>
        <w:t>er</w:t>
      </w:r>
      <w:r w:rsidRPr="008328B0">
        <w:rPr>
          <w:lang w:val="fr-FR"/>
        </w:rPr>
        <w:t xml:space="preserve"> aux conteneurs. La</w:t>
      </w:r>
      <w:r w:rsidR="009F3F1B">
        <w:rPr>
          <w:lang w:val="fr-FR"/>
        </w:rPr>
        <w:t> </w:t>
      </w:r>
      <w:r w:rsidRPr="008328B0">
        <w:rPr>
          <w:lang w:val="fr-FR"/>
        </w:rPr>
        <w:t>sous</w:t>
      </w:r>
      <w:r w:rsidR="009F3F1B">
        <w:rPr>
          <w:lang w:val="fr-FR"/>
        </w:rPr>
        <w:noBreakHyphen/>
      </w:r>
      <w:r w:rsidRPr="008328B0">
        <w:rPr>
          <w:lang w:val="fr-FR"/>
        </w:rPr>
        <w:t>section</w:t>
      </w:r>
      <w:r w:rsidR="009F3F1B">
        <w:rPr>
          <w:lang w:val="fr-FR"/>
        </w:rPr>
        <w:t> </w:t>
      </w:r>
      <w:r w:rsidRPr="008328B0">
        <w:rPr>
          <w:lang w:val="fr-FR"/>
        </w:rPr>
        <w:t xml:space="preserve">7.1.7.4.7 est </w:t>
      </w:r>
      <w:r>
        <w:rPr>
          <w:lang w:val="fr-FR"/>
        </w:rPr>
        <w:t>particulière</w:t>
      </w:r>
      <w:r w:rsidRPr="008328B0">
        <w:rPr>
          <w:lang w:val="fr-FR"/>
        </w:rPr>
        <w:t xml:space="preserve"> à l</w:t>
      </w:r>
      <w:r>
        <w:rPr>
          <w:lang w:val="fr-FR"/>
        </w:rPr>
        <w:t>’</w:t>
      </w:r>
      <w:r w:rsidRPr="008328B0">
        <w:rPr>
          <w:lang w:val="fr-FR"/>
        </w:rPr>
        <w:t>ADR et n</w:t>
      </w:r>
      <w:r>
        <w:rPr>
          <w:lang w:val="fr-FR"/>
        </w:rPr>
        <w:t>’</w:t>
      </w:r>
      <w:r w:rsidRPr="008328B0">
        <w:rPr>
          <w:lang w:val="fr-FR"/>
        </w:rPr>
        <w:t>interfère pas avec le Règlement type de l</w:t>
      </w:r>
      <w:r>
        <w:rPr>
          <w:lang w:val="fr-FR"/>
        </w:rPr>
        <w:t>’</w:t>
      </w:r>
      <w:r w:rsidRPr="008328B0">
        <w:rPr>
          <w:lang w:val="fr-FR"/>
        </w:rPr>
        <w:t>ONU.</w:t>
      </w:r>
    </w:p>
    <w:p w14:paraId="5A5D8742" w14:textId="2A3FD98E" w:rsidR="009F3F1B" w:rsidRPr="009F3F1B" w:rsidRDefault="009F3F1B" w:rsidP="009F3F1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F3F1B" w:rsidRPr="009F3F1B" w:rsidSect="000077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6D8D" w14:textId="77777777" w:rsidR="00062755" w:rsidRDefault="00062755" w:rsidP="00F95C08">
      <w:pPr>
        <w:spacing w:line="240" w:lineRule="auto"/>
      </w:pPr>
    </w:p>
  </w:endnote>
  <w:endnote w:type="continuationSeparator" w:id="0">
    <w:p w14:paraId="2F63E2A8" w14:textId="77777777" w:rsidR="00062755" w:rsidRPr="00AC3823" w:rsidRDefault="00062755" w:rsidP="00AC3823">
      <w:pPr>
        <w:pStyle w:val="Footer"/>
      </w:pPr>
    </w:p>
  </w:endnote>
  <w:endnote w:type="continuationNotice" w:id="1">
    <w:p w14:paraId="2A7FC6D8" w14:textId="77777777" w:rsidR="00062755" w:rsidRDefault="000627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AFDD" w14:textId="3DFD12F1" w:rsidR="00007798" w:rsidRPr="00007798" w:rsidRDefault="00007798" w:rsidP="00007798">
    <w:pPr>
      <w:pStyle w:val="Footer"/>
      <w:tabs>
        <w:tab w:val="right" w:pos="9638"/>
      </w:tabs>
    </w:pPr>
    <w:r w:rsidRPr="00007798">
      <w:rPr>
        <w:b/>
        <w:sz w:val="18"/>
      </w:rPr>
      <w:fldChar w:fldCharType="begin"/>
    </w:r>
    <w:r w:rsidRPr="00007798">
      <w:rPr>
        <w:b/>
        <w:sz w:val="18"/>
      </w:rPr>
      <w:instrText xml:space="preserve"> PAGE  \* MERGEFORMAT </w:instrText>
    </w:r>
    <w:r w:rsidRPr="00007798">
      <w:rPr>
        <w:b/>
        <w:sz w:val="18"/>
      </w:rPr>
      <w:fldChar w:fldCharType="separate"/>
    </w:r>
    <w:r w:rsidRPr="00007798">
      <w:rPr>
        <w:b/>
        <w:noProof/>
        <w:sz w:val="18"/>
      </w:rPr>
      <w:t>2</w:t>
    </w:r>
    <w:r w:rsidRPr="00007798">
      <w:rPr>
        <w:b/>
        <w:sz w:val="18"/>
      </w:rPr>
      <w:fldChar w:fldCharType="end"/>
    </w:r>
    <w:r>
      <w:rPr>
        <w:b/>
        <w:sz w:val="18"/>
      </w:rPr>
      <w:tab/>
    </w:r>
    <w:r>
      <w:t>GE.21-11515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57F4" w14:textId="792FEC73" w:rsidR="00007798" w:rsidRPr="00007798" w:rsidRDefault="00007798" w:rsidP="00007798">
    <w:pPr>
      <w:pStyle w:val="Footer"/>
      <w:tabs>
        <w:tab w:val="right" w:pos="9638"/>
      </w:tabs>
      <w:rPr>
        <w:b/>
        <w:sz w:val="18"/>
      </w:rPr>
    </w:pPr>
    <w:r>
      <w:t>GE.21-11515</w:t>
    </w:r>
    <w:r>
      <w:tab/>
    </w:r>
    <w:r w:rsidRPr="00007798">
      <w:rPr>
        <w:b/>
        <w:sz w:val="18"/>
      </w:rPr>
      <w:fldChar w:fldCharType="begin"/>
    </w:r>
    <w:r w:rsidRPr="00007798">
      <w:rPr>
        <w:b/>
        <w:sz w:val="18"/>
      </w:rPr>
      <w:instrText xml:space="preserve"> PAGE  \* MERGEFORMAT </w:instrText>
    </w:r>
    <w:r w:rsidRPr="00007798">
      <w:rPr>
        <w:b/>
        <w:sz w:val="18"/>
      </w:rPr>
      <w:fldChar w:fldCharType="separate"/>
    </w:r>
    <w:r w:rsidRPr="00007798">
      <w:rPr>
        <w:b/>
        <w:noProof/>
        <w:sz w:val="18"/>
      </w:rPr>
      <w:t>3</w:t>
    </w:r>
    <w:r w:rsidRPr="000077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F5DB" w14:textId="27186835" w:rsidR="000D3EE9" w:rsidRPr="00007798" w:rsidRDefault="00007798" w:rsidP="00007798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EF33F7" wp14:editId="191F0DB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21-11515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23A7CF" wp14:editId="2C06D2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150921    160921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64F2" w14:textId="77777777" w:rsidR="00062755" w:rsidRPr="00AC3823" w:rsidRDefault="000627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58549C" w14:textId="77777777" w:rsidR="00062755" w:rsidRPr="00AC3823" w:rsidRDefault="000627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E36D09" w14:textId="77777777" w:rsidR="00062755" w:rsidRPr="00AC3823" w:rsidRDefault="00062755">
      <w:pPr>
        <w:spacing w:line="240" w:lineRule="auto"/>
        <w:rPr>
          <w:sz w:val="2"/>
          <w:szCs w:val="2"/>
        </w:rPr>
      </w:pPr>
    </w:p>
  </w:footnote>
  <w:footnote w:id="2">
    <w:p w14:paraId="658841EC" w14:textId="0128FD76" w:rsidR="00007798" w:rsidRDefault="00C46D4B" w:rsidP="00007798">
      <w:pPr>
        <w:pStyle w:val="FootnoteText"/>
      </w:pPr>
      <w:r>
        <w:rPr>
          <w:sz w:val="20"/>
          <w:lang w:val="fr-FR"/>
        </w:rPr>
        <w:tab/>
      </w:r>
      <w:r w:rsidR="00007798">
        <w:rPr>
          <w:sz w:val="20"/>
          <w:lang w:val="fr-FR"/>
        </w:rPr>
        <w:sym w:font="Symbol" w:char="F02A"/>
      </w:r>
      <w:r w:rsidR="00007798">
        <w:rPr>
          <w:lang w:val="fr-FR"/>
        </w:rPr>
        <w:tab/>
        <w:t>A/75/6 (Sect.</w:t>
      </w:r>
      <w:r>
        <w:rPr>
          <w:lang w:val="fr-FR"/>
        </w:rPr>
        <w:t> </w:t>
      </w:r>
      <w:r w:rsidR="00007798">
        <w:rPr>
          <w:lang w:val="fr-FR"/>
        </w:rPr>
        <w:t>20), par.</w:t>
      </w:r>
      <w:r>
        <w:rPr>
          <w:lang w:val="fr-FR"/>
        </w:rPr>
        <w:t> </w:t>
      </w:r>
      <w:r w:rsidR="00007798">
        <w:rPr>
          <w:lang w:val="fr-FR"/>
        </w:rPr>
        <w:t>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0BD4" w14:textId="6002715E" w:rsidR="00007798" w:rsidRPr="00007798" w:rsidRDefault="001F6FC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1882">
      <w:t>ECE/TRANS/WP.15/2021/13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CA42" w14:textId="75EF17FD" w:rsidR="00007798" w:rsidRPr="00007798" w:rsidRDefault="001F6FCF" w:rsidP="0000779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1882">
      <w:t>ECE/TRANS/WP.15/2021/13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55"/>
    <w:rsid w:val="00007798"/>
    <w:rsid w:val="00017F94"/>
    <w:rsid w:val="00023842"/>
    <w:rsid w:val="000334F9"/>
    <w:rsid w:val="00062755"/>
    <w:rsid w:val="0007796D"/>
    <w:rsid w:val="000938E9"/>
    <w:rsid w:val="000B7790"/>
    <w:rsid w:val="000D3EE9"/>
    <w:rsid w:val="00111F2F"/>
    <w:rsid w:val="001433FD"/>
    <w:rsid w:val="0014365E"/>
    <w:rsid w:val="001541D3"/>
    <w:rsid w:val="00176178"/>
    <w:rsid w:val="001F525A"/>
    <w:rsid w:val="001F6FCF"/>
    <w:rsid w:val="00223272"/>
    <w:rsid w:val="0024779E"/>
    <w:rsid w:val="002832AC"/>
    <w:rsid w:val="00295CCA"/>
    <w:rsid w:val="002D7C93"/>
    <w:rsid w:val="00392828"/>
    <w:rsid w:val="00441C3B"/>
    <w:rsid w:val="00446B0A"/>
    <w:rsid w:val="00446FE5"/>
    <w:rsid w:val="00452396"/>
    <w:rsid w:val="004C4EA0"/>
    <w:rsid w:val="004E468C"/>
    <w:rsid w:val="00506BE1"/>
    <w:rsid w:val="005316B0"/>
    <w:rsid w:val="005505B7"/>
    <w:rsid w:val="00573BE5"/>
    <w:rsid w:val="00585223"/>
    <w:rsid w:val="00586ED3"/>
    <w:rsid w:val="00596AA9"/>
    <w:rsid w:val="005F2353"/>
    <w:rsid w:val="00706363"/>
    <w:rsid w:val="0071601D"/>
    <w:rsid w:val="0074674C"/>
    <w:rsid w:val="007A62E6"/>
    <w:rsid w:val="0080684C"/>
    <w:rsid w:val="00871C75"/>
    <w:rsid w:val="008776DC"/>
    <w:rsid w:val="009705C8"/>
    <w:rsid w:val="009A15B6"/>
    <w:rsid w:val="009C1CF4"/>
    <w:rsid w:val="009F3F1B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46D4B"/>
    <w:rsid w:val="00D3439C"/>
    <w:rsid w:val="00D91882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58CBB"/>
  <w15:docId w15:val="{EA9EF51D-DD89-4811-A295-9D888B2E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C46D4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ECE/TRANS/WP.15/2021/13</vt:lpstr>
    </vt:vector>
  </TitlesOfParts>
  <Company>DCM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ECE/TRANS/WP.15/2021/13</dc:title>
  <dc:subject/>
  <dc:creator>Christine CHAUTAGNAT</dc:creator>
  <cp:keywords/>
  <cp:lastModifiedBy>Christine Barrio-Champeau</cp:lastModifiedBy>
  <cp:revision>2</cp:revision>
  <cp:lastPrinted>2021-09-16T09:11:00Z</cp:lastPrinted>
  <dcterms:created xsi:type="dcterms:W3CDTF">2021-10-06T08:03:00Z</dcterms:created>
  <dcterms:modified xsi:type="dcterms:W3CDTF">2021-10-06T08:03:00Z</dcterms:modified>
</cp:coreProperties>
</file>