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1F815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046463" w14:textId="77777777" w:rsidR="002D5AAC" w:rsidRDefault="002D5AAC" w:rsidP="00F777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8C0AD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388FB5A" w14:textId="4FA4745D" w:rsidR="002D5AAC" w:rsidRDefault="00F777B3" w:rsidP="00F777B3">
            <w:pPr>
              <w:jc w:val="right"/>
            </w:pPr>
            <w:r w:rsidRPr="00F777B3">
              <w:rPr>
                <w:sz w:val="40"/>
              </w:rPr>
              <w:t>ECE</w:t>
            </w:r>
            <w:r>
              <w:t>/TRANS/WP.29/GRSP/2021/29</w:t>
            </w:r>
          </w:p>
        </w:tc>
      </w:tr>
      <w:tr w:rsidR="002D5AAC" w:rsidRPr="00A67D1D" w14:paraId="5C3B55E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B1B1A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CD9506" wp14:editId="32DAF2C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FA609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00C52DC" w14:textId="77777777" w:rsidR="002D5AAC" w:rsidRDefault="00F777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2971B97" w14:textId="77777777" w:rsidR="00F777B3" w:rsidRDefault="00F777B3" w:rsidP="00F777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September 2021</w:t>
            </w:r>
          </w:p>
          <w:p w14:paraId="1E2330A5" w14:textId="77777777" w:rsidR="00F777B3" w:rsidRDefault="00F777B3" w:rsidP="00F777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75753EC" w14:textId="7EAE4D18" w:rsidR="00F777B3" w:rsidRPr="008D53B6" w:rsidRDefault="00F777B3" w:rsidP="00F777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B5A8E1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B8A5E6E" w14:textId="77777777" w:rsidR="00F777B3" w:rsidRPr="00197D89" w:rsidRDefault="00F777B3" w:rsidP="00F777B3">
      <w:pPr>
        <w:spacing w:before="120" w:line="240" w:lineRule="auto"/>
        <w:rPr>
          <w:rFonts w:asciiTheme="majorBidi" w:hAnsiTheme="majorBidi" w:cstheme="majorBidi"/>
          <w:sz w:val="28"/>
          <w:szCs w:val="28"/>
        </w:rPr>
      </w:pPr>
      <w:r w:rsidRPr="00197D89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265559A2" w14:textId="77777777" w:rsidR="00F777B3" w:rsidRPr="00197D89" w:rsidRDefault="00F777B3" w:rsidP="00F777B3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197D89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197D89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335C741E" w14:textId="77777777" w:rsidR="00F777B3" w:rsidRPr="00197D89" w:rsidRDefault="00F777B3" w:rsidP="00F777B3">
      <w:pPr>
        <w:tabs>
          <w:tab w:val="right" w:pos="9639"/>
        </w:tabs>
        <w:spacing w:before="120" w:line="240" w:lineRule="auto"/>
        <w:rPr>
          <w:b/>
        </w:rPr>
      </w:pPr>
      <w:r w:rsidRPr="00197D89">
        <w:rPr>
          <w:rFonts w:asciiTheme="majorBidi" w:hAnsiTheme="majorBidi" w:cstheme="majorBidi"/>
          <w:b/>
          <w:bCs/>
        </w:rPr>
        <w:t>Рабочая группа по пассивной безопасности</w:t>
      </w:r>
    </w:p>
    <w:p w14:paraId="7CDF7BAF" w14:textId="77777777" w:rsidR="00F777B3" w:rsidRPr="00197D89" w:rsidRDefault="00F777B3" w:rsidP="00F777B3">
      <w:pPr>
        <w:spacing w:before="120" w:line="240" w:lineRule="auto"/>
        <w:rPr>
          <w:b/>
        </w:rPr>
      </w:pPr>
      <w:r w:rsidRPr="00197D89">
        <w:rPr>
          <w:b/>
        </w:rPr>
        <w:t>Семидесятая сессия</w:t>
      </w:r>
    </w:p>
    <w:p w14:paraId="2498F225" w14:textId="77777777" w:rsidR="00F777B3" w:rsidRPr="00197D89" w:rsidRDefault="00F777B3" w:rsidP="00F777B3">
      <w:pPr>
        <w:spacing w:line="240" w:lineRule="auto"/>
      </w:pPr>
      <w:r w:rsidRPr="00197D89">
        <w:t>Женева, 6–10 декабря 2021 года</w:t>
      </w:r>
    </w:p>
    <w:p w14:paraId="1A8E3BCD" w14:textId="77777777" w:rsidR="00F777B3" w:rsidRPr="00197D89" w:rsidRDefault="00F777B3" w:rsidP="00F777B3">
      <w:pPr>
        <w:rPr>
          <w:bCs/>
        </w:rPr>
      </w:pPr>
      <w:r w:rsidRPr="00197D89">
        <w:t>Пункт 16 предварительной повестки дня</w:t>
      </w:r>
    </w:p>
    <w:p w14:paraId="5D98F074" w14:textId="0BA67085" w:rsidR="00F777B3" w:rsidRPr="00197D89" w:rsidRDefault="00F777B3" w:rsidP="00F777B3">
      <w:pPr>
        <w:rPr>
          <w:b/>
        </w:rPr>
      </w:pPr>
      <w:r w:rsidRPr="00197D89">
        <w:rPr>
          <w:b/>
        </w:rPr>
        <w:t xml:space="preserve">Правила № 153 ООН (целостность топливной системы </w:t>
      </w:r>
      <w:r w:rsidRPr="00197D89">
        <w:rPr>
          <w:b/>
        </w:rPr>
        <w:br/>
        <w:t xml:space="preserve">и безопасности электрического силового агрегата </w:t>
      </w:r>
      <w:r w:rsidRPr="00197D89">
        <w:rPr>
          <w:b/>
        </w:rPr>
        <w:br/>
        <w:t>в случае удара сзади)</w:t>
      </w:r>
    </w:p>
    <w:p w14:paraId="4F4D68D5" w14:textId="77777777" w:rsidR="00F777B3" w:rsidRPr="00197D89" w:rsidRDefault="00F777B3" w:rsidP="00F777B3">
      <w:pPr>
        <w:pStyle w:val="HChG"/>
        <w:rPr>
          <w:bCs/>
        </w:rPr>
      </w:pPr>
      <w:r w:rsidRPr="00197D89">
        <w:tab/>
      </w:r>
      <w:r w:rsidRPr="00197D89">
        <w:tab/>
      </w:r>
      <w:r w:rsidRPr="00197D89">
        <w:rPr>
          <w:bCs/>
        </w:rPr>
        <w:t>Предложение по дополнению 2 к Правилам № 153 ООН (целостность топливной системы и безопасность электрического силового агрегата в случае удара сзади)</w:t>
      </w:r>
    </w:p>
    <w:p w14:paraId="67BB9349" w14:textId="77777777" w:rsidR="00F777B3" w:rsidRPr="00197D89" w:rsidRDefault="00F777B3" w:rsidP="00F777B3">
      <w:pPr>
        <w:pStyle w:val="H1G"/>
        <w:ind w:left="0" w:firstLine="1134"/>
      </w:pPr>
      <w:r w:rsidRPr="00197D89">
        <w:t>Представлено экспертом от Германии</w:t>
      </w:r>
      <w:r w:rsidRPr="00F777B3">
        <w:rPr>
          <w:b w:val="0"/>
          <w:sz w:val="20"/>
        </w:rPr>
        <w:footnoteReference w:customMarkFollows="1" w:id="1"/>
        <w:t>*</w:t>
      </w:r>
    </w:p>
    <w:p w14:paraId="220E448B" w14:textId="77777777" w:rsidR="00F777B3" w:rsidRPr="00197D89" w:rsidRDefault="00F777B3" w:rsidP="00F777B3">
      <w:pPr>
        <w:pStyle w:val="SingleTxtG"/>
        <w:ind w:firstLine="567"/>
        <w:rPr>
          <w:snapToGrid w:val="0"/>
        </w:rPr>
      </w:pPr>
      <w:r w:rsidRPr="00197D89">
        <w:rPr>
          <w:shd w:val="clear" w:color="auto" w:fill="FFFFFF"/>
        </w:rPr>
        <w:t xml:space="preserve">Воспроизведенный ниже текст был подготовлен экспертом от Германии с целью уточнения текста Правил ООН. В его основу положен неофициальный документ </w:t>
      </w:r>
      <w:r w:rsidRPr="00197D89">
        <w:t>GRSP-69-07</w:t>
      </w:r>
      <w:r w:rsidRPr="00197D89">
        <w:rPr>
          <w:shd w:val="clear" w:color="auto" w:fill="FFFFFF"/>
        </w:rPr>
        <w:t>, распространенный на шестьдесят девятой сессии Рабочей группы по пассивной безопасности (GRSP).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186846FD" w14:textId="77777777" w:rsidR="00F777B3" w:rsidRPr="00197D89" w:rsidRDefault="00F777B3" w:rsidP="00F777B3">
      <w:pPr>
        <w:suppressAutoHyphens w:val="0"/>
        <w:spacing w:line="240" w:lineRule="auto"/>
      </w:pPr>
      <w:r w:rsidRPr="00197D89">
        <w:br w:type="page"/>
      </w:r>
    </w:p>
    <w:p w14:paraId="73781E1D" w14:textId="77777777" w:rsidR="00F777B3" w:rsidRPr="00197D89" w:rsidRDefault="00F777B3" w:rsidP="00F777B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97D89">
        <w:rPr>
          <w:b/>
          <w:sz w:val="28"/>
        </w:rPr>
        <w:lastRenderedPageBreak/>
        <w:tab/>
        <w:t>I.</w:t>
      </w:r>
      <w:r w:rsidRPr="00197D89">
        <w:rPr>
          <w:b/>
          <w:sz w:val="28"/>
        </w:rPr>
        <w:tab/>
        <w:t>Предложение</w:t>
      </w:r>
    </w:p>
    <w:p w14:paraId="6228464E" w14:textId="77777777" w:rsidR="00F777B3" w:rsidRPr="00197D89" w:rsidRDefault="00F777B3" w:rsidP="00F777B3">
      <w:pPr>
        <w:spacing w:before="100" w:beforeAutospacing="1" w:after="120"/>
        <w:ind w:left="2268" w:right="1134" w:hanging="1134"/>
        <w:jc w:val="both"/>
        <w:rPr>
          <w:iCs/>
          <w:lang w:eastAsia="ja-JP"/>
        </w:rPr>
      </w:pPr>
      <w:r w:rsidRPr="00197D89">
        <w:rPr>
          <w:i/>
          <w:lang w:eastAsia="ja-JP"/>
        </w:rPr>
        <w:t>Пункты 2</w:t>
      </w:r>
      <w:r w:rsidRPr="00197D89">
        <w:rPr>
          <w:i/>
          <w:iCs/>
        </w:rPr>
        <w:t>–</w:t>
      </w:r>
      <w:r w:rsidRPr="00197D89">
        <w:rPr>
          <w:i/>
          <w:lang w:eastAsia="ja-JP"/>
        </w:rPr>
        <w:t xml:space="preserve">2.1.9 </w:t>
      </w:r>
      <w:r w:rsidRPr="00197D89">
        <w:rPr>
          <w:shd w:val="clear" w:color="auto" w:fill="FFFFFF"/>
        </w:rPr>
        <w:t>изменить следующим образом</w:t>
      </w:r>
      <w:r w:rsidRPr="00197D89">
        <w:rPr>
          <w:iCs/>
          <w:lang w:eastAsia="ja-JP"/>
        </w:rPr>
        <w:t>:</w:t>
      </w:r>
    </w:p>
    <w:p w14:paraId="3E1DFD45" w14:textId="77777777" w:rsidR="00F777B3" w:rsidRPr="00197D89" w:rsidRDefault="00F777B3" w:rsidP="00F777B3">
      <w:pPr>
        <w:pStyle w:val="HChG"/>
        <w:ind w:left="2268"/>
        <w:outlineLvl w:val="0"/>
      </w:pPr>
      <w:bookmarkStart w:id="0" w:name="_Toc381109759"/>
      <w:bookmarkStart w:id="1" w:name="_Toc18935268"/>
      <w:r w:rsidRPr="00F777B3">
        <w:rPr>
          <w:b w:val="0"/>
          <w:bCs/>
          <w:sz w:val="20"/>
        </w:rPr>
        <w:t>«</w:t>
      </w:r>
      <w:r w:rsidRPr="00197D89">
        <w:t>2.</w:t>
      </w:r>
      <w:r w:rsidRPr="00197D89">
        <w:tab/>
      </w:r>
      <w:bookmarkEnd w:id="0"/>
      <w:bookmarkEnd w:id="1"/>
      <w:r w:rsidRPr="00197D89">
        <w:rPr>
          <w:bCs/>
        </w:rPr>
        <w:t>Определения</w:t>
      </w:r>
    </w:p>
    <w:p w14:paraId="1F8A1F3A" w14:textId="40D45043" w:rsidR="00F777B3" w:rsidRPr="00197D89" w:rsidRDefault="00F777B3" w:rsidP="00F777B3">
      <w:pPr>
        <w:pStyle w:val="SingleTxtG"/>
        <w:ind w:left="2268" w:hanging="1134"/>
      </w:pPr>
      <w:r w:rsidRPr="00197D89">
        <w:tab/>
      </w:r>
      <w:r>
        <w:tab/>
      </w:r>
      <w:r w:rsidRPr="00197D89">
        <w:t>Для целей настоящих Правил:</w:t>
      </w:r>
    </w:p>
    <w:p w14:paraId="10DCC1C6" w14:textId="7FDF3240" w:rsidR="00F777B3" w:rsidRPr="00197D89" w:rsidRDefault="00F777B3" w:rsidP="00F777B3">
      <w:pPr>
        <w:pStyle w:val="SingleTxtG"/>
        <w:ind w:left="2268" w:hanging="1134"/>
      </w:pPr>
      <w:r w:rsidRPr="00197D89">
        <w:t>2.1</w:t>
      </w:r>
      <w:r w:rsidRPr="00197D89">
        <w:tab/>
      </w:r>
      <w:r w:rsidRPr="00197D89">
        <w:tab/>
      </w:r>
      <w:r w:rsidRPr="00F777B3">
        <w:rPr>
          <w:iCs/>
        </w:rPr>
        <w:t>“</w:t>
      </w:r>
      <w:r w:rsidRPr="00197D89">
        <w:rPr>
          <w:i/>
          <w:iCs/>
        </w:rPr>
        <w:t>тип транспортного средства</w:t>
      </w:r>
      <w:r w:rsidRPr="00F777B3">
        <w:rPr>
          <w:iCs/>
        </w:rPr>
        <w:t>”</w:t>
      </w:r>
      <w:r w:rsidRPr="00197D89">
        <w:t xml:space="preserve"> означает категорию механических транспортных средств, не имеющих между собой различий в таких существенных аспектах, как:</w:t>
      </w:r>
    </w:p>
    <w:p w14:paraId="00028A45" w14:textId="5C585E3D" w:rsidR="00F777B3" w:rsidRPr="00197D89" w:rsidRDefault="00F777B3" w:rsidP="00F777B3">
      <w:pPr>
        <w:pStyle w:val="SingleTxtG"/>
        <w:ind w:left="2268" w:hanging="1134"/>
      </w:pPr>
      <w:r w:rsidRPr="00197D89">
        <w:t>2.1.1</w:t>
      </w:r>
      <w:r w:rsidRPr="00197D89">
        <w:tab/>
      </w:r>
      <w:r w:rsidRPr="00197D89">
        <w:tab/>
        <w:t>длина и ширина транспортного средства в той мере, в какой они оказывают воздействие на результаты испытания на удар, предписанного в настоящих Правилах;</w:t>
      </w:r>
    </w:p>
    <w:p w14:paraId="7C7F3B86" w14:textId="154F559F" w:rsidR="00F777B3" w:rsidRPr="00197D89" w:rsidRDefault="00F777B3" w:rsidP="00F777B3">
      <w:pPr>
        <w:pStyle w:val="SingleTxtG"/>
        <w:ind w:left="2268" w:hanging="1134"/>
      </w:pPr>
      <w:r w:rsidRPr="00197D89">
        <w:t>2.1.2</w:t>
      </w:r>
      <w:r w:rsidRPr="00197D89">
        <w:tab/>
      </w:r>
      <w:r w:rsidRPr="00197D89">
        <w:tab/>
        <w:t xml:space="preserve">конструкция, размеры, форма и материал той части транспортного средства, которая расположена за поперечной плоскостью, проходящей через точку </w:t>
      </w:r>
      <w:r w:rsidRPr="00F777B3">
        <w:t>“</w:t>
      </w:r>
      <w:r w:rsidRPr="00197D89">
        <w:t>R</w:t>
      </w:r>
      <w:r w:rsidRPr="00F777B3">
        <w:t>”</w:t>
      </w:r>
      <w:r w:rsidRPr="00197D89">
        <w:t xml:space="preserve"> самого заднего сиденья</w:t>
      </w:r>
      <w:r w:rsidRPr="00197D89">
        <w:rPr>
          <w:b/>
          <w:bCs/>
        </w:rPr>
        <w:t>, в той мере, в какой они оказывают воздействие на результаты испытания на удар, предписанного в настоящих Правилах</w:t>
      </w:r>
      <w:r w:rsidRPr="00197D89">
        <w:t>;</w:t>
      </w:r>
    </w:p>
    <w:p w14:paraId="381B884E" w14:textId="77777777" w:rsidR="00F777B3" w:rsidRPr="00197D89" w:rsidRDefault="00F777B3" w:rsidP="00F777B3">
      <w:pPr>
        <w:pStyle w:val="SingleTxtG"/>
        <w:ind w:left="2268" w:hanging="1134"/>
      </w:pPr>
      <w:r w:rsidRPr="00197D89">
        <w:t>2.1.3</w:t>
      </w:r>
      <w:r w:rsidRPr="00197D89">
        <w:tab/>
      </w:r>
      <w:r w:rsidRPr="00197D89">
        <w:tab/>
        <w:t>форма и внутренние размеры пассажирского салона в той мере, в какой они оказывают воздействие на результаты испытания на удар, предписанного в настоящих Правилах;</w:t>
      </w:r>
    </w:p>
    <w:p w14:paraId="1348ED15" w14:textId="77777777" w:rsidR="00F777B3" w:rsidRPr="00197D89" w:rsidRDefault="00F777B3" w:rsidP="00F777B3">
      <w:pPr>
        <w:widowControl w:val="0"/>
        <w:tabs>
          <w:tab w:val="left" w:pos="2268"/>
        </w:tabs>
        <w:spacing w:after="120"/>
        <w:ind w:left="2268" w:right="1133" w:hanging="1134"/>
        <w:jc w:val="both"/>
      </w:pPr>
      <w:r w:rsidRPr="00197D89">
        <w:t>2.1.4</w:t>
      </w:r>
      <w:r w:rsidRPr="00197D89">
        <w:tab/>
        <w:t xml:space="preserve">место расположения (переднее, заднее или центральное) и ориентация (продольная или поперечная) двигателя в той мере, в какой они оказывают </w:t>
      </w:r>
      <w:r w:rsidRPr="00A67D1D">
        <w:rPr>
          <w:strike/>
        </w:rPr>
        <w:t>отрицательное</w:t>
      </w:r>
      <w:r w:rsidRPr="00197D89">
        <w:t xml:space="preserve"> воздействие на результаты испытания на удар, предписанного в настоящих Правилах;</w:t>
      </w:r>
    </w:p>
    <w:p w14:paraId="6FBC02D0" w14:textId="77777777" w:rsidR="00F777B3" w:rsidRPr="00197D89" w:rsidRDefault="00F777B3" w:rsidP="00F777B3">
      <w:pPr>
        <w:pStyle w:val="SingleTxtG"/>
        <w:ind w:left="2268" w:hanging="1134"/>
      </w:pPr>
      <w:r w:rsidRPr="00197D89">
        <w:t>2.1.5</w:t>
      </w:r>
      <w:r w:rsidRPr="00197D89">
        <w:tab/>
      </w:r>
      <w:r w:rsidRPr="00197D89">
        <w:tab/>
        <w:t xml:space="preserve">порожняя масса в той мере, в какой она оказывает </w:t>
      </w:r>
      <w:r w:rsidRPr="00A67D1D">
        <w:rPr>
          <w:strike/>
        </w:rPr>
        <w:t>отрицательное</w:t>
      </w:r>
      <w:r w:rsidRPr="00197D89">
        <w:t xml:space="preserve"> воздействие на результаты испытания на удар, предписанного в настоящих Правилах;</w:t>
      </w:r>
    </w:p>
    <w:p w14:paraId="1AC4CAA5" w14:textId="77777777" w:rsidR="00F777B3" w:rsidRPr="00197D89" w:rsidRDefault="00F777B3" w:rsidP="00F777B3">
      <w:pPr>
        <w:pStyle w:val="SingleTxtG"/>
        <w:ind w:left="2268" w:hanging="1134"/>
      </w:pPr>
      <w:r w:rsidRPr="00197D89">
        <w:t>2.1.6</w:t>
      </w:r>
      <w:r w:rsidRPr="00197D89">
        <w:tab/>
      </w:r>
      <w:r w:rsidRPr="00197D89">
        <w:tab/>
        <w:t xml:space="preserve">местонахождение ПСАЭ в той мере, в какой оно оказывает </w:t>
      </w:r>
      <w:r w:rsidRPr="00A67D1D">
        <w:rPr>
          <w:strike/>
        </w:rPr>
        <w:t>отрицательное</w:t>
      </w:r>
      <w:r w:rsidRPr="00197D89">
        <w:t xml:space="preserve"> воздействие на результаты испытания на удар, предписанного в настоящих Правилах;</w:t>
      </w:r>
    </w:p>
    <w:p w14:paraId="0A9ED0C5" w14:textId="77777777" w:rsidR="00F777B3" w:rsidRPr="00197D89" w:rsidRDefault="00F777B3" w:rsidP="00F777B3">
      <w:pPr>
        <w:pStyle w:val="SingleTxtG"/>
        <w:ind w:left="2268" w:hanging="1134"/>
      </w:pPr>
      <w:r w:rsidRPr="00197D89">
        <w:t>2.1.7</w:t>
      </w:r>
      <w:r w:rsidRPr="00197D89">
        <w:tab/>
      </w:r>
      <w:r w:rsidRPr="00197D89">
        <w:tab/>
        <w:t>конструкция, форма, размеры и материалы (металл/пластик) бака(</w:t>
      </w:r>
      <w:proofErr w:type="spellStart"/>
      <w:r w:rsidRPr="00197D89">
        <w:t>ов</w:t>
      </w:r>
      <w:proofErr w:type="spellEnd"/>
      <w:r w:rsidRPr="00197D89">
        <w:t xml:space="preserve">) </w:t>
      </w:r>
      <w:r w:rsidRPr="00197D89">
        <w:rPr>
          <w:b/>
          <w:bCs/>
        </w:rPr>
        <w:t>в той мере, в какой они оказывают воздействие на результаты испытания на удар, предписанного в настоящих Правилах</w:t>
      </w:r>
      <w:r w:rsidRPr="00197D89">
        <w:t>;</w:t>
      </w:r>
    </w:p>
    <w:p w14:paraId="09BBCB38" w14:textId="77777777" w:rsidR="00F777B3" w:rsidRPr="00197D89" w:rsidRDefault="00F777B3" w:rsidP="00F777B3">
      <w:pPr>
        <w:pStyle w:val="SingleTxtG"/>
        <w:ind w:left="2268" w:hanging="1134"/>
      </w:pPr>
      <w:r w:rsidRPr="00197D89">
        <w:t>2.1.8</w:t>
      </w:r>
      <w:r w:rsidRPr="00197D89">
        <w:tab/>
      </w:r>
      <w:r w:rsidRPr="00197D89">
        <w:tab/>
        <w:t>расположение бака(</w:t>
      </w:r>
      <w:proofErr w:type="spellStart"/>
      <w:r w:rsidRPr="00197D89">
        <w:t>ов</w:t>
      </w:r>
      <w:proofErr w:type="spellEnd"/>
      <w:r w:rsidRPr="00197D89">
        <w:t xml:space="preserve">) на транспортном средстве в той мере, в какой это оказывает </w:t>
      </w:r>
      <w:r w:rsidRPr="00A67D1D">
        <w:rPr>
          <w:strike/>
        </w:rPr>
        <w:t>негативное</w:t>
      </w:r>
      <w:r w:rsidRPr="00197D89">
        <w:t xml:space="preserve"> воздействие на соблюдение предписаний пункта</w:t>
      </w:r>
      <w:r w:rsidRPr="00197D89">
        <w:rPr>
          <w:lang w:val="fr-CH"/>
        </w:rPr>
        <w:t> </w:t>
      </w:r>
      <w:r w:rsidRPr="00197D89">
        <w:t>5.2.1;</w:t>
      </w:r>
    </w:p>
    <w:p w14:paraId="046FD8EC" w14:textId="77777777" w:rsidR="00F777B3" w:rsidRPr="00197D89" w:rsidRDefault="00F777B3" w:rsidP="00F777B3">
      <w:pPr>
        <w:widowControl w:val="0"/>
        <w:tabs>
          <w:tab w:val="left" w:pos="2268"/>
        </w:tabs>
        <w:spacing w:after="120"/>
        <w:ind w:left="2268" w:right="1134" w:hanging="1134"/>
        <w:jc w:val="both"/>
      </w:pPr>
      <w:r w:rsidRPr="00197D89">
        <w:t>2.1.9</w:t>
      </w:r>
      <w:r w:rsidRPr="00197D89">
        <w:tab/>
        <w:t>характеристики и расположение системы подачи топлива (насос, фильтры и т. д.)</w:t>
      </w:r>
      <w:r w:rsidRPr="00197D89">
        <w:rPr>
          <w:b/>
          <w:bCs/>
        </w:rPr>
        <w:t xml:space="preserve"> в той мере, в какой они оказывают воздействие на результаты испытания на удар, предписанного в настоящих Правилах ООН</w:t>
      </w:r>
      <w:r w:rsidRPr="00197D89">
        <w:t>».</w:t>
      </w:r>
    </w:p>
    <w:p w14:paraId="51E18457" w14:textId="77777777" w:rsidR="00F777B3" w:rsidRPr="00F777B3" w:rsidRDefault="00F777B3" w:rsidP="00F777B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97D89">
        <w:rPr>
          <w:b/>
          <w:sz w:val="28"/>
        </w:rPr>
        <w:tab/>
        <w:t>II.</w:t>
      </w:r>
      <w:r w:rsidRPr="00197D89">
        <w:rPr>
          <w:b/>
          <w:sz w:val="28"/>
        </w:rPr>
        <w:tab/>
        <w:t>Обоснование</w:t>
      </w:r>
    </w:p>
    <w:p w14:paraId="539ED6B2" w14:textId="77777777" w:rsidR="00F777B3" w:rsidRPr="00197D89" w:rsidRDefault="00F777B3" w:rsidP="00F777B3">
      <w:pPr>
        <w:pStyle w:val="SingleTxtG"/>
      </w:pPr>
      <w:bookmarkStart w:id="2" w:name="_Hlk55299342"/>
      <w:r w:rsidRPr="00197D89">
        <w:tab/>
      </w:r>
      <w:r w:rsidRPr="00197D89">
        <w:rPr>
          <w:shd w:val="clear" w:color="auto" w:fill="FFFFFF"/>
        </w:rPr>
        <w:t>В тексте пунктов 2.1.1</w:t>
      </w:r>
      <w:r w:rsidRPr="00197D89">
        <w:t>–</w:t>
      </w:r>
      <w:r w:rsidRPr="00197D89">
        <w:rPr>
          <w:shd w:val="clear" w:color="auto" w:fill="FFFFFF"/>
        </w:rPr>
        <w:t xml:space="preserve">2.1.9 оговорены критерии, имеющие значение для определения тех разновидностей транспортного средства, которые подпадают под единый тип транспортного средства без необходимости подачи заявки на предоставление отдельного официального утверждения типа. В нынешнем тексте содержится несколько подпунктов, в которых прямо указано, что имеющиеся различия позволяют говорить о новом типе транспортного средства только тогда, когда такие различия влияют либо оказывают отрицательное воздействие на результаты испытания на удар, предписанного в настоящих Правилах, тогда как в других </w:t>
      </w:r>
      <w:r w:rsidRPr="00197D89">
        <w:rPr>
          <w:shd w:val="clear" w:color="auto" w:fill="FFFFFF"/>
        </w:rPr>
        <w:lastRenderedPageBreak/>
        <w:t>подпунктах этого не указано. Настоящее предложение распространяет условие необходимости оказания влияния на результаты испытания на удар на все критерии, оговоренные в пункте 2.1, а также уточняет текст за счет исключения в ряде подпунктов слова «отрицательное» перед словом «воздействие».</w:t>
      </w:r>
    </w:p>
    <w:bookmarkEnd w:id="2"/>
    <w:p w14:paraId="0F9F4362" w14:textId="77777777" w:rsidR="00F777B3" w:rsidRPr="00197D89" w:rsidRDefault="00F777B3" w:rsidP="00F777B3">
      <w:pPr>
        <w:spacing w:before="240"/>
        <w:jc w:val="center"/>
        <w:rPr>
          <w:u w:val="single"/>
        </w:rPr>
      </w:pPr>
      <w:r w:rsidRPr="00197D89">
        <w:rPr>
          <w:u w:val="single"/>
        </w:rPr>
        <w:tab/>
      </w:r>
      <w:r w:rsidRPr="00197D89">
        <w:rPr>
          <w:u w:val="single"/>
        </w:rPr>
        <w:tab/>
      </w:r>
      <w:r w:rsidRPr="00197D89">
        <w:rPr>
          <w:u w:val="single"/>
        </w:rPr>
        <w:tab/>
      </w:r>
    </w:p>
    <w:sectPr w:rsidR="00F777B3" w:rsidRPr="00197D89" w:rsidSect="00F777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2C354" w14:textId="77777777" w:rsidR="00AA71AE" w:rsidRPr="00A312BC" w:rsidRDefault="00AA71AE" w:rsidP="00A312BC"/>
  </w:endnote>
  <w:endnote w:type="continuationSeparator" w:id="0">
    <w:p w14:paraId="61A494DE" w14:textId="77777777" w:rsidR="00AA71AE" w:rsidRPr="00A312BC" w:rsidRDefault="00AA71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81BC" w14:textId="536218B2" w:rsidR="00F777B3" w:rsidRPr="00F777B3" w:rsidRDefault="00F777B3">
    <w:pPr>
      <w:pStyle w:val="a8"/>
    </w:pPr>
    <w:r w:rsidRPr="00F777B3">
      <w:rPr>
        <w:b/>
        <w:sz w:val="18"/>
      </w:rPr>
      <w:fldChar w:fldCharType="begin"/>
    </w:r>
    <w:r w:rsidRPr="00F777B3">
      <w:rPr>
        <w:b/>
        <w:sz w:val="18"/>
      </w:rPr>
      <w:instrText xml:space="preserve"> PAGE  \* MERGEFORMAT </w:instrText>
    </w:r>
    <w:r w:rsidRPr="00F777B3">
      <w:rPr>
        <w:b/>
        <w:sz w:val="18"/>
      </w:rPr>
      <w:fldChar w:fldCharType="separate"/>
    </w:r>
    <w:r w:rsidRPr="00F777B3">
      <w:rPr>
        <w:b/>
        <w:noProof/>
        <w:sz w:val="18"/>
      </w:rPr>
      <w:t>2</w:t>
    </w:r>
    <w:r w:rsidRPr="00F777B3">
      <w:rPr>
        <w:b/>
        <w:sz w:val="18"/>
      </w:rPr>
      <w:fldChar w:fldCharType="end"/>
    </w:r>
    <w:r>
      <w:rPr>
        <w:b/>
        <w:sz w:val="18"/>
      </w:rPr>
      <w:tab/>
    </w:r>
    <w:r>
      <w:t>GE.21-13285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2B4E" w14:textId="684C4267" w:rsidR="00F777B3" w:rsidRPr="00F777B3" w:rsidRDefault="00F777B3" w:rsidP="00F777B3">
    <w:pPr>
      <w:pStyle w:val="a8"/>
      <w:tabs>
        <w:tab w:val="clear" w:pos="9639"/>
        <w:tab w:val="right" w:pos="9638"/>
      </w:tabs>
      <w:rPr>
        <w:b/>
        <w:sz w:val="18"/>
      </w:rPr>
    </w:pPr>
    <w:r>
      <w:t>GE.21-13285</w:t>
    </w:r>
    <w:r>
      <w:tab/>
    </w:r>
    <w:r w:rsidRPr="00F777B3">
      <w:rPr>
        <w:b/>
        <w:sz w:val="18"/>
      </w:rPr>
      <w:fldChar w:fldCharType="begin"/>
    </w:r>
    <w:r w:rsidRPr="00F777B3">
      <w:rPr>
        <w:b/>
        <w:sz w:val="18"/>
      </w:rPr>
      <w:instrText xml:space="preserve"> PAGE  \* MERGEFORMAT </w:instrText>
    </w:r>
    <w:r w:rsidRPr="00F777B3">
      <w:rPr>
        <w:b/>
        <w:sz w:val="18"/>
      </w:rPr>
      <w:fldChar w:fldCharType="separate"/>
    </w:r>
    <w:r w:rsidRPr="00F777B3">
      <w:rPr>
        <w:b/>
        <w:noProof/>
        <w:sz w:val="18"/>
      </w:rPr>
      <w:t>3</w:t>
    </w:r>
    <w:r w:rsidRPr="00F777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92596" w14:textId="17889EEB" w:rsidR="00042B72" w:rsidRPr="00F777B3" w:rsidRDefault="00F777B3" w:rsidP="00F777B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9BBE90" wp14:editId="3491E99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13285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084E374" wp14:editId="1669912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011021  141021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8FD7" w14:textId="77777777" w:rsidR="00AA71AE" w:rsidRPr="001075E9" w:rsidRDefault="00AA71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04C8C2" w14:textId="77777777" w:rsidR="00AA71AE" w:rsidRDefault="00AA71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A8A73A" w14:textId="77777777" w:rsidR="00F777B3" w:rsidRPr="00E137CB" w:rsidRDefault="00F777B3" w:rsidP="00F777B3">
      <w:pPr>
        <w:pStyle w:val="ad"/>
      </w:pPr>
      <w:r>
        <w:tab/>
      </w:r>
      <w:r w:rsidRPr="00F777B3">
        <w:rPr>
          <w:rStyle w:val="aa"/>
          <w:sz w:val="20"/>
          <w:vertAlign w:val="baseline"/>
        </w:rPr>
        <w:t>*</w:t>
      </w:r>
      <w:r w:rsidRPr="00AE5BD3">
        <w:rPr>
          <w:sz w:val="20"/>
        </w:rPr>
        <w:tab/>
      </w:r>
      <w:r w:rsidRPr="00584481">
        <w:rPr>
          <w:rFonts w:asciiTheme="majorBidi" w:hAnsiTheme="majorBidi" w:cstheme="majorBidi"/>
          <w:szCs w:val="18"/>
        </w:rPr>
        <w:t>В соответствии с программой работы Комитета по внутреннему транспорту на 202</w:t>
      </w:r>
      <w:r>
        <w:rPr>
          <w:rFonts w:asciiTheme="majorBidi" w:hAnsiTheme="majorBidi" w:cstheme="majorBidi"/>
          <w:szCs w:val="18"/>
        </w:rPr>
        <w:t>1</w:t>
      </w:r>
      <w:r w:rsidRPr="00584481">
        <w:rPr>
          <w:rFonts w:asciiTheme="majorBidi" w:hAnsiTheme="majorBidi" w:cstheme="majorBidi"/>
          <w:szCs w:val="18"/>
        </w:rPr>
        <w:t xml:space="preserve"> год, изложенной в предлагаемом бюджете по программам на 202</w:t>
      </w:r>
      <w:r>
        <w:rPr>
          <w:rFonts w:asciiTheme="majorBidi" w:hAnsiTheme="majorBidi" w:cstheme="majorBidi"/>
          <w:szCs w:val="18"/>
        </w:rPr>
        <w:t>1</w:t>
      </w:r>
      <w:r w:rsidRPr="00584481">
        <w:rPr>
          <w:rFonts w:asciiTheme="majorBidi" w:hAnsiTheme="majorBidi" w:cstheme="majorBidi"/>
          <w:szCs w:val="18"/>
        </w:rPr>
        <w:t xml:space="preserve"> год (A/7</w:t>
      </w:r>
      <w:r>
        <w:rPr>
          <w:rFonts w:asciiTheme="majorBidi" w:hAnsiTheme="majorBidi" w:cstheme="majorBidi"/>
          <w:szCs w:val="18"/>
        </w:rPr>
        <w:t>5</w:t>
      </w:r>
      <w:r w:rsidRPr="00584481">
        <w:rPr>
          <w:rFonts w:asciiTheme="majorBidi" w:hAnsiTheme="majorBidi" w:cstheme="majorBidi"/>
          <w:szCs w:val="18"/>
        </w:rPr>
        <w:t>/6 (разд. 20), п. 20.</w:t>
      </w:r>
      <w:r>
        <w:rPr>
          <w:rFonts w:asciiTheme="majorBidi" w:hAnsiTheme="majorBidi" w:cstheme="majorBidi"/>
          <w:szCs w:val="18"/>
        </w:rPr>
        <w:t>51</w:t>
      </w:r>
      <w:r w:rsidRPr="00584481">
        <w:rPr>
          <w:rFonts w:asciiTheme="majorBidi" w:hAnsiTheme="majorBidi" w:cstheme="majorBidi"/>
          <w:szCs w:val="18"/>
        </w:rPr>
        <w:t xml:space="preserve">), Всемирный форум будет разрабатывать, согласовывать и обновлять правила ООН в целях повышения эффективности транспортных средств. </w:t>
      </w:r>
      <w:r w:rsidRPr="00677834">
        <w:rPr>
          <w:rFonts w:asciiTheme="majorBidi" w:hAnsiTheme="majorBidi" w:cstheme="majorBidi"/>
          <w:szCs w:val="18"/>
        </w:rPr>
        <w:t>Настоящий документ представлен в</w:t>
      </w:r>
      <w:r w:rsidRPr="00584481">
        <w:rPr>
          <w:rFonts w:asciiTheme="majorBidi" w:hAnsiTheme="majorBidi" w:cstheme="majorBidi"/>
          <w:szCs w:val="18"/>
        </w:rPr>
        <w:t> </w:t>
      </w:r>
      <w:r w:rsidRPr="00677834">
        <w:rPr>
          <w:rFonts w:asciiTheme="majorBidi" w:hAnsiTheme="majorBidi" w:cstheme="majorBidi"/>
          <w:szCs w:val="18"/>
        </w:rPr>
        <w:t>соответствии с этим мандатом</w:t>
      </w:r>
      <w:r w:rsidRPr="00E137CB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79FF" w14:textId="6B5C3AAF" w:rsidR="00F777B3" w:rsidRPr="00F777B3" w:rsidRDefault="00A53E7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49EF5" w14:textId="7363BFBB" w:rsidR="00F777B3" w:rsidRPr="00F777B3" w:rsidRDefault="00A53E7B" w:rsidP="00F777B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869BF"/>
    <w:multiLevelType w:val="hybridMultilevel"/>
    <w:tmpl w:val="DF56666E"/>
    <w:lvl w:ilvl="0" w:tplc="49605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A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273C"/>
    <w:rsid w:val="00180183"/>
    <w:rsid w:val="0018024D"/>
    <w:rsid w:val="0018649F"/>
    <w:rsid w:val="00196389"/>
    <w:rsid w:val="001B2090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23DD"/>
    <w:rsid w:val="00792497"/>
    <w:rsid w:val="00806737"/>
    <w:rsid w:val="00825F8D"/>
    <w:rsid w:val="00834B71"/>
    <w:rsid w:val="0086445C"/>
    <w:rsid w:val="0087544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14DB"/>
    <w:rsid w:val="00A14DA8"/>
    <w:rsid w:val="00A312BC"/>
    <w:rsid w:val="00A53E7B"/>
    <w:rsid w:val="00A67D1D"/>
    <w:rsid w:val="00A84021"/>
    <w:rsid w:val="00A84D35"/>
    <w:rsid w:val="00A917B3"/>
    <w:rsid w:val="00AA71AE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77B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DB5AC"/>
  <w15:docId w15:val="{4E65E029-937A-4FF5-BA80-719B1F0F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777B3"/>
    <w:rPr>
      <w:lang w:val="ru-RU" w:eastAsia="en-US"/>
    </w:rPr>
  </w:style>
  <w:style w:type="character" w:customStyle="1" w:styleId="HChGChar">
    <w:name w:val="_ H _Ch_G Char"/>
    <w:link w:val="HChG"/>
    <w:rsid w:val="00F777B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78FA9-E25B-4BE4-A825-E831565B21FC}"/>
</file>

<file path=customXml/itemProps2.xml><?xml version="1.0" encoding="utf-8"?>
<ds:datastoreItem xmlns:ds="http://schemas.openxmlformats.org/officeDocument/2006/customXml" ds:itemID="{9B93B53B-3AEB-459F-A9EF-AC7279166999}"/>
</file>

<file path=customXml/itemProps3.xml><?xml version="1.0" encoding="utf-8"?>
<ds:datastoreItem xmlns:ds="http://schemas.openxmlformats.org/officeDocument/2006/customXml" ds:itemID="{B37F20E8-86E6-478C-9308-AB4D6BD5423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ECE/TRANS/WP.29/GRSP/2021/29</dc:title>
  <dc:subject/>
  <dc:creator>Svetlana PROKOUDINA</dc:creator>
  <cp:keywords/>
  <cp:lastModifiedBy>Svetlana Prokoudina</cp:lastModifiedBy>
  <cp:revision>3</cp:revision>
  <cp:lastPrinted>2021-10-14T11:13:00Z</cp:lastPrinted>
  <dcterms:created xsi:type="dcterms:W3CDTF">2021-10-14T11:13:00Z</dcterms:created>
  <dcterms:modified xsi:type="dcterms:W3CDTF">2021-10-14T11:15:00Z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