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09CF12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AC8BEA" w14:textId="77777777" w:rsidR="00F35BAF" w:rsidRPr="00DB58B5" w:rsidRDefault="00F35BAF" w:rsidP="00CD549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80556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58BED0" w14:textId="3649FD78" w:rsidR="00F35BAF" w:rsidRPr="00DB58B5" w:rsidRDefault="00CD5492" w:rsidP="00CD5492">
            <w:pPr>
              <w:jc w:val="right"/>
            </w:pPr>
            <w:r w:rsidRPr="00CD5492">
              <w:rPr>
                <w:sz w:val="40"/>
              </w:rPr>
              <w:t>ECE</w:t>
            </w:r>
            <w:r>
              <w:t>/TRANS/WP.29/GRSP/2021/29</w:t>
            </w:r>
          </w:p>
        </w:tc>
      </w:tr>
      <w:tr w:rsidR="00F35BAF" w:rsidRPr="00DB58B5" w14:paraId="789A9BC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DD2D5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20F13CB" wp14:editId="77772C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21C60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E577DB" w14:textId="77777777" w:rsidR="00F35BAF" w:rsidRDefault="00CD5492" w:rsidP="00C97039">
            <w:pPr>
              <w:spacing w:before="240"/>
            </w:pPr>
            <w:r>
              <w:t>Distr. générale</w:t>
            </w:r>
          </w:p>
          <w:p w14:paraId="6A52896A" w14:textId="77777777" w:rsidR="00CD5492" w:rsidRDefault="00CD5492" w:rsidP="00CD5492">
            <w:pPr>
              <w:spacing w:line="240" w:lineRule="exact"/>
            </w:pPr>
            <w:r>
              <w:t>21 septembre 2021</w:t>
            </w:r>
          </w:p>
          <w:p w14:paraId="133F968B" w14:textId="77777777" w:rsidR="00CD5492" w:rsidRDefault="00CD5492" w:rsidP="00CD5492">
            <w:pPr>
              <w:spacing w:line="240" w:lineRule="exact"/>
            </w:pPr>
            <w:r>
              <w:t>Français</w:t>
            </w:r>
          </w:p>
          <w:p w14:paraId="71B645A4" w14:textId="68E41553" w:rsidR="00CD5492" w:rsidRPr="00DB58B5" w:rsidRDefault="00CD5492" w:rsidP="00CD5492">
            <w:pPr>
              <w:spacing w:line="240" w:lineRule="exact"/>
            </w:pPr>
            <w:r>
              <w:t>Original : anglais</w:t>
            </w:r>
          </w:p>
        </w:tc>
      </w:tr>
    </w:tbl>
    <w:p w14:paraId="5E576DE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20D2F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7DDCDE" w14:textId="77777777" w:rsidR="00CD5492" w:rsidRDefault="00CD549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88F0A09" w14:textId="77777777" w:rsidR="00CD5492" w:rsidRDefault="00CD549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639264C4" w14:textId="77777777" w:rsidR="00CD5492" w:rsidRPr="00FB1723" w:rsidRDefault="00CD5492" w:rsidP="00CD5492">
      <w:pPr>
        <w:spacing w:before="120"/>
        <w:rPr>
          <w:b/>
          <w:lang w:val="fr-FR"/>
        </w:rPr>
      </w:pPr>
      <w:r w:rsidRPr="00FB1723">
        <w:rPr>
          <w:b/>
          <w:bCs/>
          <w:lang w:val="fr-FR"/>
        </w:rPr>
        <w:t>Soixante-dixième session</w:t>
      </w:r>
      <w:r w:rsidRPr="00FB1723">
        <w:rPr>
          <w:lang w:val="fr-FR"/>
        </w:rPr>
        <w:t xml:space="preserve"> </w:t>
      </w:r>
    </w:p>
    <w:p w14:paraId="023090DE" w14:textId="77777777" w:rsidR="00CD5492" w:rsidRPr="00FB1723" w:rsidRDefault="00CD5492" w:rsidP="00CD5492">
      <w:pPr>
        <w:rPr>
          <w:bCs/>
          <w:lang w:val="fr-FR"/>
        </w:rPr>
      </w:pPr>
      <w:r w:rsidRPr="00FB1723">
        <w:rPr>
          <w:lang w:val="fr-FR"/>
        </w:rPr>
        <w:t>Genève, 6-10 décembre 2021</w:t>
      </w:r>
    </w:p>
    <w:p w14:paraId="1C324A13" w14:textId="77777777" w:rsidR="00CD5492" w:rsidRPr="00FB1723" w:rsidRDefault="00CD5492" w:rsidP="00CD5492">
      <w:pPr>
        <w:rPr>
          <w:bCs/>
          <w:lang w:val="fr-FR"/>
        </w:rPr>
      </w:pPr>
      <w:r w:rsidRPr="00FB1723">
        <w:rPr>
          <w:lang w:val="fr-FR"/>
        </w:rPr>
        <w:t>Point 16 de l</w:t>
      </w:r>
      <w:r>
        <w:rPr>
          <w:lang w:val="fr-FR"/>
        </w:rPr>
        <w:t>’</w:t>
      </w:r>
      <w:r w:rsidRPr="00FB1723">
        <w:rPr>
          <w:lang w:val="fr-FR"/>
        </w:rPr>
        <w:t>ordre du jour provisoire</w:t>
      </w:r>
    </w:p>
    <w:p w14:paraId="505081F0" w14:textId="07AA0931" w:rsidR="00CD5492" w:rsidRPr="00FB1723" w:rsidRDefault="00CD5492" w:rsidP="00CD5492">
      <w:pPr>
        <w:rPr>
          <w:b/>
          <w:lang w:val="fr-FR"/>
        </w:rPr>
      </w:pPr>
      <w:r w:rsidRPr="00FB1723">
        <w:rPr>
          <w:b/>
          <w:bCs/>
          <w:lang w:val="fr-FR"/>
        </w:rPr>
        <w:t xml:space="preserve">Règlement ONU </w:t>
      </w:r>
      <w:r w:rsidRPr="00CD5492">
        <w:rPr>
          <w:rFonts w:eastAsia="MS Mincho"/>
          <w:b/>
          <w:bCs/>
          <w:lang w:val="fr-FR"/>
        </w:rPr>
        <w:t>n</w:t>
      </w:r>
      <w:r w:rsidRPr="00CD5492">
        <w:rPr>
          <w:rFonts w:eastAsia="MS Mincho"/>
          <w:b/>
          <w:bCs/>
          <w:vertAlign w:val="superscript"/>
          <w:lang w:val="fr-FR"/>
        </w:rPr>
        <w:t>o</w:t>
      </w:r>
      <w:r w:rsidRPr="00FB1723">
        <w:rPr>
          <w:b/>
          <w:bCs/>
          <w:lang w:val="fr-FR"/>
        </w:rPr>
        <w:t xml:space="preserve"> 153 (Intégrité du système d</w:t>
      </w:r>
      <w:r>
        <w:rPr>
          <w:b/>
          <w:bCs/>
          <w:lang w:val="fr-FR"/>
        </w:rPr>
        <w:t>’</w:t>
      </w:r>
      <w:r w:rsidRPr="00FB1723">
        <w:rPr>
          <w:b/>
          <w:bCs/>
          <w:lang w:val="fr-FR"/>
        </w:rPr>
        <w:t xml:space="preserve">alimentation en carburant </w:t>
      </w:r>
      <w:r>
        <w:rPr>
          <w:b/>
          <w:bCs/>
          <w:lang w:val="fr-FR"/>
        </w:rPr>
        <w:br/>
      </w:r>
      <w:r w:rsidRPr="00FB1723">
        <w:rPr>
          <w:b/>
          <w:bCs/>
          <w:lang w:val="fr-FR"/>
        </w:rPr>
        <w:t>et sûreté de la chaîne de traction électrique en cas de choc arrière)</w:t>
      </w:r>
    </w:p>
    <w:p w14:paraId="3B95A629" w14:textId="2D027E2B" w:rsidR="00CD5492" w:rsidRPr="00FB1723" w:rsidRDefault="00CD5492" w:rsidP="00CD5492">
      <w:pPr>
        <w:pStyle w:val="HChG"/>
        <w:rPr>
          <w:lang w:val="fr-FR"/>
        </w:rPr>
      </w:pPr>
      <w:r w:rsidRPr="00FB1723">
        <w:rPr>
          <w:lang w:val="fr-FR"/>
        </w:rPr>
        <w:tab/>
      </w:r>
      <w:r w:rsidRPr="00FB1723">
        <w:rPr>
          <w:lang w:val="fr-FR"/>
        </w:rPr>
        <w:tab/>
        <w:t xml:space="preserve">Proposition de complément 2 au Règlement ONU </w:t>
      </w:r>
      <w:r w:rsidRPr="00CD5492">
        <w:rPr>
          <w:rFonts w:eastAsia="MS Mincho"/>
          <w:lang w:val="fr-FR"/>
        </w:rPr>
        <w:t>n</w:t>
      </w:r>
      <w:r w:rsidRPr="00CD5492">
        <w:rPr>
          <w:rFonts w:eastAsia="MS Mincho"/>
          <w:vertAlign w:val="superscript"/>
          <w:lang w:val="fr-FR"/>
        </w:rPr>
        <w:t>o</w:t>
      </w:r>
      <w:r w:rsidRPr="00FB1723">
        <w:rPr>
          <w:lang w:val="fr-FR"/>
        </w:rPr>
        <w:t xml:space="preserve"> 153 (Intégrité du système d</w:t>
      </w:r>
      <w:r>
        <w:rPr>
          <w:lang w:val="fr-FR"/>
        </w:rPr>
        <w:t>’</w:t>
      </w:r>
      <w:r w:rsidRPr="00FB1723">
        <w:rPr>
          <w:lang w:val="fr-FR"/>
        </w:rPr>
        <w:t>alimentation en carburant et sûreté de la chaîne de traction électrique en cas de choc arrière)</w:t>
      </w:r>
    </w:p>
    <w:p w14:paraId="771441CA" w14:textId="54CCD0CA" w:rsidR="00CD5492" w:rsidRPr="00FB1723" w:rsidRDefault="00CD5492" w:rsidP="00CD549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B1723">
        <w:rPr>
          <w:lang w:val="fr-FR"/>
        </w:rPr>
        <w:t>Communication de l</w:t>
      </w:r>
      <w:r>
        <w:rPr>
          <w:lang w:val="fr-FR"/>
        </w:rPr>
        <w:t>’</w:t>
      </w:r>
      <w:r w:rsidRPr="00FB1723">
        <w:rPr>
          <w:lang w:val="fr-FR"/>
        </w:rPr>
        <w:t>expert de l</w:t>
      </w:r>
      <w:r>
        <w:rPr>
          <w:lang w:val="fr-FR"/>
        </w:rPr>
        <w:t>’</w:t>
      </w:r>
      <w:r w:rsidRPr="00FB1723">
        <w:rPr>
          <w:lang w:val="fr-FR"/>
        </w:rPr>
        <w:t>Allemagne</w:t>
      </w:r>
      <w:r w:rsidRPr="00CD5492">
        <w:rPr>
          <w:b w:val="0"/>
          <w:bCs/>
          <w:sz w:val="20"/>
          <w:lang w:val="fr-FR"/>
        </w:rPr>
        <w:footnoteReference w:customMarkFollows="1" w:id="2"/>
        <w:t>*</w:t>
      </w:r>
      <w:r w:rsidRPr="00FB1723">
        <w:rPr>
          <w:lang w:val="fr-FR"/>
        </w:rPr>
        <w:t xml:space="preserve"> </w:t>
      </w:r>
    </w:p>
    <w:p w14:paraId="5F2CECD9" w14:textId="4B50C23E" w:rsidR="00CD5492" w:rsidRDefault="00CD5492" w:rsidP="00CD5492">
      <w:pPr>
        <w:pStyle w:val="SingleTxtG"/>
        <w:ind w:firstLine="567"/>
        <w:rPr>
          <w:lang w:val="fr-FR"/>
        </w:rPr>
      </w:pPr>
      <w:r w:rsidRPr="00FB1723">
        <w:rPr>
          <w:lang w:val="fr-FR"/>
        </w:rPr>
        <w:t>Le texte ci-après, établi par l</w:t>
      </w:r>
      <w:r>
        <w:rPr>
          <w:lang w:val="fr-FR"/>
        </w:rPr>
        <w:t>’</w:t>
      </w:r>
      <w:r w:rsidRPr="00FB1723">
        <w:rPr>
          <w:lang w:val="fr-FR"/>
        </w:rPr>
        <w:t>expert de l</w:t>
      </w:r>
      <w:r>
        <w:rPr>
          <w:lang w:val="fr-FR"/>
        </w:rPr>
        <w:t>’</w:t>
      </w:r>
      <w:r w:rsidRPr="00FB1723">
        <w:rPr>
          <w:lang w:val="fr-FR"/>
        </w:rPr>
        <w:t xml:space="preserve">Allemagne, vise à préciser certaines dispositions du Règlement ONU </w:t>
      </w:r>
      <w:r w:rsidRPr="00CD5492">
        <w:rPr>
          <w:rFonts w:eastAsia="MS Mincho"/>
          <w:lang w:val="fr-FR"/>
        </w:rPr>
        <w:t>n</w:t>
      </w:r>
      <w:r w:rsidRPr="00CD5492">
        <w:rPr>
          <w:rFonts w:eastAsia="MS Mincho"/>
          <w:vertAlign w:val="superscript"/>
          <w:lang w:val="fr-FR"/>
        </w:rPr>
        <w:t>o</w:t>
      </w:r>
      <w:r w:rsidRPr="00FB1723">
        <w:rPr>
          <w:lang w:val="fr-FR"/>
        </w:rPr>
        <w:t xml:space="preserve"> 153. Il est fondé sur le document informel GRSP-69-07 distribué à la soixante-neuvième session du Groupe de travail de la sécurité passive (GRSP). Les modifications qu</w:t>
      </w:r>
      <w:r>
        <w:rPr>
          <w:lang w:val="fr-FR"/>
        </w:rPr>
        <w:t>’</w:t>
      </w:r>
      <w:r w:rsidRPr="00FB1723">
        <w:rPr>
          <w:lang w:val="fr-FR"/>
        </w:rPr>
        <w:t>il est proposé d</w:t>
      </w:r>
      <w:r>
        <w:rPr>
          <w:lang w:val="fr-FR"/>
        </w:rPr>
        <w:t>’</w:t>
      </w:r>
      <w:r w:rsidRPr="00FB1723">
        <w:rPr>
          <w:lang w:val="fr-FR"/>
        </w:rPr>
        <w:t>apporter au texte actuel du Règlement figurent en caractères gras pour les ajouts et biffés pour les suppressions.</w:t>
      </w:r>
    </w:p>
    <w:p w14:paraId="59873472" w14:textId="77777777" w:rsidR="00CD5492" w:rsidRPr="00FB1723" w:rsidRDefault="00CD5492" w:rsidP="00CD5492">
      <w:pPr>
        <w:suppressAutoHyphens w:val="0"/>
        <w:spacing w:line="240" w:lineRule="auto"/>
        <w:rPr>
          <w:lang w:val="fr-FR"/>
        </w:rPr>
      </w:pPr>
      <w:r w:rsidRPr="00FB1723">
        <w:rPr>
          <w:lang w:val="fr-FR"/>
        </w:rPr>
        <w:br w:type="page"/>
      </w:r>
    </w:p>
    <w:p w14:paraId="32F3DDAB" w14:textId="14DB6934" w:rsidR="00CD5492" w:rsidRPr="00FB1723" w:rsidRDefault="00CD5492" w:rsidP="00CD5492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FB1723">
        <w:rPr>
          <w:lang w:val="fr-FR"/>
        </w:rPr>
        <w:t>I.</w:t>
      </w:r>
      <w:r w:rsidRPr="00FB1723">
        <w:rPr>
          <w:lang w:val="fr-FR"/>
        </w:rPr>
        <w:tab/>
        <w:t>Proposition</w:t>
      </w:r>
    </w:p>
    <w:p w14:paraId="508BC44F" w14:textId="77777777" w:rsidR="00CD5492" w:rsidRPr="00FB1723" w:rsidRDefault="00CD5492" w:rsidP="00CD5492">
      <w:pPr>
        <w:pStyle w:val="SingleTxtG"/>
        <w:ind w:left="2268" w:hanging="1134"/>
        <w:rPr>
          <w:i/>
          <w:lang w:val="fr-FR"/>
        </w:rPr>
      </w:pPr>
      <w:r w:rsidRPr="00FB1723">
        <w:rPr>
          <w:i/>
          <w:iCs/>
          <w:lang w:val="fr-FR"/>
        </w:rPr>
        <w:t>Paragraphes 2 à 2.1.9</w:t>
      </w:r>
      <w:r w:rsidRPr="00FB1723">
        <w:rPr>
          <w:lang w:val="fr-FR"/>
        </w:rPr>
        <w:t>, lire :</w:t>
      </w:r>
    </w:p>
    <w:p w14:paraId="1CF6E6B7" w14:textId="422D79AC" w:rsidR="00CD5492" w:rsidRPr="00FB1723" w:rsidRDefault="00CD5492" w:rsidP="00CD5492">
      <w:pPr>
        <w:pStyle w:val="HChG"/>
        <w:ind w:left="2268"/>
        <w:outlineLvl w:val="0"/>
        <w:rPr>
          <w:lang w:val="fr-FR"/>
        </w:rPr>
      </w:pPr>
      <w:r w:rsidRPr="00CD5492">
        <w:rPr>
          <w:b w:val="0"/>
          <w:sz w:val="20"/>
          <w:lang w:val="fr-FR"/>
        </w:rPr>
        <w:t>« </w:t>
      </w:r>
      <w:r w:rsidRPr="00FB1723">
        <w:rPr>
          <w:bCs/>
          <w:lang w:val="fr-FR"/>
        </w:rPr>
        <w:t>2.</w:t>
      </w:r>
      <w:r w:rsidRPr="00FB1723">
        <w:rPr>
          <w:lang w:val="fr-FR"/>
        </w:rPr>
        <w:tab/>
      </w:r>
      <w:r w:rsidRPr="00FB1723">
        <w:rPr>
          <w:bCs/>
          <w:lang w:val="fr-FR"/>
        </w:rPr>
        <w:t>Définitions</w:t>
      </w:r>
      <w:bookmarkStart w:id="0" w:name="_Toc381109759"/>
      <w:bookmarkStart w:id="1" w:name="_Toc18935268"/>
      <w:bookmarkEnd w:id="0"/>
      <w:bookmarkEnd w:id="1"/>
    </w:p>
    <w:p w14:paraId="46FDB00E" w14:textId="7F092139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ab/>
        <w:t>Aux fins du présent Règlement, on entend par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0D57DE0F" w14:textId="3DEEF817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</w:t>
      </w:r>
      <w:r w:rsidRPr="00FB1723">
        <w:rPr>
          <w:lang w:val="fr-FR"/>
        </w:rPr>
        <w:tab/>
      </w:r>
      <w:r w:rsidRPr="00CD5492">
        <w:t>“</w:t>
      </w:r>
      <w:r w:rsidRPr="00FB1723">
        <w:rPr>
          <w:i/>
          <w:iCs/>
          <w:lang w:val="fr-FR"/>
        </w:rPr>
        <w:t>Type de véhicule</w:t>
      </w:r>
      <w:r w:rsidRPr="00CD5492">
        <w:t>”</w:t>
      </w:r>
      <w:r w:rsidRPr="00FB1723">
        <w:rPr>
          <w:lang w:val="fr-FR"/>
        </w:rPr>
        <w:t>, une catégorie de véhicules à moteur qui ne diffèrent pas entre eux sur des aspects essentiels tels que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7EEE982C" w14:textId="13B0676B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2.1.1</w:t>
      </w:r>
      <w:r w:rsidRPr="00FB1723">
        <w:rPr>
          <w:lang w:val="fr-FR"/>
        </w:rPr>
        <w:tab/>
        <w:t>La longueur et la largeur du véhicule, dans la mesure où elles influent sur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2250CF11" w14:textId="725C29E6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2.1.2</w:t>
      </w:r>
      <w:r w:rsidRPr="00FB1723">
        <w:rPr>
          <w:lang w:val="fr-FR"/>
        </w:rPr>
        <w:tab/>
        <w:t>La structure, les dimensions, la forme et les matériaux de la partie du véhicule située à l</w:t>
      </w:r>
      <w:r>
        <w:rPr>
          <w:lang w:val="fr-FR"/>
        </w:rPr>
        <w:t>’</w:t>
      </w:r>
      <w:r w:rsidRPr="00FB1723">
        <w:rPr>
          <w:lang w:val="fr-FR"/>
        </w:rPr>
        <w:t xml:space="preserve">arrière du plan transversal passant par le point </w:t>
      </w:r>
      <w:r w:rsidRPr="00CD5492">
        <w:t>“</w:t>
      </w:r>
      <w:r w:rsidRPr="00FB1723">
        <w:rPr>
          <w:lang w:val="fr-FR"/>
        </w:rPr>
        <w:t>R</w:t>
      </w:r>
      <w:r w:rsidRPr="00CD5492">
        <w:t>”</w:t>
      </w:r>
      <w:r w:rsidRPr="00FB1723">
        <w:rPr>
          <w:lang w:val="fr-FR"/>
        </w:rPr>
        <w:t xml:space="preserve"> du siège situé le plus en arrière</w:t>
      </w:r>
      <w:r w:rsidRPr="00FB1723">
        <w:rPr>
          <w:b/>
          <w:bCs/>
          <w:lang w:val="fr-FR"/>
        </w:rPr>
        <w:t>, dans la mesure où ils influent sur les résultats de l</w:t>
      </w:r>
      <w:r>
        <w:rPr>
          <w:b/>
          <w:bCs/>
          <w:lang w:val="fr-FR"/>
        </w:rPr>
        <w:t>’</w:t>
      </w:r>
      <w:r w:rsidRPr="00FB1723">
        <w:rPr>
          <w:b/>
          <w:bCs/>
          <w:lang w:val="fr-FR"/>
        </w:rPr>
        <w:t>essai de choc prescrit dans le présent Règlement</w:t>
      </w:r>
      <w:r>
        <w:rPr>
          <w:lang w:val="fr-FR"/>
        </w:rPr>
        <w:t> </w:t>
      </w:r>
      <w:r w:rsidRPr="00FB1723">
        <w:rPr>
          <w:lang w:val="fr-FR"/>
        </w:rPr>
        <w:t>;</w:t>
      </w:r>
    </w:p>
    <w:p w14:paraId="1124750D" w14:textId="54C05F74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2.1.3</w:t>
      </w:r>
      <w:r w:rsidRPr="00FB1723">
        <w:rPr>
          <w:lang w:val="fr-FR"/>
        </w:rPr>
        <w:tab/>
        <w:t>La forme et les dimensions intérieures de l</w:t>
      </w:r>
      <w:r>
        <w:rPr>
          <w:lang w:val="fr-FR"/>
        </w:rPr>
        <w:t>’</w:t>
      </w:r>
      <w:r w:rsidRPr="00FB1723">
        <w:rPr>
          <w:lang w:val="fr-FR"/>
        </w:rPr>
        <w:t>habitacle, dans la mesure où elles influent sur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3EAB3E34" w14:textId="731ACB91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2.1.4</w:t>
      </w:r>
      <w:r w:rsidRPr="00FB1723">
        <w:rPr>
          <w:lang w:val="fr-FR"/>
        </w:rPr>
        <w:tab/>
        <w:t>L</w:t>
      </w:r>
      <w:r>
        <w:rPr>
          <w:lang w:val="fr-FR"/>
        </w:rPr>
        <w:t>’</w:t>
      </w:r>
      <w:r w:rsidRPr="00FB1723">
        <w:rPr>
          <w:lang w:val="fr-FR"/>
        </w:rPr>
        <w:t>emplacement (avant, arrière ou central) et l</w:t>
      </w:r>
      <w:r>
        <w:rPr>
          <w:lang w:val="fr-FR"/>
        </w:rPr>
        <w:t>’</w:t>
      </w:r>
      <w:r w:rsidRPr="00FB1723">
        <w:rPr>
          <w:lang w:val="fr-FR"/>
        </w:rPr>
        <w:t xml:space="preserve">orientation (transversale ou longitudinale) du moteur, dans la mesure où ils </w:t>
      </w:r>
      <w:r w:rsidRPr="00FB1723">
        <w:rPr>
          <w:strike/>
          <w:lang w:val="fr-FR"/>
        </w:rPr>
        <w:t xml:space="preserve">faussent </w:t>
      </w:r>
      <w:r w:rsidRPr="00FB1723">
        <w:rPr>
          <w:b/>
          <w:bCs/>
          <w:lang w:val="fr-FR"/>
        </w:rPr>
        <w:t xml:space="preserve">influent sur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4A7E197F" w14:textId="66005F20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2.1.5</w:t>
      </w:r>
      <w:r w:rsidRPr="00FB1723">
        <w:rPr>
          <w:lang w:val="fr-FR"/>
        </w:rPr>
        <w:tab/>
        <w:t xml:space="preserve">La masse à vide, dans la mesure où elle </w:t>
      </w:r>
      <w:r w:rsidRPr="00FB1723">
        <w:rPr>
          <w:strike/>
          <w:lang w:val="fr-FR"/>
        </w:rPr>
        <w:t xml:space="preserve">fausse </w:t>
      </w:r>
      <w:r w:rsidRPr="00FB1723">
        <w:rPr>
          <w:b/>
          <w:bCs/>
          <w:lang w:val="fr-FR"/>
        </w:rPr>
        <w:t>influe sur</w:t>
      </w:r>
      <w:r w:rsidRPr="00FB1723">
        <w:rPr>
          <w:lang w:val="fr-FR"/>
        </w:rPr>
        <w:t xml:space="preserve">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62A4F759" w14:textId="374E4CBB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2.1.6</w:t>
      </w:r>
      <w:r w:rsidRPr="00FB1723">
        <w:rPr>
          <w:lang w:val="fr-FR"/>
        </w:rPr>
        <w:tab/>
        <w:t>Les emplacements des éléments du système rechargeable de stockage de l</w:t>
      </w:r>
      <w:r>
        <w:rPr>
          <w:lang w:val="fr-FR"/>
        </w:rPr>
        <w:t>’</w:t>
      </w:r>
      <w:r w:rsidRPr="00FB1723">
        <w:rPr>
          <w:lang w:val="fr-FR"/>
        </w:rPr>
        <w:t xml:space="preserve">énergie électrique, dans la mesure où ils </w:t>
      </w:r>
      <w:r w:rsidRPr="00FB1723">
        <w:rPr>
          <w:strike/>
          <w:lang w:val="fr-FR"/>
        </w:rPr>
        <w:t xml:space="preserve">faussent </w:t>
      </w:r>
      <w:r w:rsidRPr="00FB1723">
        <w:rPr>
          <w:b/>
          <w:bCs/>
          <w:lang w:val="fr-FR"/>
        </w:rPr>
        <w:t xml:space="preserve">influent sur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6DB205D8" w14:textId="24ADA011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2.1.7</w:t>
      </w:r>
      <w:r w:rsidRPr="00FB1723">
        <w:rPr>
          <w:lang w:val="fr-FR"/>
        </w:rPr>
        <w:tab/>
        <w:t>La structure, la forme, les dimensions et les matériaux (métal ou plastique) du ou des réservoirs</w:t>
      </w:r>
      <w:r w:rsidRPr="00FB1723">
        <w:rPr>
          <w:b/>
          <w:bCs/>
          <w:lang w:val="fr-FR"/>
        </w:rPr>
        <w:t xml:space="preserve">, dans la mesure où </w:t>
      </w:r>
      <w:r>
        <w:rPr>
          <w:b/>
          <w:bCs/>
          <w:lang w:val="fr-FR"/>
        </w:rPr>
        <w:t>ils</w:t>
      </w:r>
      <w:r w:rsidRPr="00FB1723">
        <w:rPr>
          <w:b/>
          <w:bCs/>
          <w:lang w:val="fr-FR"/>
        </w:rPr>
        <w:t xml:space="preserve"> influent sur les résultats de l</w:t>
      </w:r>
      <w:r>
        <w:rPr>
          <w:b/>
          <w:bCs/>
          <w:lang w:val="fr-FR"/>
        </w:rPr>
        <w:t>’</w:t>
      </w:r>
      <w:r w:rsidRPr="00FB1723">
        <w:rPr>
          <w:b/>
          <w:bCs/>
          <w:lang w:val="fr-FR"/>
        </w:rPr>
        <w:t>essai de choc prescrit dans le présent Règlement</w:t>
      </w:r>
      <w:r>
        <w:rPr>
          <w:lang w:val="fr-FR"/>
        </w:rPr>
        <w:t> </w:t>
      </w:r>
      <w:r w:rsidRPr="00FB1723">
        <w:rPr>
          <w:lang w:val="fr-FR"/>
        </w:rPr>
        <w:t>;</w:t>
      </w:r>
    </w:p>
    <w:p w14:paraId="61971A9D" w14:textId="33E26772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2.1.8</w:t>
      </w:r>
      <w:r w:rsidRPr="00FB1723">
        <w:rPr>
          <w:lang w:val="fr-FR"/>
        </w:rPr>
        <w:tab/>
        <w:t>La position du ou des réservoirs dans le véhicule, dans la mesure où elle</w:t>
      </w:r>
      <w:r w:rsidRPr="00FB1723">
        <w:rPr>
          <w:strike/>
          <w:lang w:val="fr-FR"/>
        </w:rPr>
        <w:t xml:space="preserve"> a un effet négatif </w:t>
      </w:r>
      <w:r w:rsidRPr="00FB1723">
        <w:rPr>
          <w:b/>
          <w:bCs/>
          <w:lang w:val="fr-FR"/>
        </w:rPr>
        <w:t xml:space="preserve">influe </w:t>
      </w:r>
      <w:r w:rsidRPr="00FB1723">
        <w:rPr>
          <w:lang w:val="fr-FR"/>
        </w:rPr>
        <w:t xml:space="preserve">sur </w:t>
      </w:r>
      <w:r w:rsidRPr="00FB1723">
        <w:rPr>
          <w:strike/>
          <w:lang w:val="fr-FR"/>
        </w:rPr>
        <w:t xml:space="preserve">les </w:t>
      </w:r>
      <w:r w:rsidRPr="00FB1723">
        <w:rPr>
          <w:b/>
          <w:bCs/>
          <w:lang w:val="fr-FR"/>
        </w:rPr>
        <w:t xml:space="preserve">le respect des </w:t>
      </w:r>
      <w:r w:rsidRPr="00FB1723">
        <w:rPr>
          <w:lang w:val="fr-FR"/>
        </w:rPr>
        <w:t>prescriptions du paragraphe 5.2.1 ;</w:t>
      </w:r>
    </w:p>
    <w:p w14:paraId="7CE4EFA5" w14:textId="75338F57" w:rsidR="00CD5492" w:rsidRPr="00FB1723" w:rsidRDefault="00CD5492" w:rsidP="00CD5492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2.1.9</w:t>
      </w:r>
      <w:r w:rsidRPr="00FB1723">
        <w:rPr>
          <w:lang w:val="fr-FR"/>
        </w:rPr>
        <w:tab/>
        <w:t>Les caractéristiques et l</w:t>
      </w:r>
      <w:r>
        <w:rPr>
          <w:lang w:val="fr-FR"/>
        </w:rPr>
        <w:t>’</w:t>
      </w:r>
      <w:r w:rsidRPr="00FB1723">
        <w:rPr>
          <w:lang w:val="fr-FR"/>
        </w:rPr>
        <w:t>emplacement du système d</w:t>
      </w:r>
      <w:r>
        <w:rPr>
          <w:lang w:val="fr-FR"/>
        </w:rPr>
        <w:t>’</w:t>
      </w:r>
      <w:r w:rsidRPr="00FB1723">
        <w:rPr>
          <w:lang w:val="fr-FR"/>
        </w:rPr>
        <w:t>alimentation en carburant (pompe, filtres, etc.)</w:t>
      </w:r>
      <w:r w:rsidRPr="00FB1723">
        <w:rPr>
          <w:b/>
          <w:bCs/>
          <w:lang w:val="fr-FR"/>
        </w:rPr>
        <w:t>, dans la mesure où ils influent sur les résultats de l</w:t>
      </w:r>
      <w:r>
        <w:rPr>
          <w:b/>
          <w:bCs/>
          <w:lang w:val="fr-FR"/>
        </w:rPr>
        <w:t>’</w:t>
      </w:r>
      <w:r w:rsidRPr="00FB1723">
        <w:rPr>
          <w:b/>
          <w:bCs/>
          <w:lang w:val="fr-FR"/>
        </w:rPr>
        <w:t>essai de choc prescrit dans le présent Règlement</w:t>
      </w:r>
      <w:r>
        <w:rPr>
          <w:b/>
          <w:bCs/>
          <w:lang w:val="fr-FR"/>
        </w:rPr>
        <w:t> </w:t>
      </w:r>
      <w:r w:rsidRPr="00FB1723">
        <w:rPr>
          <w:lang w:val="fr-FR"/>
        </w:rPr>
        <w:t>;</w:t>
      </w:r>
      <w:r>
        <w:rPr>
          <w:lang w:val="fr-FR"/>
        </w:rPr>
        <w:t> ».</w:t>
      </w:r>
    </w:p>
    <w:p w14:paraId="75CA7B62" w14:textId="27A7F8AC" w:rsidR="00CD5492" w:rsidRPr="00FB1723" w:rsidRDefault="00CD5492" w:rsidP="00CD5492">
      <w:pPr>
        <w:pStyle w:val="HChG"/>
        <w:rPr>
          <w:lang w:val="fr-FR"/>
        </w:rPr>
      </w:pPr>
      <w:r>
        <w:rPr>
          <w:lang w:val="fr-FR"/>
        </w:rPr>
        <w:tab/>
      </w:r>
      <w:r w:rsidRPr="00FB1723">
        <w:rPr>
          <w:lang w:val="fr-FR"/>
        </w:rPr>
        <w:t>II.</w:t>
      </w:r>
      <w:r w:rsidRPr="00FB1723">
        <w:rPr>
          <w:lang w:val="fr-FR"/>
        </w:rPr>
        <w:tab/>
        <w:t>Justification</w:t>
      </w:r>
    </w:p>
    <w:p w14:paraId="73EC54E9" w14:textId="74738C6C" w:rsidR="00CD5492" w:rsidRPr="00FB1723" w:rsidRDefault="00CD5492" w:rsidP="00CD5492">
      <w:pPr>
        <w:pStyle w:val="SingleTxtG"/>
        <w:rPr>
          <w:lang w:val="fr-FR"/>
        </w:rPr>
      </w:pPr>
      <w:bookmarkStart w:id="2" w:name="_Hlk55299342"/>
      <w:r w:rsidRPr="00FB1723">
        <w:rPr>
          <w:lang w:val="fr-FR"/>
        </w:rPr>
        <w:tab/>
      </w:r>
      <w:r w:rsidRPr="00FB1723">
        <w:rPr>
          <w:lang w:val="fr-FR"/>
        </w:rPr>
        <w:tab/>
        <w:t>Les paragraphes 2.1.1 à 2.1.9 définissent les critères en fonction desquels les variantes d</w:t>
      </w:r>
      <w:r>
        <w:rPr>
          <w:lang w:val="fr-FR"/>
        </w:rPr>
        <w:t>’</w:t>
      </w:r>
      <w:r w:rsidRPr="00FB1723">
        <w:rPr>
          <w:lang w:val="fr-FR"/>
        </w:rPr>
        <w:t>un véhicule peuvent être couvertes par un seul type de véhicule sans qu</w:t>
      </w:r>
      <w:r>
        <w:rPr>
          <w:lang w:val="fr-FR"/>
        </w:rPr>
        <w:t>’</w:t>
      </w:r>
      <w:r w:rsidRPr="00FB1723">
        <w:rPr>
          <w:lang w:val="fr-FR"/>
        </w:rPr>
        <w:t>on ait à demander l</w:t>
      </w:r>
      <w:r>
        <w:rPr>
          <w:lang w:val="fr-FR"/>
        </w:rPr>
        <w:t>’</w:t>
      </w:r>
      <w:r w:rsidRPr="00FB1723">
        <w:rPr>
          <w:lang w:val="fr-FR"/>
        </w:rPr>
        <w:t>homologation d</w:t>
      </w:r>
      <w:r>
        <w:rPr>
          <w:lang w:val="fr-FR"/>
        </w:rPr>
        <w:t>’</w:t>
      </w:r>
      <w:r w:rsidRPr="00FB1723">
        <w:rPr>
          <w:lang w:val="fr-FR"/>
        </w:rPr>
        <w:t xml:space="preserve">un type distinct. </w:t>
      </w:r>
      <w:r>
        <w:rPr>
          <w:lang w:val="fr-FR"/>
        </w:rPr>
        <w:t>Dans l</w:t>
      </w:r>
      <w:r w:rsidRPr="00FB1723">
        <w:rPr>
          <w:lang w:val="fr-FR"/>
        </w:rPr>
        <w:t>e texte actuel</w:t>
      </w:r>
      <w:r>
        <w:rPr>
          <w:lang w:val="fr-FR"/>
        </w:rPr>
        <w:t>,</w:t>
      </w:r>
      <w:r w:rsidRPr="00FB1723">
        <w:rPr>
          <w:lang w:val="fr-FR"/>
        </w:rPr>
        <w:t xml:space="preserve"> plusieurs sous-paragraphes disposent expressément que la création d</w:t>
      </w:r>
      <w:r>
        <w:rPr>
          <w:lang w:val="fr-FR"/>
        </w:rPr>
        <w:t>’</w:t>
      </w:r>
      <w:r w:rsidRPr="00FB1723">
        <w:rPr>
          <w:lang w:val="fr-FR"/>
        </w:rPr>
        <w:t>un nouveau type de véhicule n</w:t>
      </w:r>
      <w:r>
        <w:rPr>
          <w:lang w:val="fr-FR"/>
        </w:rPr>
        <w:t>’</w:t>
      </w:r>
      <w:r w:rsidRPr="00FB1723">
        <w:rPr>
          <w:lang w:val="fr-FR"/>
        </w:rPr>
        <w:t>est nécessaire que si les différences constatées influent sur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décrit dans le règlement ou faussent ces résultats, alors que cela n</w:t>
      </w:r>
      <w:r>
        <w:rPr>
          <w:lang w:val="fr-FR"/>
        </w:rPr>
        <w:t>’</w:t>
      </w:r>
      <w:r w:rsidRPr="00FB1723">
        <w:rPr>
          <w:lang w:val="fr-FR"/>
        </w:rPr>
        <w:t xml:space="preserve">est pas précisé dans </w:t>
      </w:r>
      <w:r>
        <w:rPr>
          <w:lang w:val="fr-FR"/>
        </w:rPr>
        <w:t>d’</w:t>
      </w:r>
      <w:r w:rsidRPr="00FB1723">
        <w:rPr>
          <w:lang w:val="fr-FR"/>
        </w:rPr>
        <w:t>autres sous-paragraphes. La présente proposition étend la nécessité d</w:t>
      </w:r>
      <w:r>
        <w:rPr>
          <w:lang w:val="fr-FR"/>
        </w:rPr>
        <w:t>’</w:t>
      </w:r>
      <w:r w:rsidRPr="00FB1723">
        <w:rPr>
          <w:lang w:val="fr-FR"/>
        </w:rPr>
        <w:t>une influence sur les résultats de l</w:t>
      </w:r>
      <w:r>
        <w:rPr>
          <w:lang w:val="fr-FR"/>
        </w:rPr>
        <w:t>’</w:t>
      </w:r>
      <w:r w:rsidRPr="00FB1723">
        <w:rPr>
          <w:lang w:val="fr-FR"/>
        </w:rPr>
        <w:t xml:space="preserve">essai de choc à tous les critères décrits au paragraphe 2.1, et clarifie le texte en </w:t>
      </w:r>
      <w:r>
        <w:rPr>
          <w:lang w:val="fr-FR"/>
        </w:rPr>
        <w:t xml:space="preserve">remplaçant le </w:t>
      </w:r>
      <w:r w:rsidRPr="00FB1723">
        <w:rPr>
          <w:lang w:val="fr-FR"/>
        </w:rPr>
        <w:t xml:space="preserve">verbe </w:t>
      </w:r>
      <w:r>
        <w:rPr>
          <w:lang w:val="fr-FR"/>
        </w:rPr>
        <w:t>« </w:t>
      </w:r>
      <w:r w:rsidRPr="00FB1723">
        <w:rPr>
          <w:lang w:val="fr-FR"/>
        </w:rPr>
        <w:t>fausser</w:t>
      </w:r>
      <w:r>
        <w:rPr>
          <w:lang w:val="fr-FR"/>
        </w:rPr>
        <w:t> »</w:t>
      </w:r>
      <w:r w:rsidRPr="00FB1723">
        <w:rPr>
          <w:lang w:val="fr-FR"/>
        </w:rPr>
        <w:t xml:space="preserve"> </w:t>
      </w:r>
      <w:r>
        <w:rPr>
          <w:lang w:val="fr-FR"/>
        </w:rPr>
        <w:t xml:space="preserve">par « influer sur » </w:t>
      </w:r>
      <w:r w:rsidRPr="00FB1723">
        <w:rPr>
          <w:lang w:val="fr-FR"/>
        </w:rPr>
        <w:t xml:space="preserve">dans plusieurs paragraphes. </w:t>
      </w:r>
    </w:p>
    <w:bookmarkEnd w:id="2"/>
    <w:p w14:paraId="4C8267A7" w14:textId="77777777" w:rsidR="00CD5492" w:rsidRDefault="00CD5492" w:rsidP="00CD5492">
      <w:pPr>
        <w:spacing w:before="240"/>
        <w:jc w:val="center"/>
        <w:rPr>
          <w:u w:val="single"/>
          <w:lang w:val="fr-FR"/>
        </w:rPr>
      </w:pPr>
      <w:r w:rsidRPr="00FB1723">
        <w:rPr>
          <w:u w:val="single"/>
          <w:lang w:val="fr-FR"/>
        </w:rPr>
        <w:tab/>
      </w:r>
      <w:r w:rsidRPr="00FB1723">
        <w:rPr>
          <w:u w:val="single"/>
          <w:lang w:val="fr-FR"/>
        </w:rPr>
        <w:tab/>
      </w:r>
      <w:r w:rsidRPr="00FB1723">
        <w:rPr>
          <w:u w:val="single"/>
          <w:lang w:val="fr-FR"/>
        </w:rPr>
        <w:tab/>
      </w:r>
    </w:p>
    <w:p w14:paraId="6FFAA6F6" w14:textId="77777777" w:rsidR="00F9573C" w:rsidRPr="00CD5492" w:rsidRDefault="00F9573C" w:rsidP="00CD5492">
      <w:pPr>
        <w:spacing w:before="120" w:line="240" w:lineRule="exact"/>
        <w:rPr>
          <w:lang w:val="fr-FR"/>
        </w:rPr>
      </w:pPr>
    </w:p>
    <w:sectPr w:rsidR="00F9573C" w:rsidRPr="00CD5492" w:rsidSect="00CD54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63A4" w14:textId="77777777" w:rsidR="00C55DFB" w:rsidRDefault="00C55DFB" w:rsidP="00F95C08">
      <w:pPr>
        <w:spacing w:line="240" w:lineRule="auto"/>
      </w:pPr>
    </w:p>
  </w:endnote>
  <w:endnote w:type="continuationSeparator" w:id="0">
    <w:p w14:paraId="15E15B09" w14:textId="77777777" w:rsidR="00C55DFB" w:rsidRPr="00AC3823" w:rsidRDefault="00C55DFB" w:rsidP="00AC3823">
      <w:pPr>
        <w:pStyle w:val="Pieddepage"/>
      </w:pPr>
    </w:p>
  </w:endnote>
  <w:endnote w:type="continuationNotice" w:id="1">
    <w:p w14:paraId="77D503EF" w14:textId="77777777" w:rsidR="00C55DFB" w:rsidRDefault="00C55D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DAFC" w14:textId="32D7CE34" w:rsidR="00CD5492" w:rsidRPr="00CD5492" w:rsidRDefault="00CD5492" w:rsidP="00CD5492">
    <w:pPr>
      <w:pStyle w:val="Pieddepage"/>
      <w:tabs>
        <w:tab w:val="right" w:pos="9638"/>
      </w:tabs>
    </w:pPr>
    <w:r w:rsidRPr="00CD5492">
      <w:rPr>
        <w:b/>
        <w:sz w:val="18"/>
      </w:rPr>
      <w:fldChar w:fldCharType="begin"/>
    </w:r>
    <w:r w:rsidRPr="00CD5492">
      <w:rPr>
        <w:b/>
        <w:sz w:val="18"/>
      </w:rPr>
      <w:instrText xml:space="preserve"> PAGE  \* MERGEFORMAT </w:instrText>
    </w:r>
    <w:r w:rsidRPr="00CD5492">
      <w:rPr>
        <w:b/>
        <w:sz w:val="18"/>
      </w:rPr>
      <w:fldChar w:fldCharType="separate"/>
    </w:r>
    <w:r w:rsidRPr="00CD5492">
      <w:rPr>
        <w:b/>
        <w:noProof/>
        <w:sz w:val="18"/>
      </w:rPr>
      <w:t>2</w:t>
    </w:r>
    <w:r w:rsidRPr="00CD5492">
      <w:rPr>
        <w:b/>
        <w:sz w:val="18"/>
      </w:rPr>
      <w:fldChar w:fldCharType="end"/>
    </w:r>
    <w:r>
      <w:rPr>
        <w:b/>
        <w:sz w:val="18"/>
      </w:rPr>
      <w:tab/>
    </w:r>
    <w:r>
      <w:t>GE.21-13285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C815" w14:textId="19ABD82D" w:rsidR="00CD5492" w:rsidRPr="00CD5492" w:rsidRDefault="00CD5492" w:rsidP="00CD5492">
    <w:pPr>
      <w:pStyle w:val="Pieddepage"/>
      <w:tabs>
        <w:tab w:val="right" w:pos="9638"/>
      </w:tabs>
      <w:rPr>
        <w:b/>
        <w:sz w:val="18"/>
      </w:rPr>
    </w:pPr>
    <w:r>
      <w:t>GE.21-13285</w:t>
    </w:r>
    <w:r>
      <w:tab/>
    </w:r>
    <w:r w:rsidRPr="00CD5492">
      <w:rPr>
        <w:b/>
        <w:sz w:val="18"/>
      </w:rPr>
      <w:fldChar w:fldCharType="begin"/>
    </w:r>
    <w:r w:rsidRPr="00CD5492">
      <w:rPr>
        <w:b/>
        <w:sz w:val="18"/>
      </w:rPr>
      <w:instrText xml:space="preserve"> PAGE  \* MERGEFORMAT </w:instrText>
    </w:r>
    <w:r w:rsidRPr="00CD5492">
      <w:rPr>
        <w:b/>
        <w:sz w:val="18"/>
      </w:rPr>
      <w:fldChar w:fldCharType="separate"/>
    </w:r>
    <w:r w:rsidRPr="00CD5492">
      <w:rPr>
        <w:b/>
        <w:noProof/>
        <w:sz w:val="18"/>
      </w:rPr>
      <w:t>3</w:t>
    </w:r>
    <w:r w:rsidRPr="00CD54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A3DC" w14:textId="1E03F082" w:rsidR="007F20FA" w:rsidRPr="00CD5492" w:rsidRDefault="00CD5492" w:rsidP="00CD549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1FF8B1" wp14:editId="2E27BA9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21-13285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3FEE0D" wp14:editId="3B325A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191021    191021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A785" w14:textId="77777777" w:rsidR="00C55DFB" w:rsidRPr="00AC3823" w:rsidRDefault="00C55DF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78BB6B" w14:textId="77777777" w:rsidR="00C55DFB" w:rsidRPr="00AC3823" w:rsidRDefault="00C55DF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B3C259" w14:textId="77777777" w:rsidR="00C55DFB" w:rsidRPr="00AC3823" w:rsidRDefault="00C55DFB">
      <w:pPr>
        <w:spacing w:line="240" w:lineRule="auto"/>
        <w:rPr>
          <w:sz w:val="2"/>
          <w:szCs w:val="2"/>
        </w:rPr>
      </w:pPr>
    </w:p>
  </w:footnote>
  <w:footnote w:id="2">
    <w:p w14:paraId="41CF58FF" w14:textId="77777777" w:rsidR="00CD5492" w:rsidRPr="00FB1723" w:rsidRDefault="00CD5492" w:rsidP="00CD5492">
      <w:pPr>
        <w:pStyle w:val="Notedebasdepage"/>
        <w:rPr>
          <w:lang w:val="fr-FR"/>
        </w:rPr>
      </w:pPr>
      <w:r>
        <w:rPr>
          <w:lang w:val="fr-FR"/>
        </w:rPr>
        <w:tab/>
      </w:r>
      <w:r w:rsidRPr="00CD5492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96FF" w14:textId="76FE7BD4" w:rsidR="00CD5492" w:rsidRPr="00CD5492" w:rsidRDefault="00CD5492">
    <w:pPr>
      <w:pStyle w:val="En-tte"/>
    </w:pPr>
    <w:fldSimple w:instr=" TITLE  \* MERGEFORMAT ">
      <w:r>
        <w:t>ECE/TRANS/WP.29/GRSP/2021/29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9B60" w14:textId="6E74C62C" w:rsidR="00CD5492" w:rsidRPr="00CD5492" w:rsidRDefault="00CD5492" w:rsidP="00CD5492">
    <w:pPr>
      <w:pStyle w:val="En-tte"/>
      <w:jc w:val="right"/>
    </w:pPr>
    <w:fldSimple w:instr=" TITLE  \* MERGEFORMAT ">
      <w:r>
        <w:t>ECE/TRANS/WP.29/GRSP/2021/29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F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11D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5DFB"/>
    <w:rsid w:val="00C97039"/>
    <w:rsid w:val="00CD5492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A18A7D"/>
  <w15:docId w15:val="{A7CC64F9-05AD-44C7-A32A-FC7F469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D549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D549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0F260-3B84-4709-A3EF-5DB39140AA6A}"/>
</file>

<file path=customXml/itemProps2.xml><?xml version="1.0" encoding="utf-8"?>
<ds:datastoreItem xmlns:ds="http://schemas.openxmlformats.org/officeDocument/2006/customXml" ds:itemID="{3ACCFCE0-CC03-4AFE-9ED8-9EF0D0E1C762}"/>
</file>

<file path=customXml/itemProps3.xml><?xml version="1.0" encoding="utf-8"?>
<ds:datastoreItem xmlns:ds="http://schemas.openxmlformats.org/officeDocument/2006/customXml" ds:itemID="{CBDE0FE6-D17B-4F4B-AECB-510F447D173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502</Words>
  <Characters>3520</Characters>
  <Application>Microsoft Office Word</Application>
  <DocSecurity>0</DocSecurity>
  <Lines>293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ECE/TRANS/WP.29/GRSP/2021/29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2021-10-19T07:10:00Z</dcterms:created>
  <dcterms:modified xsi:type="dcterms:W3CDTF">2021-10-19T07:10:00Z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