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4500D4" w14:paraId="099EED33" w14:textId="77777777" w:rsidTr="00B20551">
        <w:trPr>
          <w:cantSplit/>
          <w:trHeight w:hRule="exact" w:val="851"/>
        </w:trPr>
        <w:tc>
          <w:tcPr>
            <w:tcW w:w="1276" w:type="dxa"/>
            <w:tcBorders>
              <w:bottom w:val="single" w:sz="4" w:space="0" w:color="auto"/>
            </w:tcBorders>
            <w:vAlign w:val="bottom"/>
          </w:tcPr>
          <w:p w14:paraId="3749102F" w14:textId="77777777" w:rsidR="009E6CB7" w:rsidRPr="004500D4" w:rsidRDefault="009E6CB7" w:rsidP="00B20551">
            <w:pPr>
              <w:spacing w:after="80"/>
            </w:pPr>
          </w:p>
        </w:tc>
        <w:tc>
          <w:tcPr>
            <w:tcW w:w="2268" w:type="dxa"/>
            <w:tcBorders>
              <w:bottom w:val="single" w:sz="4" w:space="0" w:color="auto"/>
            </w:tcBorders>
            <w:vAlign w:val="bottom"/>
          </w:tcPr>
          <w:p w14:paraId="08FEBB5C" w14:textId="77777777" w:rsidR="009E6CB7" w:rsidRPr="004500D4" w:rsidRDefault="009E6CB7" w:rsidP="00B20551">
            <w:pPr>
              <w:spacing w:after="80" w:line="300" w:lineRule="exact"/>
              <w:rPr>
                <w:b/>
                <w:sz w:val="24"/>
                <w:szCs w:val="24"/>
              </w:rPr>
            </w:pPr>
            <w:r w:rsidRPr="004500D4">
              <w:rPr>
                <w:sz w:val="28"/>
                <w:szCs w:val="28"/>
              </w:rPr>
              <w:t>United Nations</w:t>
            </w:r>
          </w:p>
        </w:tc>
        <w:tc>
          <w:tcPr>
            <w:tcW w:w="6095" w:type="dxa"/>
            <w:gridSpan w:val="2"/>
            <w:tcBorders>
              <w:bottom w:val="single" w:sz="4" w:space="0" w:color="auto"/>
            </w:tcBorders>
            <w:vAlign w:val="bottom"/>
          </w:tcPr>
          <w:p w14:paraId="2F667B8F" w14:textId="67EC813C" w:rsidR="009E6CB7" w:rsidRPr="004500D4" w:rsidRDefault="004E71A9" w:rsidP="004E71A9">
            <w:pPr>
              <w:jc w:val="right"/>
            </w:pPr>
            <w:r w:rsidRPr="004500D4">
              <w:rPr>
                <w:sz w:val="40"/>
              </w:rPr>
              <w:t>ECE</w:t>
            </w:r>
            <w:r w:rsidRPr="004500D4">
              <w:t>/TRANS/WP.29/GRSP/2021/28</w:t>
            </w:r>
          </w:p>
        </w:tc>
      </w:tr>
      <w:tr w:rsidR="009E6CB7" w:rsidRPr="004500D4" w14:paraId="4E3B6061" w14:textId="77777777" w:rsidTr="00B20551">
        <w:trPr>
          <w:cantSplit/>
          <w:trHeight w:hRule="exact" w:val="2835"/>
        </w:trPr>
        <w:tc>
          <w:tcPr>
            <w:tcW w:w="1276" w:type="dxa"/>
            <w:tcBorders>
              <w:top w:val="single" w:sz="4" w:space="0" w:color="auto"/>
              <w:bottom w:val="single" w:sz="12" w:space="0" w:color="auto"/>
            </w:tcBorders>
          </w:tcPr>
          <w:p w14:paraId="30FE859C" w14:textId="77777777" w:rsidR="009E6CB7" w:rsidRPr="004500D4" w:rsidRDefault="00686A48" w:rsidP="00B20551">
            <w:pPr>
              <w:spacing w:before="120"/>
            </w:pPr>
            <w:r w:rsidRPr="004500D4">
              <w:rPr>
                <w:noProof/>
                <w:lang w:eastAsia="fr-CH"/>
              </w:rPr>
              <w:drawing>
                <wp:inline distT="0" distB="0" distL="0" distR="0" wp14:anchorId="69720E12" wp14:editId="5792B5B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588179" w14:textId="77777777" w:rsidR="009E6CB7" w:rsidRPr="004500D4" w:rsidRDefault="009E6CB7" w:rsidP="00B20551">
            <w:pPr>
              <w:spacing w:before="120" w:line="420" w:lineRule="exact"/>
              <w:rPr>
                <w:sz w:val="40"/>
                <w:szCs w:val="40"/>
              </w:rPr>
            </w:pPr>
            <w:r w:rsidRPr="004500D4">
              <w:rPr>
                <w:b/>
                <w:sz w:val="40"/>
                <w:szCs w:val="40"/>
              </w:rPr>
              <w:t>Economic and Social Council</w:t>
            </w:r>
          </w:p>
        </w:tc>
        <w:tc>
          <w:tcPr>
            <w:tcW w:w="2835" w:type="dxa"/>
            <w:tcBorders>
              <w:top w:val="single" w:sz="4" w:space="0" w:color="auto"/>
              <w:bottom w:val="single" w:sz="12" w:space="0" w:color="auto"/>
            </w:tcBorders>
          </w:tcPr>
          <w:p w14:paraId="3F153F06" w14:textId="77777777" w:rsidR="009E6CB7" w:rsidRPr="004500D4" w:rsidRDefault="004E71A9" w:rsidP="004E71A9">
            <w:pPr>
              <w:spacing w:before="240" w:line="240" w:lineRule="exact"/>
            </w:pPr>
            <w:r w:rsidRPr="004500D4">
              <w:t>Distr.: General</w:t>
            </w:r>
          </w:p>
          <w:p w14:paraId="7273BA7B" w14:textId="54F1C03E" w:rsidR="004E71A9" w:rsidRPr="004500D4" w:rsidRDefault="00D32BDA" w:rsidP="004E71A9">
            <w:pPr>
              <w:spacing w:line="240" w:lineRule="exact"/>
            </w:pPr>
            <w:r>
              <w:t>21</w:t>
            </w:r>
            <w:r w:rsidR="004E71A9" w:rsidRPr="004500D4">
              <w:t xml:space="preserve"> September 2021</w:t>
            </w:r>
          </w:p>
          <w:p w14:paraId="3433A998" w14:textId="77777777" w:rsidR="004E71A9" w:rsidRPr="004500D4" w:rsidRDefault="004E71A9" w:rsidP="004E71A9">
            <w:pPr>
              <w:spacing w:line="240" w:lineRule="exact"/>
            </w:pPr>
          </w:p>
          <w:p w14:paraId="716BC397" w14:textId="3CFDF580" w:rsidR="004E71A9" w:rsidRPr="004500D4" w:rsidRDefault="004E71A9" w:rsidP="004E71A9">
            <w:pPr>
              <w:spacing w:line="240" w:lineRule="exact"/>
            </w:pPr>
            <w:r w:rsidRPr="004500D4">
              <w:t>Original: English</w:t>
            </w:r>
          </w:p>
        </w:tc>
      </w:tr>
    </w:tbl>
    <w:p w14:paraId="61BA78EA" w14:textId="77777777" w:rsidR="004E71A9" w:rsidRPr="004500D4" w:rsidRDefault="004E71A9" w:rsidP="004E71A9">
      <w:pPr>
        <w:rPr>
          <w:b/>
          <w:sz w:val="28"/>
          <w:szCs w:val="28"/>
        </w:rPr>
      </w:pPr>
      <w:r w:rsidRPr="004500D4">
        <w:rPr>
          <w:b/>
          <w:sz w:val="28"/>
          <w:szCs w:val="28"/>
        </w:rPr>
        <w:t>Economic Commission for Europe</w:t>
      </w:r>
    </w:p>
    <w:p w14:paraId="49BD9A86" w14:textId="77777777" w:rsidR="004E71A9" w:rsidRPr="004500D4" w:rsidRDefault="004E71A9" w:rsidP="004E71A9">
      <w:pPr>
        <w:spacing w:before="120"/>
        <w:rPr>
          <w:sz w:val="28"/>
          <w:szCs w:val="28"/>
        </w:rPr>
      </w:pPr>
      <w:r w:rsidRPr="004500D4">
        <w:rPr>
          <w:sz w:val="28"/>
          <w:szCs w:val="28"/>
        </w:rPr>
        <w:t>Inland Transport Committee</w:t>
      </w:r>
    </w:p>
    <w:p w14:paraId="09DDE7A4" w14:textId="77777777" w:rsidR="004E71A9" w:rsidRPr="004500D4" w:rsidRDefault="004E71A9" w:rsidP="004E71A9">
      <w:pPr>
        <w:spacing w:before="120"/>
        <w:rPr>
          <w:b/>
          <w:sz w:val="24"/>
          <w:szCs w:val="24"/>
        </w:rPr>
      </w:pPr>
      <w:r w:rsidRPr="004500D4">
        <w:rPr>
          <w:b/>
          <w:sz w:val="24"/>
          <w:szCs w:val="24"/>
        </w:rPr>
        <w:t>World Forum for Harmonization of Vehicle Regulations</w:t>
      </w:r>
    </w:p>
    <w:p w14:paraId="210C33B4" w14:textId="77777777" w:rsidR="004E71A9" w:rsidRPr="004500D4" w:rsidRDefault="004E71A9" w:rsidP="004E71A9">
      <w:pPr>
        <w:spacing w:before="120"/>
        <w:rPr>
          <w:b/>
        </w:rPr>
      </w:pPr>
      <w:r w:rsidRPr="004500D4">
        <w:rPr>
          <w:b/>
        </w:rPr>
        <w:t>Working Party on Passive Safety</w:t>
      </w:r>
    </w:p>
    <w:p w14:paraId="6C2851E9" w14:textId="77777777" w:rsidR="004E71A9" w:rsidRPr="004500D4" w:rsidRDefault="004E71A9" w:rsidP="004E71A9">
      <w:pPr>
        <w:spacing w:before="120"/>
        <w:rPr>
          <w:b/>
        </w:rPr>
      </w:pPr>
      <w:r w:rsidRPr="004500D4">
        <w:rPr>
          <w:b/>
        </w:rPr>
        <w:t xml:space="preserve">Seventieth session </w:t>
      </w:r>
    </w:p>
    <w:p w14:paraId="61DB4975" w14:textId="5EB347C7" w:rsidR="004E71A9" w:rsidRPr="004500D4" w:rsidRDefault="004E71A9" w:rsidP="004E71A9">
      <w:pPr>
        <w:rPr>
          <w:bCs/>
        </w:rPr>
      </w:pPr>
      <w:r w:rsidRPr="004500D4">
        <w:rPr>
          <w:bCs/>
        </w:rPr>
        <w:t>Geneva, 6</w:t>
      </w:r>
      <w:r w:rsidR="004500D4" w:rsidRPr="004500D4">
        <w:rPr>
          <w:bCs/>
        </w:rPr>
        <w:t>–</w:t>
      </w:r>
      <w:r w:rsidRPr="004500D4">
        <w:rPr>
          <w:bCs/>
        </w:rPr>
        <w:t>10 December 2021</w:t>
      </w:r>
    </w:p>
    <w:p w14:paraId="349E0A69" w14:textId="67142AC1" w:rsidR="004E71A9" w:rsidRPr="004500D4" w:rsidRDefault="004E71A9" w:rsidP="004E71A9">
      <w:pPr>
        <w:rPr>
          <w:bCs/>
        </w:rPr>
      </w:pPr>
      <w:r w:rsidRPr="004500D4">
        <w:rPr>
          <w:bCs/>
        </w:rPr>
        <w:t>Item 10 of the provisional agenda</w:t>
      </w:r>
    </w:p>
    <w:p w14:paraId="2E02301E" w14:textId="08A83F62" w:rsidR="004E71A9" w:rsidRPr="004500D4" w:rsidRDefault="004E71A9" w:rsidP="004E71A9">
      <w:pPr>
        <w:rPr>
          <w:b/>
        </w:rPr>
      </w:pPr>
      <w:r w:rsidRPr="004500D4">
        <w:rPr>
          <w:b/>
        </w:rPr>
        <w:t>UN Regulation No. 127 (Pedestrian safety)</w:t>
      </w:r>
    </w:p>
    <w:p w14:paraId="24FCBDCD" w14:textId="18E9AD84" w:rsidR="004E71A9" w:rsidRPr="004500D4" w:rsidRDefault="004E71A9" w:rsidP="004E71A9">
      <w:pPr>
        <w:keepNext/>
        <w:keepLines/>
        <w:tabs>
          <w:tab w:val="right" w:pos="851"/>
        </w:tabs>
        <w:spacing w:before="360" w:after="240" w:line="300" w:lineRule="exact"/>
        <w:ind w:left="1134" w:right="1134" w:hanging="1134"/>
        <w:rPr>
          <w:rFonts w:eastAsia="MS Mincho"/>
          <w:b/>
          <w:bCs/>
          <w:sz w:val="28"/>
        </w:rPr>
      </w:pPr>
      <w:r w:rsidRPr="004500D4">
        <w:tab/>
      </w:r>
      <w:r w:rsidRPr="004500D4">
        <w:tab/>
      </w:r>
      <w:r w:rsidRPr="004500D4">
        <w:rPr>
          <w:rFonts w:eastAsia="MS Mincho"/>
          <w:b/>
          <w:bCs/>
          <w:sz w:val="28"/>
        </w:rPr>
        <w:t xml:space="preserve">Proposal for the 03 series of amendments to UN Regulation No. 127 </w:t>
      </w:r>
      <w:r w:rsidRPr="004500D4">
        <w:rPr>
          <w:rFonts w:eastAsia="MS Mincho"/>
          <w:b/>
          <w:sz w:val="28"/>
        </w:rPr>
        <w:t>(Pedestrian Safety)</w:t>
      </w:r>
    </w:p>
    <w:p w14:paraId="0F0A1F38" w14:textId="7A988643" w:rsidR="004E71A9" w:rsidRPr="004500D4" w:rsidRDefault="004E71A9" w:rsidP="004E71A9">
      <w:pPr>
        <w:pStyle w:val="H1G"/>
        <w:ind w:firstLine="0"/>
      </w:pPr>
      <w:r w:rsidRPr="004500D4">
        <w:t xml:space="preserve">Submitted by the expert from the European Commission on behalf of the drafting Task Force </w:t>
      </w:r>
      <w:r w:rsidRPr="004500D4">
        <w:rPr>
          <w:bCs/>
        </w:rPr>
        <w:footnoteReference w:customMarkFollows="1" w:id="2"/>
        <w:t>*</w:t>
      </w:r>
    </w:p>
    <w:p w14:paraId="125C4E3C" w14:textId="53910CA1" w:rsidR="004E71A9" w:rsidRPr="004500D4" w:rsidRDefault="004E71A9" w:rsidP="004E71A9">
      <w:pPr>
        <w:pStyle w:val="SingleTxtG"/>
        <w:ind w:firstLine="567"/>
      </w:pPr>
      <w:r w:rsidRPr="004500D4">
        <w:rPr>
          <w:spacing w:val="3"/>
        </w:rPr>
        <w:t>T</w:t>
      </w:r>
      <w:r w:rsidRPr="004500D4">
        <w:rPr>
          <w:spacing w:val="1"/>
        </w:rPr>
        <w:t>he text reproduced below was prepared by the experts</w:t>
      </w:r>
      <w:r w:rsidRPr="004500D4">
        <w:rPr>
          <w:spacing w:val="-4"/>
        </w:rPr>
        <w:t xml:space="preserve"> of the drafting Task Force</w:t>
      </w:r>
      <w:r w:rsidR="004500D4">
        <w:rPr>
          <w:spacing w:val="-4"/>
        </w:rPr>
        <w:t xml:space="preserve"> to</w:t>
      </w:r>
      <w:r w:rsidRPr="004500D4">
        <w:rPr>
          <w:spacing w:val="-4"/>
        </w:rPr>
        <w:t xml:space="preserve"> </w:t>
      </w:r>
      <w:r w:rsidR="004500D4" w:rsidRPr="004500D4">
        <w:rPr>
          <w:spacing w:val="-4"/>
        </w:rPr>
        <w:t>replac</w:t>
      </w:r>
      <w:r w:rsidR="004500D4">
        <w:rPr>
          <w:spacing w:val="-4"/>
        </w:rPr>
        <w:t xml:space="preserve">e </w:t>
      </w:r>
      <w:r w:rsidRPr="004500D4">
        <w:rPr>
          <w:spacing w:val="-4"/>
        </w:rPr>
        <w:t xml:space="preserve">ECE/TRANS/WP.29/GRSP/2020/9. The proposal </w:t>
      </w:r>
      <w:r w:rsidR="004500D4">
        <w:rPr>
          <w:spacing w:val="-4"/>
        </w:rPr>
        <w:t>a</w:t>
      </w:r>
      <w:r w:rsidRPr="004500D4">
        <w:rPr>
          <w:spacing w:val="-4"/>
        </w:rPr>
        <w:t>i</w:t>
      </w:r>
      <w:r w:rsidR="004500D4">
        <w:rPr>
          <w:spacing w:val="-4"/>
        </w:rPr>
        <w:t>m</w:t>
      </w:r>
      <w:r w:rsidRPr="004500D4">
        <w:rPr>
          <w:spacing w:val="-4"/>
        </w:rPr>
        <w:t xml:space="preserve">s </w:t>
      </w:r>
      <w:r w:rsidRPr="004500D4">
        <w:rPr>
          <w:spacing w:val="1"/>
        </w:rPr>
        <w:t xml:space="preserve">to introduce specific provisions in the UN Regulation that are aligned with the new provisions set out in the revised General Safety Regulation (EU) 2019/2144 that will apply in the European Union in accordance with the </w:t>
      </w:r>
      <w:r w:rsidRPr="004500D4">
        <w:t xml:space="preserve">proposed transitional provisions. It also covers a specific provision </w:t>
      </w:r>
      <w:r w:rsidR="004500D4">
        <w:t>on</w:t>
      </w:r>
      <w:r w:rsidR="004500D4" w:rsidRPr="004500D4">
        <w:t xml:space="preserve"> </w:t>
      </w:r>
      <w:r w:rsidRPr="004500D4">
        <w:t>optional monitoring of headform contact with A-pillars, windscreen header and cowl. The proposed test also makes a few minor adaptations and clarifications to the existing requirements. The modifications to the current text of the UN Regulation are marked in bold for new or strikethrough for deleted characters.</w:t>
      </w:r>
    </w:p>
    <w:p w14:paraId="295E67A3" w14:textId="542E1EBE" w:rsidR="004E71A9" w:rsidRPr="004500D4" w:rsidRDefault="004E71A9">
      <w:pPr>
        <w:suppressAutoHyphens w:val="0"/>
        <w:spacing w:line="240" w:lineRule="auto"/>
      </w:pPr>
      <w:r w:rsidRPr="004500D4">
        <w:br w:type="page"/>
      </w:r>
    </w:p>
    <w:p w14:paraId="27AF3CBD" w14:textId="2B53EA4C" w:rsidR="004E71A9" w:rsidRPr="004500D4" w:rsidRDefault="004E71A9" w:rsidP="004E71A9">
      <w:pPr>
        <w:pStyle w:val="HChG"/>
      </w:pPr>
      <w:r w:rsidRPr="004500D4">
        <w:lastRenderedPageBreak/>
        <w:tab/>
        <w:t>I.</w:t>
      </w:r>
      <w:r w:rsidRPr="004500D4">
        <w:tab/>
        <w:t>Proposal</w:t>
      </w:r>
    </w:p>
    <w:p w14:paraId="08B9F894" w14:textId="77777777" w:rsidR="004E71A9" w:rsidRPr="004500D4" w:rsidRDefault="004E71A9" w:rsidP="004E71A9">
      <w:pPr>
        <w:pStyle w:val="SingleTxtG"/>
      </w:pPr>
      <w:r w:rsidRPr="004500D4">
        <w:rPr>
          <w:i/>
        </w:rPr>
        <w:t>Paragraph 2.1.</w:t>
      </w:r>
      <w:r w:rsidRPr="004500D4">
        <w:t>,</w:t>
      </w:r>
      <w:r w:rsidRPr="004500D4">
        <w:rPr>
          <w:i/>
        </w:rPr>
        <w:t xml:space="preserve"> </w:t>
      </w:r>
      <w:r w:rsidRPr="004500D4">
        <w:t>amend to read:</w:t>
      </w:r>
    </w:p>
    <w:p w14:paraId="6181F80A" w14:textId="7C7480C4" w:rsidR="004E71A9" w:rsidRPr="004500D4" w:rsidRDefault="004E71A9" w:rsidP="004E71A9">
      <w:pPr>
        <w:spacing w:after="120"/>
        <w:ind w:left="2268" w:right="1134" w:hanging="1134"/>
        <w:jc w:val="both"/>
      </w:pPr>
      <w:r w:rsidRPr="004500D4">
        <w:t>"2.1.</w:t>
      </w:r>
      <w:r w:rsidRPr="004500D4">
        <w:tab/>
        <w:t>"</w:t>
      </w:r>
      <w:r w:rsidRPr="004500D4">
        <w:rPr>
          <w:i/>
          <w:iCs/>
        </w:rPr>
        <w:t xml:space="preserve">Adult headform </w:t>
      </w:r>
      <w:r w:rsidRPr="004500D4">
        <w:rPr>
          <w:b/>
          <w:iCs/>
        </w:rPr>
        <w:t>bonnet</w:t>
      </w:r>
      <w:r w:rsidRPr="004500D4">
        <w:rPr>
          <w:i/>
          <w:iCs/>
        </w:rPr>
        <w:t xml:space="preserve"> top test area</w:t>
      </w:r>
      <w:r w:rsidRPr="004500D4">
        <w:t>" is an area on the outer surfaces of the front structure. The area is bound</w:t>
      </w:r>
      <w:r w:rsidRPr="004500D4">
        <w:rPr>
          <w:b/>
          <w:strike/>
        </w:rPr>
        <w:t>ed</w:t>
      </w:r>
      <w:r w:rsidRPr="004500D4">
        <w:t>:</w:t>
      </w:r>
    </w:p>
    <w:p w14:paraId="52159344" w14:textId="77777777" w:rsidR="004E71A9" w:rsidRPr="004500D4" w:rsidRDefault="004E71A9" w:rsidP="004E71A9">
      <w:pPr>
        <w:spacing w:after="120"/>
        <w:ind w:left="2800" w:right="1134" w:hanging="534"/>
        <w:jc w:val="both"/>
      </w:pPr>
      <w:r w:rsidRPr="004500D4">
        <w:t>(a)</w:t>
      </w:r>
      <w:r w:rsidRPr="004500D4">
        <w:tab/>
        <w:t xml:space="preserve">In the front, by a wrap around distance (WAD) of 1,700 or a line 82.5 mm rearward of the bonnet leading edge reference line, </w:t>
      </w:r>
      <w:r w:rsidRPr="004500D4">
        <w:tab/>
        <w:t xml:space="preserve">whichever is most rearward at a given lateral position; </w:t>
      </w:r>
    </w:p>
    <w:p w14:paraId="20BF664E" w14:textId="77777777" w:rsidR="004E71A9" w:rsidRPr="004500D4" w:rsidRDefault="004E71A9" w:rsidP="004E71A9">
      <w:pPr>
        <w:spacing w:after="120"/>
        <w:ind w:left="2800" w:right="1134" w:hanging="534"/>
        <w:jc w:val="both"/>
      </w:pPr>
      <w:r w:rsidRPr="004500D4">
        <w:t>(b)</w:t>
      </w:r>
      <w:r w:rsidRPr="004500D4">
        <w:tab/>
        <w:t xml:space="preserve">At the rear, by a WAD </w:t>
      </w:r>
      <w:r w:rsidRPr="004500D4">
        <w:rPr>
          <w:b/>
        </w:rPr>
        <w:t>[2,500</w:t>
      </w:r>
      <w:r w:rsidRPr="004500D4">
        <w:rPr>
          <w:rStyle w:val="FootnoteReference"/>
          <w:b/>
        </w:rPr>
        <w:footnoteReference w:id="3"/>
      </w:r>
      <w:r w:rsidRPr="004500D4">
        <w:rPr>
          <w:b/>
        </w:rPr>
        <w:t xml:space="preserve">] </w:t>
      </w:r>
      <w:r w:rsidRPr="004500D4">
        <w:t>or a line 82.5 mm forward of the bonnet rear reference line, whichever is most forward at a given lateral position, and</w:t>
      </w:r>
    </w:p>
    <w:p w14:paraId="69C48691" w14:textId="77777777" w:rsidR="004E71A9" w:rsidRPr="004500D4" w:rsidRDefault="004E71A9" w:rsidP="004E71A9">
      <w:pPr>
        <w:spacing w:after="120"/>
        <w:ind w:left="2800" w:right="1134" w:hanging="534"/>
        <w:jc w:val="both"/>
      </w:pPr>
      <w:r w:rsidRPr="004500D4">
        <w:t>(c)</w:t>
      </w:r>
      <w:r w:rsidRPr="004500D4">
        <w:tab/>
        <w:t>At each side, by a line 82.5 mm inside the side reference line.</w:t>
      </w:r>
    </w:p>
    <w:p w14:paraId="35790CE7" w14:textId="7C3A7A0B" w:rsidR="004E71A9" w:rsidRPr="004500D4" w:rsidRDefault="004E71A9" w:rsidP="004E71A9">
      <w:pPr>
        <w:spacing w:after="120"/>
        <w:ind w:left="2268" w:right="1134" w:hanging="1134"/>
        <w:jc w:val="both"/>
      </w:pPr>
      <w:r w:rsidRPr="004500D4">
        <w:tab/>
        <w:t>The distance of 82.5 mm is to be set with a flexible tape held tautly along the outer surface of the vehicle."</w:t>
      </w:r>
    </w:p>
    <w:p w14:paraId="7FF0BCD3" w14:textId="77777777" w:rsidR="004E71A9" w:rsidRPr="004500D4" w:rsidRDefault="004E71A9" w:rsidP="004E71A9">
      <w:pPr>
        <w:pStyle w:val="SingleTxtG"/>
      </w:pPr>
      <w:r w:rsidRPr="004500D4">
        <w:rPr>
          <w:i/>
        </w:rPr>
        <w:t>Paragraph 2.10.</w:t>
      </w:r>
      <w:r w:rsidRPr="004500D4">
        <w:t>,</w:t>
      </w:r>
      <w:r w:rsidRPr="004500D4">
        <w:rPr>
          <w:i/>
        </w:rPr>
        <w:t xml:space="preserve"> </w:t>
      </w:r>
      <w:r w:rsidRPr="004500D4">
        <w:t>amend to read:</w:t>
      </w:r>
    </w:p>
    <w:p w14:paraId="0DD477A8" w14:textId="4AB69776" w:rsidR="004E71A9" w:rsidRPr="004500D4" w:rsidRDefault="004E71A9" w:rsidP="004E71A9">
      <w:pPr>
        <w:spacing w:after="120"/>
        <w:ind w:left="2268" w:right="1134" w:hanging="1134"/>
        <w:jc w:val="both"/>
      </w:pPr>
      <w:r w:rsidRPr="004500D4">
        <w:t>"2.10.</w:t>
      </w:r>
      <w:r w:rsidRPr="004500D4">
        <w:tab/>
        <w:t>"</w:t>
      </w:r>
      <w:r w:rsidRPr="004500D4">
        <w:rPr>
          <w:i/>
        </w:rPr>
        <w:t>Bonnet top test area</w:t>
      </w:r>
      <w:r w:rsidRPr="004500D4">
        <w:t xml:space="preserve">" is composed of the child headform </w:t>
      </w:r>
      <w:r w:rsidRPr="004500D4">
        <w:rPr>
          <w:b/>
        </w:rPr>
        <w:t>bonnet top</w:t>
      </w:r>
      <w:r w:rsidRPr="004500D4">
        <w:t xml:space="preserve"> test area and the adult headform </w:t>
      </w:r>
      <w:r w:rsidRPr="004500D4">
        <w:rPr>
          <w:b/>
        </w:rPr>
        <w:t>bonnet top</w:t>
      </w:r>
      <w:r w:rsidRPr="004500D4">
        <w:t xml:space="preserve"> test area as defined in paragraphs 2.1. and 2.16. respectively."</w:t>
      </w:r>
    </w:p>
    <w:p w14:paraId="2AFF1058" w14:textId="77777777" w:rsidR="004E71A9" w:rsidRPr="004500D4" w:rsidRDefault="004E71A9" w:rsidP="004E71A9">
      <w:pPr>
        <w:pStyle w:val="SingleTxtG"/>
      </w:pPr>
      <w:r w:rsidRPr="004500D4">
        <w:rPr>
          <w:i/>
        </w:rPr>
        <w:t>Paragraph 2.16.</w:t>
      </w:r>
      <w:r w:rsidRPr="004500D4">
        <w:t>,</w:t>
      </w:r>
      <w:r w:rsidRPr="004500D4">
        <w:rPr>
          <w:i/>
        </w:rPr>
        <w:t xml:space="preserve"> </w:t>
      </w:r>
      <w:r w:rsidRPr="004500D4">
        <w:t>amend to read:</w:t>
      </w:r>
    </w:p>
    <w:p w14:paraId="1622CF2C" w14:textId="2C9EBE65" w:rsidR="004E71A9" w:rsidRPr="004500D4" w:rsidRDefault="004E71A9" w:rsidP="004E71A9">
      <w:pPr>
        <w:spacing w:after="120"/>
        <w:ind w:left="2268" w:right="1134" w:hanging="1134"/>
        <w:jc w:val="both"/>
      </w:pPr>
      <w:r w:rsidRPr="004500D4">
        <w:t>"2.16.</w:t>
      </w:r>
      <w:r w:rsidRPr="004500D4">
        <w:tab/>
        <w:t>"</w:t>
      </w:r>
      <w:r w:rsidRPr="004500D4">
        <w:rPr>
          <w:i/>
          <w:iCs/>
        </w:rPr>
        <w:t xml:space="preserve">Child headform </w:t>
      </w:r>
      <w:r w:rsidRPr="004500D4">
        <w:rPr>
          <w:b/>
          <w:iCs/>
        </w:rPr>
        <w:t>bonnet top</w:t>
      </w:r>
      <w:r w:rsidRPr="004500D4">
        <w:rPr>
          <w:i/>
          <w:iCs/>
        </w:rPr>
        <w:t xml:space="preserve"> test area</w:t>
      </w:r>
      <w:r w:rsidRPr="004500D4">
        <w:t>" is an area on the outer surfaces of the front structure. The area is bound</w:t>
      </w:r>
      <w:r w:rsidRPr="004500D4">
        <w:rPr>
          <w:b/>
          <w:strike/>
        </w:rPr>
        <w:t>ed</w:t>
      </w:r>
      <w:r w:rsidRPr="004500D4">
        <w:t>:</w:t>
      </w:r>
    </w:p>
    <w:p w14:paraId="50727E3C" w14:textId="77777777" w:rsidR="004E71A9" w:rsidRPr="004500D4" w:rsidRDefault="004E71A9" w:rsidP="004E71A9">
      <w:pPr>
        <w:spacing w:after="120"/>
        <w:ind w:left="2800" w:right="1134" w:hanging="534"/>
        <w:jc w:val="both"/>
      </w:pPr>
      <w:r w:rsidRPr="004500D4">
        <w:t>(a)</w:t>
      </w:r>
      <w:r w:rsidRPr="004500D4">
        <w:tab/>
        <w:t>In the front, by a WAD 1,000 or a line 82.5 mm rearward of the bonnet leading edge reference line, whichever is most rearward at a given lateral position,</w:t>
      </w:r>
    </w:p>
    <w:p w14:paraId="5361A6ED" w14:textId="77777777" w:rsidR="004E71A9" w:rsidRPr="004500D4" w:rsidRDefault="004E71A9" w:rsidP="004E71A9">
      <w:pPr>
        <w:spacing w:after="120"/>
        <w:ind w:left="2800" w:right="1134" w:hanging="534"/>
        <w:jc w:val="both"/>
      </w:pPr>
      <w:r w:rsidRPr="004500D4">
        <w:t>(b)</w:t>
      </w:r>
      <w:r w:rsidRPr="004500D4">
        <w:tab/>
        <w:t>At the rear, by a WAD 1,700 or a line 82.5 mm forward of the bonnet rear reference line, whichever is most forward at a given lateral position, and</w:t>
      </w:r>
    </w:p>
    <w:p w14:paraId="644DB7D9" w14:textId="77777777" w:rsidR="004E71A9" w:rsidRPr="004500D4" w:rsidRDefault="004E71A9" w:rsidP="004E71A9">
      <w:pPr>
        <w:spacing w:after="120"/>
        <w:ind w:left="2800" w:right="1134" w:hanging="534"/>
        <w:jc w:val="both"/>
      </w:pPr>
      <w:r w:rsidRPr="004500D4">
        <w:t>(c)</w:t>
      </w:r>
      <w:r w:rsidRPr="004500D4">
        <w:tab/>
        <w:t>At each side, by a line 82.5 mm inside the side reference line.</w:t>
      </w:r>
    </w:p>
    <w:p w14:paraId="648C80ED" w14:textId="18F04955" w:rsidR="004E71A9" w:rsidRPr="004500D4" w:rsidRDefault="004E71A9" w:rsidP="004E71A9">
      <w:pPr>
        <w:spacing w:after="120"/>
        <w:ind w:left="2268" w:right="1134" w:hanging="1134"/>
        <w:jc w:val="both"/>
      </w:pPr>
      <w:r w:rsidRPr="004500D4">
        <w:tab/>
        <w:t>The distance of 82.5 mm is to be set with a flexible tape held tautly along the outer surface of the vehicle."</w:t>
      </w:r>
    </w:p>
    <w:p w14:paraId="7D3AE786" w14:textId="77777777" w:rsidR="004E71A9" w:rsidRPr="004500D4" w:rsidRDefault="004E71A9" w:rsidP="004E71A9">
      <w:pPr>
        <w:pStyle w:val="SingleTxtG"/>
      </w:pPr>
      <w:r w:rsidRPr="004500D4">
        <w:rPr>
          <w:i/>
        </w:rPr>
        <w:t>Insert new paragraphs 2.44. to 2.48.</w:t>
      </w:r>
      <w:r w:rsidRPr="004500D4">
        <w:t>, to read:</w:t>
      </w:r>
    </w:p>
    <w:p w14:paraId="57D1014E" w14:textId="5115F17B" w:rsidR="004E71A9" w:rsidRPr="004500D4" w:rsidRDefault="004E71A9" w:rsidP="004E71A9">
      <w:pPr>
        <w:spacing w:after="120"/>
        <w:ind w:left="2268" w:right="1134" w:hanging="1134"/>
        <w:jc w:val="both"/>
        <w:rPr>
          <w:b/>
        </w:rPr>
      </w:pPr>
      <w:r w:rsidRPr="004500D4">
        <w:rPr>
          <w:bCs/>
        </w:rPr>
        <w:t>"</w:t>
      </w:r>
      <w:r w:rsidRPr="004500D4">
        <w:rPr>
          <w:b/>
        </w:rPr>
        <w:t xml:space="preserve">2.44. </w:t>
      </w:r>
      <w:r w:rsidRPr="004500D4">
        <w:rPr>
          <w:b/>
        </w:rPr>
        <w:tab/>
        <w:t>"Windscreen test area" is an area on the outer surface of the windscreen. It is bound:</w:t>
      </w:r>
    </w:p>
    <w:p w14:paraId="082BF078" w14:textId="77777777" w:rsidR="004E71A9" w:rsidRPr="004500D4" w:rsidRDefault="004E71A9" w:rsidP="004E71A9">
      <w:pPr>
        <w:spacing w:after="120"/>
        <w:ind w:left="2800" w:right="1134" w:hanging="534"/>
        <w:jc w:val="both"/>
        <w:rPr>
          <w:b/>
        </w:rPr>
      </w:pPr>
      <w:r w:rsidRPr="004500D4">
        <w:rPr>
          <w:b/>
        </w:rPr>
        <w:t>(a)</w:t>
      </w:r>
      <w:r w:rsidRPr="004500D4">
        <w:rPr>
          <w:b/>
        </w:rPr>
        <w:tab/>
        <w:t>In the front, by a line 100 mm rearward to the opaque obscuration of the windscreen. In case of absence of the opaque obscuration, the line is measured from the front visible edge of the windscreen material.</w:t>
      </w:r>
    </w:p>
    <w:p w14:paraId="18B4EAFC" w14:textId="77777777" w:rsidR="004E71A9" w:rsidRPr="004500D4" w:rsidRDefault="004E71A9" w:rsidP="004E71A9">
      <w:pPr>
        <w:spacing w:after="120"/>
        <w:ind w:left="2800" w:right="1134" w:hanging="534"/>
        <w:jc w:val="both"/>
        <w:rPr>
          <w:b/>
        </w:rPr>
      </w:pPr>
      <w:r w:rsidRPr="004500D4">
        <w:rPr>
          <w:b/>
        </w:rPr>
        <w:t>(b)</w:t>
      </w:r>
      <w:r w:rsidRPr="004500D4">
        <w:rPr>
          <w:b/>
        </w:rPr>
        <w:tab/>
        <w:t>In the rear, by a WAD 2,500 or a line 130 mm forward to the rear visible edge of the windscreen material, whichever is more forward at a given lateral position.</w:t>
      </w:r>
    </w:p>
    <w:p w14:paraId="6FA792A5" w14:textId="77777777" w:rsidR="004E71A9" w:rsidRPr="004500D4" w:rsidRDefault="004E71A9" w:rsidP="004E71A9">
      <w:pPr>
        <w:spacing w:after="120"/>
        <w:ind w:left="2800" w:right="1134" w:hanging="534"/>
        <w:jc w:val="both"/>
        <w:rPr>
          <w:b/>
        </w:rPr>
      </w:pPr>
      <w:r w:rsidRPr="004500D4">
        <w:rPr>
          <w:b/>
        </w:rPr>
        <w:t>(c)</w:t>
      </w:r>
      <w:r w:rsidRPr="004500D4">
        <w:rPr>
          <w:b/>
        </w:rPr>
        <w:tab/>
        <w:t>At each side, by a line 100 mm inside the opaque obscuration of the windscreen. In case of absence of the opaque obscuration, the line is measured from the side visible edge of the windscreen material.</w:t>
      </w:r>
    </w:p>
    <w:p w14:paraId="0AB1C0A0" w14:textId="7E9E4FA8" w:rsidR="004E71A9" w:rsidRPr="004500D4" w:rsidRDefault="004E71A9" w:rsidP="004E71A9">
      <w:pPr>
        <w:pStyle w:val="Text"/>
        <w:ind w:left="2268" w:right="1170"/>
        <w:jc w:val="both"/>
        <w:rPr>
          <w:rFonts w:ascii="Times New Roman" w:eastAsia="Times New Roman" w:hAnsi="Times New Roman" w:cs="Times New Roman"/>
          <w:b/>
          <w:color w:val="auto"/>
          <w:sz w:val="20"/>
          <w:szCs w:val="20"/>
          <w:bdr w:val="none" w:sz="0" w:space="0" w:color="auto"/>
          <w:lang w:val="en-GB" w:eastAsia="fr-FR"/>
        </w:rPr>
      </w:pPr>
      <w:r w:rsidRPr="004500D4">
        <w:rPr>
          <w:rFonts w:ascii="Times New Roman" w:eastAsia="Times New Roman" w:hAnsi="Times New Roman" w:cs="Times New Roman"/>
          <w:b/>
          <w:color w:val="auto"/>
          <w:sz w:val="20"/>
          <w:szCs w:val="20"/>
          <w:bdr w:val="none" w:sz="0" w:space="0" w:color="auto"/>
          <w:lang w:val="en-GB" w:eastAsia="fr-FR"/>
        </w:rPr>
        <w:t>For (a) and (c)</w:t>
      </w:r>
      <w:r w:rsidR="00F15D15">
        <w:rPr>
          <w:rFonts w:ascii="Times New Roman" w:eastAsia="Times New Roman" w:hAnsi="Times New Roman" w:cs="Times New Roman"/>
          <w:b/>
          <w:color w:val="auto"/>
          <w:sz w:val="20"/>
          <w:szCs w:val="20"/>
          <w:bdr w:val="none" w:sz="0" w:space="0" w:color="auto"/>
          <w:lang w:val="en-GB" w:eastAsia="fr-FR"/>
        </w:rPr>
        <w:t>:</w:t>
      </w:r>
      <w:r w:rsidRPr="004500D4">
        <w:rPr>
          <w:rFonts w:ascii="Times New Roman" w:eastAsia="Times New Roman" w:hAnsi="Times New Roman" w:cs="Times New Roman"/>
          <w:b/>
          <w:color w:val="auto"/>
          <w:sz w:val="20"/>
          <w:szCs w:val="20"/>
          <w:bdr w:val="none" w:sz="0" w:space="0" w:color="auto"/>
          <w:lang w:val="en-GB" w:eastAsia="fr-FR"/>
        </w:rPr>
        <w:t xml:space="preserve"> the distances of 100 mm are to be measured with a flexible tape held tautly along the outer surface of the vehicle at an angle of 90</w:t>
      </w:r>
      <w:r w:rsidR="00F15D15" w:rsidRPr="003000AE">
        <w:rPr>
          <w:rFonts w:ascii="Times New Roman" w:eastAsia="Times New Roman" w:hAnsi="Times New Roman" w:cs="Times New Roman"/>
          <w:b/>
          <w:color w:val="auto"/>
          <w:sz w:val="20"/>
          <w:szCs w:val="20"/>
          <w:bdr w:val="none" w:sz="0" w:space="0" w:color="auto"/>
          <w:lang w:val="en-US" w:eastAsia="fr-FR"/>
        </w:rPr>
        <w:t>°</w:t>
      </w:r>
      <w:r w:rsidRPr="004500D4">
        <w:rPr>
          <w:rFonts w:ascii="Times New Roman" w:eastAsia="Times New Roman" w:hAnsi="Times New Roman" w:cs="Times New Roman"/>
          <w:b/>
          <w:color w:val="auto"/>
          <w:sz w:val="20"/>
          <w:szCs w:val="20"/>
          <w:bdr w:val="none" w:sz="0" w:space="0" w:color="auto"/>
          <w:lang w:val="en-GB" w:eastAsia="fr-FR"/>
        </w:rPr>
        <w:t xml:space="preserve"> </w:t>
      </w:r>
      <w:r w:rsidR="00F15D15">
        <w:rPr>
          <w:rFonts w:ascii="Times New Roman" w:eastAsia="Times New Roman" w:hAnsi="Times New Roman" w:cs="Times New Roman"/>
          <w:b/>
          <w:color w:val="auto"/>
          <w:sz w:val="20"/>
          <w:szCs w:val="20"/>
          <w:bdr w:val="none" w:sz="0" w:space="0" w:color="auto"/>
          <w:lang w:val="en-GB" w:eastAsia="fr-FR"/>
        </w:rPr>
        <w:t xml:space="preserve"> </w:t>
      </w:r>
      <w:r w:rsidRPr="004500D4">
        <w:rPr>
          <w:rFonts w:ascii="Times New Roman" w:eastAsia="Times New Roman" w:hAnsi="Times New Roman" w:cs="Times New Roman"/>
          <w:b/>
          <w:color w:val="auto"/>
          <w:sz w:val="20"/>
          <w:szCs w:val="20"/>
          <w:bdr w:val="none" w:sz="0" w:space="0" w:color="auto"/>
          <w:lang w:val="en-GB" w:eastAsia="fr-FR"/>
        </w:rPr>
        <w:t>to the tangent line to the opaque obscuration limit.</w:t>
      </w:r>
    </w:p>
    <w:p w14:paraId="60377731" w14:textId="77777777" w:rsidR="004E71A9" w:rsidRPr="004500D4" w:rsidRDefault="004E71A9" w:rsidP="004E71A9">
      <w:pPr>
        <w:pStyle w:val="Text"/>
        <w:ind w:left="2268" w:right="1170"/>
        <w:jc w:val="both"/>
        <w:rPr>
          <w:rFonts w:ascii="Times New Roman" w:eastAsia="Times New Roman" w:hAnsi="Times New Roman" w:cs="Times New Roman"/>
          <w:b/>
          <w:color w:val="auto"/>
          <w:sz w:val="20"/>
          <w:szCs w:val="20"/>
          <w:bdr w:val="none" w:sz="0" w:space="0" w:color="auto"/>
          <w:lang w:val="en-GB" w:eastAsia="fr-FR"/>
        </w:rPr>
      </w:pPr>
    </w:p>
    <w:p w14:paraId="4AE46E10" w14:textId="5C1388A2" w:rsidR="004E71A9" w:rsidRPr="004500D4" w:rsidRDefault="004E71A9" w:rsidP="004E71A9">
      <w:pPr>
        <w:pStyle w:val="Text"/>
        <w:spacing w:before="120" w:after="120"/>
        <w:ind w:left="2268" w:right="1168"/>
        <w:jc w:val="both"/>
        <w:rPr>
          <w:rFonts w:ascii="Times New Roman" w:eastAsia="Times New Roman" w:hAnsi="Times New Roman" w:cs="Times New Roman"/>
          <w:b/>
          <w:color w:val="auto"/>
          <w:sz w:val="20"/>
          <w:szCs w:val="20"/>
          <w:bdr w:val="none" w:sz="0" w:space="0" w:color="auto"/>
          <w:lang w:val="en-GB" w:eastAsia="fr-FR"/>
        </w:rPr>
      </w:pPr>
      <w:r w:rsidRPr="004500D4">
        <w:rPr>
          <w:rFonts w:ascii="Times New Roman" w:eastAsia="Times New Roman" w:hAnsi="Times New Roman" w:cs="Times New Roman"/>
          <w:b/>
          <w:color w:val="auto"/>
          <w:sz w:val="20"/>
          <w:szCs w:val="20"/>
          <w:bdr w:val="none" w:sz="0" w:space="0" w:color="auto"/>
          <w:lang w:val="en-GB" w:eastAsia="fr-FR"/>
        </w:rPr>
        <w:lastRenderedPageBreak/>
        <w:t xml:space="preserve">For (b): </w:t>
      </w:r>
      <w:r w:rsidR="00F15D15">
        <w:rPr>
          <w:rFonts w:ascii="Times New Roman" w:eastAsia="Times New Roman" w:hAnsi="Times New Roman" w:cs="Times New Roman"/>
          <w:b/>
          <w:color w:val="auto"/>
          <w:sz w:val="20"/>
          <w:szCs w:val="20"/>
          <w:bdr w:val="none" w:sz="0" w:space="0" w:color="auto"/>
          <w:lang w:val="en-GB" w:eastAsia="fr-FR"/>
        </w:rPr>
        <w:t>t</w:t>
      </w:r>
      <w:r w:rsidRPr="004500D4">
        <w:rPr>
          <w:rFonts w:ascii="Times New Roman" w:eastAsia="Times New Roman" w:hAnsi="Times New Roman" w:cs="Times New Roman"/>
          <w:b/>
          <w:color w:val="auto"/>
          <w:sz w:val="20"/>
          <w:szCs w:val="20"/>
          <w:bdr w:val="none" w:sz="0" w:space="0" w:color="auto"/>
          <w:lang w:val="en-GB" w:eastAsia="fr-FR"/>
        </w:rPr>
        <w:t xml:space="preserve">he distances of 130 mm is to be measured with a flexible tape held tautly along the outer surface of the vehicle at an angle of 90 </w:t>
      </w:r>
      <w:r w:rsidR="00F15D15">
        <w:rPr>
          <w:rFonts w:ascii="Times New Roman" w:eastAsia="Times New Roman" w:hAnsi="Times New Roman" w:cs="Times New Roman"/>
          <w:b/>
          <w:color w:val="auto"/>
          <w:sz w:val="20"/>
          <w:szCs w:val="20"/>
          <w:bdr w:val="none" w:sz="0" w:space="0" w:color="auto"/>
          <w:lang w:val="en-GB" w:eastAsia="fr-FR"/>
        </w:rPr>
        <w:t>°</w:t>
      </w:r>
      <w:r w:rsidR="00F15D15" w:rsidRPr="004500D4">
        <w:rPr>
          <w:rFonts w:ascii="Times New Roman" w:eastAsia="Times New Roman" w:hAnsi="Times New Roman" w:cs="Times New Roman"/>
          <w:b/>
          <w:color w:val="auto"/>
          <w:sz w:val="20"/>
          <w:szCs w:val="20"/>
          <w:bdr w:val="none" w:sz="0" w:space="0" w:color="auto"/>
          <w:lang w:val="en-GB" w:eastAsia="fr-FR"/>
        </w:rPr>
        <w:t xml:space="preserve"> </w:t>
      </w:r>
      <w:r w:rsidRPr="004500D4">
        <w:rPr>
          <w:rFonts w:ascii="Times New Roman" w:eastAsia="Times New Roman" w:hAnsi="Times New Roman" w:cs="Times New Roman"/>
          <w:b/>
          <w:color w:val="auto"/>
          <w:sz w:val="20"/>
          <w:szCs w:val="20"/>
          <w:bdr w:val="none" w:sz="0" w:space="0" w:color="auto"/>
          <w:lang w:val="en-GB" w:eastAsia="fr-FR"/>
        </w:rPr>
        <w:t>to the tangent line to the rear edge of the windscreen.</w:t>
      </w:r>
    </w:p>
    <w:p w14:paraId="38F8C990" w14:textId="77777777" w:rsidR="004E71A9" w:rsidRPr="004500D4" w:rsidRDefault="004E71A9" w:rsidP="004E71A9">
      <w:pPr>
        <w:spacing w:after="120"/>
        <w:ind w:left="2268" w:right="1134" w:hanging="1134"/>
        <w:jc w:val="both"/>
        <w:rPr>
          <w:b/>
        </w:rPr>
      </w:pPr>
      <w:r w:rsidRPr="004500D4">
        <w:rPr>
          <w:b/>
        </w:rPr>
        <w:tab/>
        <w:t xml:space="preserve">Tests assigned to any measuring points located in the windscreen area forward of and including WAD 1,700 are performed with the child headform impactor. Tests assigned to any measuring points located in the windscreen area rearward of WAD 1,700 are performed with the adult headform impactor. </w:t>
      </w:r>
    </w:p>
    <w:p w14:paraId="3B596EA8" w14:textId="2290D25C" w:rsidR="004E71A9" w:rsidRPr="004500D4" w:rsidRDefault="004E71A9" w:rsidP="004E71A9">
      <w:pPr>
        <w:pStyle w:val="Text"/>
        <w:suppressAutoHyphens/>
        <w:spacing w:after="120" w:line="240" w:lineRule="atLeast"/>
        <w:ind w:left="2268" w:right="1134" w:hanging="1098"/>
        <w:jc w:val="both"/>
        <w:rPr>
          <w:rFonts w:ascii="Times New Roman" w:hAnsi="Times New Roman"/>
          <w:b/>
          <w:color w:val="auto"/>
          <w:sz w:val="20"/>
          <w:szCs w:val="20"/>
          <w:u w:color="000000"/>
          <w:lang w:val="en-GB"/>
        </w:rPr>
      </w:pPr>
      <w:r w:rsidRPr="004500D4">
        <w:rPr>
          <w:rFonts w:ascii="Times New Roman" w:hAnsi="Times New Roman"/>
          <w:b/>
          <w:color w:val="auto"/>
          <w:sz w:val="20"/>
          <w:szCs w:val="20"/>
          <w:u w:color="000000"/>
          <w:lang w:val="en-GB"/>
        </w:rPr>
        <w:t xml:space="preserve">2.45. </w:t>
      </w:r>
      <w:r w:rsidRPr="004500D4">
        <w:rPr>
          <w:rFonts w:ascii="Times New Roman" w:hAnsi="Times New Roman"/>
          <w:b/>
          <w:color w:val="auto"/>
          <w:sz w:val="20"/>
          <w:szCs w:val="20"/>
          <w:u w:color="000000"/>
          <w:lang w:val="en-GB"/>
        </w:rPr>
        <w:tab/>
        <w:t xml:space="preserve">"Cowl monitoring area" is generally located near the rear of the bonnet test area and the front of the windscreen test area. </w:t>
      </w:r>
    </w:p>
    <w:p w14:paraId="70F6F899" w14:textId="77777777" w:rsidR="004E71A9" w:rsidRPr="004500D4" w:rsidRDefault="004E71A9" w:rsidP="004E71A9">
      <w:pPr>
        <w:pStyle w:val="Text"/>
        <w:suppressAutoHyphens/>
        <w:spacing w:after="120" w:line="240" w:lineRule="atLeast"/>
        <w:ind w:left="2268" w:right="1134" w:hanging="2"/>
        <w:jc w:val="both"/>
        <w:rPr>
          <w:rFonts w:ascii="Times New Roman" w:hAnsi="Times New Roman"/>
          <w:b/>
          <w:color w:val="auto"/>
          <w:sz w:val="20"/>
          <w:szCs w:val="20"/>
          <w:u w:color="000000"/>
          <w:lang w:val="en-GB"/>
        </w:rPr>
      </w:pPr>
      <w:r w:rsidRPr="004500D4">
        <w:rPr>
          <w:rFonts w:ascii="Times New Roman" w:hAnsi="Times New Roman"/>
          <w:b/>
          <w:color w:val="auto"/>
          <w:sz w:val="20"/>
          <w:szCs w:val="20"/>
          <w:u w:color="000000"/>
          <w:lang w:val="en-GB"/>
        </w:rPr>
        <w:t>For the adult head tests, if any, this area is bound:</w:t>
      </w:r>
    </w:p>
    <w:p w14:paraId="4DABF00E" w14:textId="0DEA7AB6" w:rsidR="004E71A9" w:rsidRPr="004500D4" w:rsidRDefault="004E71A9" w:rsidP="004E71A9">
      <w:pPr>
        <w:spacing w:after="120"/>
        <w:ind w:left="2800" w:right="1134" w:hanging="534"/>
        <w:jc w:val="both"/>
        <w:rPr>
          <w:b/>
        </w:rPr>
      </w:pPr>
      <w:r w:rsidRPr="004500D4">
        <w:rPr>
          <w:b/>
        </w:rPr>
        <w:t>(a)</w:t>
      </w:r>
      <w:r w:rsidRPr="004500D4">
        <w:rPr>
          <w:b/>
        </w:rPr>
        <w:tab/>
        <w:t>In the front, by the forward most boundary of the adult headform bonnet top test area as defined in paragraph 2.1 or a line 82.5 mm forward of the bonnet rear reference line, whichever is most rearward at a given lateral position</w:t>
      </w:r>
      <w:r w:rsidR="00F15D15">
        <w:rPr>
          <w:b/>
        </w:rPr>
        <w:t>;</w:t>
      </w:r>
      <w:r w:rsidRPr="004500D4">
        <w:rPr>
          <w:b/>
        </w:rPr>
        <w:t xml:space="preserve"> and</w:t>
      </w:r>
    </w:p>
    <w:p w14:paraId="58252745" w14:textId="77777777" w:rsidR="004E71A9" w:rsidRPr="004500D4" w:rsidRDefault="004E71A9" w:rsidP="004E71A9">
      <w:pPr>
        <w:spacing w:after="120"/>
        <w:ind w:left="2800" w:right="1134" w:hanging="534"/>
        <w:jc w:val="both"/>
        <w:rPr>
          <w:b/>
        </w:rPr>
      </w:pPr>
      <w:r w:rsidRPr="004500D4">
        <w:rPr>
          <w:b/>
        </w:rPr>
        <w:t xml:space="preserve"> (b)</w:t>
      </w:r>
      <w:r w:rsidRPr="004500D4">
        <w:rPr>
          <w:b/>
        </w:rPr>
        <w:tab/>
        <w:t>At the rear, by a WAD [2,500</w:t>
      </w:r>
      <w:r w:rsidRPr="004500D4">
        <w:rPr>
          <w:rStyle w:val="FootnoteReference"/>
          <w:b/>
        </w:rPr>
        <w:footnoteReference w:id="4"/>
      </w:r>
      <w:r w:rsidRPr="004500D4">
        <w:rPr>
          <w:b/>
        </w:rPr>
        <w:t>] or the front of the windscreen test area, whichever is most forward at a given lateral position.</w:t>
      </w:r>
    </w:p>
    <w:p w14:paraId="24606845" w14:textId="77777777" w:rsidR="004E71A9" w:rsidRPr="004500D4" w:rsidRDefault="004E71A9" w:rsidP="004E71A9">
      <w:pPr>
        <w:pStyle w:val="Text"/>
        <w:suppressAutoHyphens/>
        <w:spacing w:after="120" w:line="240" w:lineRule="atLeast"/>
        <w:ind w:left="2268" w:right="1134" w:hanging="1098"/>
        <w:jc w:val="both"/>
        <w:rPr>
          <w:rFonts w:ascii="Times New Roman" w:hAnsi="Times New Roman"/>
          <w:b/>
          <w:color w:val="auto"/>
          <w:sz w:val="20"/>
          <w:szCs w:val="20"/>
          <w:u w:color="000000"/>
          <w:lang w:val="en-GB"/>
        </w:rPr>
      </w:pPr>
      <w:r w:rsidRPr="004500D4">
        <w:rPr>
          <w:rFonts w:ascii="Times New Roman" w:hAnsi="Times New Roman"/>
          <w:b/>
          <w:color w:val="auto"/>
          <w:sz w:val="20"/>
          <w:szCs w:val="20"/>
          <w:u w:color="000000"/>
          <w:lang w:val="en-GB"/>
        </w:rPr>
        <w:tab/>
        <w:t>For the child head tests, this area is bound:</w:t>
      </w:r>
    </w:p>
    <w:p w14:paraId="218CEF9E" w14:textId="63CB6B91" w:rsidR="004E71A9" w:rsidRPr="004500D4" w:rsidRDefault="004E71A9" w:rsidP="004E71A9">
      <w:pPr>
        <w:spacing w:after="120"/>
        <w:ind w:left="2800" w:right="1134" w:hanging="534"/>
        <w:jc w:val="both"/>
        <w:rPr>
          <w:b/>
        </w:rPr>
      </w:pPr>
      <w:r w:rsidRPr="004500D4">
        <w:rPr>
          <w:b/>
        </w:rPr>
        <w:t xml:space="preserve">(a) </w:t>
      </w:r>
      <w:r w:rsidRPr="004500D4">
        <w:rPr>
          <w:b/>
        </w:rPr>
        <w:tab/>
        <w:t>In the front, by the forward most boundary of the child headform bonnet top test area as defined in paragraph 2.16 or a line 82.5 mm forward of the bonnet rear reference line, whichever is most rearward at a given lateral position</w:t>
      </w:r>
      <w:r w:rsidR="00F15D15">
        <w:rPr>
          <w:b/>
        </w:rPr>
        <w:t>;</w:t>
      </w:r>
      <w:r w:rsidRPr="004500D4">
        <w:rPr>
          <w:b/>
        </w:rPr>
        <w:t xml:space="preserve"> and</w:t>
      </w:r>
      <w:r w:rsidRPr="004500D4">
        <w:rPr>
          <w:b/>
        </w:rPr>
        <w:tab/>
      </w:r>
    </w:p>
    <w:p w14:paraId="36D13DFE" w14:textId="77777777" w:rsidR="004E71A9" w:rsidRPr="004500D4" w:rsidRDefault="004E71A9" w:rsidP="004E71A9">
      <w:pPr>
        <w:spacing w:after="120"/>
        <w:ind w:left="2800" w:right="1134" w:hanging="534"/>
        <w:jc w:val="both"/>
        <w:rPr>
          <w:b/>
        </w:rPr>
      </w:pPr>
      <w:r w:rsidRPr="004500D4">
        <w:rPr>
          <w:b/>
        </w:rPr>
        <w:t>(b)</w:t>
      </w:r>
      <w:r w:rsidRPr="004500D4">
        <w:rPr>
          <w:b/>
        </w:rPr>
        <w:tab/>
        <w:t>At the rear, by a WAD 1,700 or the front of the windscreen test area, whichever is most forward at a given lateral position.</w:t>
      </w:r>
    </w:p>
    <w:p w14:paraId="1443F897" w14:textId="37F37FA0" w:rsidR="004E71A9" w:rsidRPr="004500D4" w:rsidRDefault="004E71A9" w:rsidP="004E71A9">
      <w:pPr>
        <w:spacing w:after="120"/>
        <w:ind w:left="2280" w:right="1134" w:hanging="1200"/>
        <w:jc w:val="both"/>
        <w:rPr>
          <w:b/>
        </w:rPr>
      </w:pPr>
      <w:r w:rsidRPr="004500D4">
        <w:rPr>
          <w:b/>
        </w:rPr>
        <w:t>2.46.</w:t>
      </w:r>
      <w:r w:rsidRPr="004500D4">
        <w:rPr>
          <w:b/>
        </w:rPr>
        <w:tab/>
        <w:t xml:space="preserve">"Opaque obscuration" means any area of the glazing preventing light transmission, including any solid black windscreen-printed area, but excluding any shade band, dot-printed area, text or graphics. </w:t>
      </w:r>
    </w:p>
    <w:p w14:paraId="0EA47EFE" w14:textId="04ABB07E" w:rsidR="004E71A9" w:rsidRPr="004500D4" w:rsidRDefault="004E71A9" w:rsidP="004E71A9">
      <w:pPr>
        <w:spacing w:after="120"/>
        <w:ind w:left="2268" w:right="1134" w:hanging="1134"/>
        <w:jc w:val="both"/>
        <w:rPr>
          <w:b/>
        </w:rPr>
      </w:pPr>
      <w:r w:rsidRPr="004500D4">
        <w:rPr>
          <w:b/>
        </w:rPr>
        <w:t>2.47.</w:t>
      </w:r>
      <w:r w:rsidRPr="004500D4">
        <w:rPr>
          <w:b/>
        </w:rPr>
        <w:tab/>
        <w:t>"Shade band" means any area of the glazing with a reduced light transmittance, excluding any opaque obscuration.</w:t>
      </w:r>
    </w:p>
    <w:p w14:paraId="57A88A59" w14:textId="3B3D714E" w:rsidR="004E71A9" w:rsidRPr="004500D4" w:rsidRDefault="004E71A9" w:rsidP="004E71A9">
      <w:pPr>
        <w:spacing w:after="120"/>
        <w:ind w:left="2268" w:right="1134" w:hanging="1134"/>
        <w:jc w:val="both"/>
        <w:rPr>
          <w:b/>
          <w:u w:color="000000"/>
        </w:rPr>
      </w:pPr>
      <w:r w:rsidRPr="004500D4">
        <w:rPr>
          <w:b/>
        </w:rPr>
        <w:t>2.48.</w:t>
      </w:r>
      <w:r w:rsidRPr="004500D4">
        <w:rPr>
          <w:b/>
        </w:rPr>
        <w:tab/>
        <w:t xml:space="preserve">"Atypical windscreen fracture behaviour" is where the headform to windscreen impact results in at least one of the following cases: </w:t>
      </w:r>
    </w:p>
    <w:p w14:paraId="77D05B62" w14:textId="746D8910" w:rsidR="004E71A9" w:rsidRPr="004500D4" w:rsidRDefault="00F15D15" w:rsidP="004E71A9">
      <w:pPr>
        <w:spacing w:after="120"/>
        <w:ind w:left="2800" w:right="1134" w:hanging="534"/>
        <w:jc w:val="both"/>
        <w:rPr>
          <w:b/>
        </w:rPr>
      </w:pPr>
      <w:r>
        <w:rPr>
          <w:b/>
        </w:rPr>
        <w:t>(</w:t>
      </w:r>
      <w:r w:rsidR="004E71A9" w:rsidRPr="004500D4">
        <w:rPr>
          <w:b/>
        </w:rPr>
        <w:t>a</w:t>
      </w:r>
      <w:r>
        <w:rPr>
          <w:b/>
        </w:rPr>
        <w:t>)</w:t>
      </w:r>
      <w:r w:rsidR="004E71A9" w:rsidRPr="004500D4">
        <w:rPr>
          <w:b/>
        </w:rPr>
        <w:t xml:space="preserve"> </w:t>
      </w:r>
      <w:r w:rsidR="004E71A9" w:rsidRPr="004500D4">
        <w:rPr>
          <w:b/>
        </w:rPr>
        <w:tab/>
        <w:t>The absolute value of the minimum value of the derivation of the headform acceleration versus time is below 180 g/ms for the first 4</w:t>
      </w:r>
      <w:r>
        <w:rPr>
          <w:b/>
        </w:rPr>
        <w:t> </w:t>
      </w:r>
      <w:r w:rsidR="004E71A9" w:rsidRPr="00396613">
        <w:rPr>
          <w:b/>
        </w:rPr>
        <w:t>ms</w:t>
      </w:r>
      <w:r w:rsidR="004E71A9" w:rsidRPr="004500D4">
        <w:rPr>
          <w:b/>
        </w:rPr>
        <w:t xml:space="preserve"> after the initial contact of the headform to the windscreen</w:t>
      </w:r>
      <w:r>
        <w:rPr>
          <w:b/>
        </w:rPr>
        <w:t>;</w:t>
      </w:r>
      <w:r w:rsidR="004E71A9" w:rsidRPr="004500D4">
        <w:rPr>
          <w:b/>
        </w:rPr>
        <w:t xml:space="preserve"> or</w:t>
      </w:r>
    </w:p>
    <w:p w14:paraId="0F4EC3C1" w14:textId="1A9B5778" w:rsidR="004E71A9" w:rsidRPr="004500D4" w:rsidRDefault="00F15D15" w:rsidP="004E71A9">
      <w:pPr>
        <w:spacing w:after="120"/>
        <w:ind w:left="2800" w:right="1134" w:hanging="534"/>
        <w:jc w:val="both"/>
        <w:rPr>
          <w:b/>
          <w:color w:val="76923C" w:themeColor="accent3" w:themeShade="BF"/>
        </w:rPr>
      </w:pPr>
      <w:r>
        <w:rPr>
          <w:b/>
        </w:rPr>
        <w:t>(</w:t>
      </w:r>
      <w:r w:rsidR="004E71A9" w:rsidRPr="004500D4">
        <w:rPr>
          <w:b/>
        </w:rPr>
        <w:t>b</w:t>
      </w:r>
      <w:r>
        <w:rPr>
          <w:b/>
        </w:rPr>
        <w:t>)</w:t>
      </w:r>
      <w:r w:rsidR="004E71A9" w:rsidRPr="004500D4">
        <w:rPr>
          <w:b/>
        </w:rPr>
        <w:t xml:space="preserve"> </w:t>
      </w:r>
      <w:r w:rsidR="004E71A9" w:rsidRPr="004500D4">
        <w:rPr>
          <w:b/>
        </w:rPr>
        <w:tab/>
        <w:t>The minimum value of the acceleration below 300 m/s</w:t>
      </w:r>
      <w:r w:rsidR="004E71A9" w:rsidRPr="004500D4">
        <w:rPr>
          <w:b/>
          <w:vertAlign w:val="superscript"/>
        </w:rPr>
        <w:t>2</w:t>
      </w:r>
      <w:r w:rsidR="004E71A9" w:rsidRPr="004500D4">
        <w:rPr>
          <w:b/>
        </w:rPr>
        <w:t xml:space="preserve"> between the initial peak and 10 milliseconds is reached later than 4 </w:t>
      </w:r>
      <w:r w:rsidR="004E71A9" w:rsidRPr="00396613">
        <w:rPr>
          <w:b/>
        </w:rPr>
        <w:t>ms</w:t>
      </w:r>
      <w:r w:rsidR="004E71A9" w:rsidRPr="004500D4">
        <w:rPr>
          <w:b/>
        </w:rPr>
        <w:t xml:space="preserve"> in the time/acceleration plot, or glass breaking which expands to whole windshield is not visibly observed.</w:t>
      </w:r>
      <w:r w:rsidR="004E71A9" w:rsidRPr="004500D4">
        <w:rPr>
          <w:bCs/>
        </w:rPr>
        <w:t>"</w:t>
      </w:r>
    </w:p>
    <w:p w14:paraId="5BB86E0C" w14:textId="77777777" w:rsidR="004E71A9" w:rsidRPr="004500D4" w:rsidRDefault="004E71A9" w:rsidP="004E71A9">
      <w:pPr>
        <w:pStyle w:val="SingleTxtG"/>
      </w:pPr>
      <w:r w:rsidRPr="004500D4">
        <w:rPr>
          <w:i/>
        </w:rPr>
        <w:t>Paragraph 5.2.1.</w:t>
      </w:r>
      <w:r w:rsidRPr="004500D4">
        <w:t>,</w:t>
      </w:r>
      <w:r w:rsidRPr="004500D4">
        <w:rPr>
          <w:i/>
        </w:rPr>
        <w:t xml:space="preserve"> </w:t>
      </w:r>
      <w:r w:rsidRPr="004500D4">
        <w:t>amend to read:</w:t>
      </w:r>
    </w:p>
    <w:p w14:paraId="4D629F45" w14:textId="79B4EDF1" w:rsidR="004E71A9" w:rsidRPr="004500D4" w:rsidRDefault="004E71A9" w:rsidP="004E71A9">
      <w:pPr>
        <w:spacing w:after="120"/>
        <w:ind w:left="2268" w:right="1134" w:hanging="1134"/>
        <w:jc w:val="both"/>
      </w:pPr>
      <w:r w:rsidRPr="004500D4">
        <w:t>"5.2.1.</w:t>
      </w:r>
      <w:r w:rsidRPr="004500D4">
        <w:tab/>
        <w:t>Child and adult headform tests:</w:t>
      </w:r>
    </w:p>
    <w:p w14:paraId="5B84FCE5" w14:textId="608E286E" w:rsidR="004E71A9" w:rsidRPr="004500D4" w:rsidRDefault="004E71A9" w:rsidP="004E71A9">
      <w:pPr>
        <w:spacing w:after="120"/>
        <w:ind w:left="2268" w:right="1134"/>
        <w:jc w:val="both"/>
      </w:pPr>
      <w:r w:rsidRPr="004500D4">
        <w:t xml:space="preserve">When tested in accordance with Annex 5, paragraphs 3., 4., and 5., the HIC recorded shall not exceed 1,000 over two thirds of the </w:t>
      </w:r>
      <w:r w:rsidRPr="004500D4">
        <w:rPr>
          <w:b/>
        </w:rPr>
        <w:t xml:space="preserve">combined </w:t>
      </w:r>
      <w:r w:rsidRPr="004500D4">
        <w:t xml:space="preserve">bonnet top test area </w:t>
      </w:r>
      <w:r w:rsidRPr="004500D4">
        <w:rPr>
          <w:b/>
        </w:rPr>
        <w:t>and the windscreen test area. Furthermore, the HIC recorded shall not exceed 1,000 over two</w:t>
      </w:r>
      <w:r w:rsidR="00F15D15">
        <w:rPr>
          <w:b/>
        </w:rPr>
        <w:t>-</w:t>
      </w:r>
      <w:r w:rsidRPr="004500D4">
        <w:rPr>
          <w:b/>
        </w:rPr>
        <w:t xml:space="preserve">thirds of the bonnet top test area. </w:t>
      </w:r>
      <w:r w:rsidRPr="004500D4">
        <w:t xml:space="preserve">The HIC for the remaining </w:t>
      </w:r>
      <w:r w:rsidRPr="004500D4">
        <w:rPr>
          <w:b/>
        </w:rPr>
        <w:t xml:space="preserve">test </w:t>
      </w:r>
      <w:r w:rsidRPr="004500D4">
        <w:t>areas shall not exceed 1,700 for both headforms.</w:t>
      </w:r>
      <w:r w:rsidRPr="004500D4">
        <w:rPr>
          <w:color w:val="00B050"/>
        </w:rPr>
        <w:t xml:space="preserve"> </w:t>
      </w:r>
      <w:r w:rsidRPr="004500D4">
        <w:rPr>
          <w:b/>
        </w:rPr>
        <w:t xml:space="preserve">Measuring points located in the cowl monitoring area shall not be taken into consideration to assess the performance requirements stated in this </w:t>
      </w:r>
      <w:r w:rsidRPr="004500D4">
        <w:rPr>
          <w:b/>
        </w:rPr>
        <w:lastRenderedPageBreak/>
        <w:t>paragraph. The respective test results are used for monitoring purposes only and do not contribute to the one</w:t>
      </w:r>
      <w:r w:rsidR="00F15D15">
        <w:rPr>
          <w:b/>
        </w:rPr>
        <w:t>-</w:t>
      </w:r>
      <w:r w:rsidRPr="004500D4">
        <w:rPr>
          <w:b/>
        </w:rPr>
        <w:t>third and two</w:t>
      </w:r>
      <w:r w:rsidR="00F15D15">
        <w:rPr>
          <w:b/>
        </w:rPr>
        <w:t>-</w:t>
      </w:r>
      <w:r w:rsidRPr="004500D4">
        <w:rPr>
          <w:b/>
        </w:rPr>
        <w:t>third area calculation</w:t>
      </w:r>
      <w:r w:rsidRPr="004500D4">
        <w:rPr>
          <w:color w:val="00B050"/>
        </w:rPr>
        <w:t>.</w:t>
      </w:r>
    </w:p>
    <w:p w14:paraId="17E6CD70" w14:textId="2D193A93" w:rsidR="004E71A9" w:rsidRPr="004500D4" w:rsidRDefault="004E71A9" w:rsidP="004E71A9">
      <w:pPr>
        <w:spacing w:after="120"/>
        <w:ind w:left="2268" w:right="1134"/>
        <w:jc w:val="both"/>
      </w:pPr>
      <w:r w:rsidRPr="004500D4">
        <w:t>In case there is only a child headform test area, the HIC recorded shall not exceed 1,000 over two thirds of the test area. For the remaining area the HIC shall not exceed 1,700."</w:t>
      </w:r>
    </w:p>
    <w:p w14:paraId="7250D776" w14:textId="77777777" w:rsidR="004E71A9" w:rsidRPr="004500D4" w:rsidRDefault="004E71A9" w:rsidP="004E71A9">
      <w:pPr>
        <w:pStyle w:val="SingleTxtG"/>
      </w:pPr>
      <w:r w:rsidRPr="004500D4">
        <w:rPr>
          <w:i/>
        </w:rPr>
        <w:t>Insert new paragraphs 11.5. to 11.10.</w:t>
      </w:r>
      <w:r w:rsidRPr="004500D4">
        <w:t>, to read:</w:t>
      </w:r>
    </w:p>
    <w:p w14:paraId="2266BB63" w14:textId="3BE8F557" w:rsidR="004E71A9" w:rsidRPr="004500D4" w:rsidRDefault="004E71A9" w:rsidP="004E71A9">
      <w:pPr>
        <w:spacing w:beforeLines="50" w:before="120" w:after="120"/>
        <w:ind w:left="2268" w:right="1134" w:hanging="1134"/>
        <w:jc w:val="both"/>
        <w:rPr>
          <w:b/>
        </w:rPr>
      </w:pPr>
      <w:r w:rsidRPr="004500D4">
        <w:rPr>
          <w:bCs/>
        </w:rPr>
        <w:t>"</w:t>
      </w:r>
      <w:r w:rsidRPr="004500D4">
        <w:rPr>
          <w:b/>
        </w:rPr>
        <w:t>11.5.</w:t>
      </w:r>
      <w:r w:rsidRPr="004500D4">
        <w:rPr>
          <w:b/>
        </w:rPr>
        <w:tab/>
        <w:t>As from the official date of entry into force of the 03 series of amendments, no Contracting Party applying this Regulation shall refuse to grant or refuse to accept type approvals under this Regulation as amended by the 03 series of amendments.</w:t>
      </w:r>
    </w:p>
    <w:p w14:paraId="5A2F7FA2" w14:textId="77777777" w:rsidR="004E71A9" w:rsidRPr="004500D4" w:rsidRDefault="004E71A9" w:rsidP="004E71A9">
      <w:pPr>
        <w:spacing w:after="120"/>
        <w:ind w:left="2268" w:right="1134" w:hanging="1134"/>
        <w:jc w:val="both"/>
        <w:rPr>
          <w:b/>
        </w:rPr>
      </w:pPr>
      <w:r w:rsidRPr="004500D4">
        <w:rPr>
          <w:b/>
        </w:rPr>
        <w:t>11.6.</w:t>
      </w:r>
      <w:r w:rsidRPr="004500D4">
        <w:rPr>
          <w:b/>
        </w:rPr>
        <w:tab/>
        <w:t xml:space="preserve">As </w:t>
      </w:r>
      <w:r w:rsidRPr="004500D4">
        <w:rPr>
          <w:rFonts w:eastAsia="MS Mincho"/>
          <w:b/>
          <w:lang w:eastAsia="ja-JP"/>
        </w:rPr>
        <w:t>from</w:t>
      </w:r>
      <w:r w:rsidRPr="004500D4">
        <w:rPr>
          <w:b/>
        </w:rPr>
        <w:t xml:space="preserve"> 7 July 2024, Contracting Parties applying this Regulation shall not be obliged to accept type approvals to the preceding series of amendments, first issued after 7 July 2024.</w:t>
      </w:r>
    </w:p>
    <w:p w14:paraId="6B404C4E" w14:textId="77777777" w:rsidR="004E71A9" w:rsidRPr="004500D4" w:rsidRDefault="004E71A9" w:rsidP="004E71A9">
      <w:pPr>
        <w:spacing w:after="120"/>
        <w:ind w:left="2268" w:right="1134" w:hanging="1134"/>
        <w:jc w:val="both"/>
        <w:rPr>
          <w:rFonts w:eastAsia="MS Mincho"/>
          <w:b/>
          <w:lang w:eastAsia="ja-JP"/>
        </w:rPr>
      </w:pPr>
      <w:r w:rsidRPr="004500D4">
        <w:rPr>
          <w:b/>
        </w:rPr>
        <w:t>11.7.</w:t>
      </w:r>
      <w:r w:rsidRPr="004500D4">
        <w:rPr>
          <w:b/>
        </w:rPr>
        <w:tab/>
        <w:t>Until 7 July 2026, Contracting Parties applying this Regulation shall accept type approvals to the preceding series of amendments, first issued before 7 July 2024</w:t>
      </w:r>
      <w:r w:rsidRPr="004500D4">
        <w:rPr>
          <w:rFonts w:eastAsiaTheme="minorEastAsia"/>
          <w:b/>
          <w:lang w:eastAsia="ja-JP"/>
        </w:rPr>
        <w:t>.</w:t>
      </w:r>
    </w:p>
    <w:p w14:paraId="1CBC401A" w14:textId="77777777" w:rsidR="004E71A9" w:rsidRPr="004500D4" w:rsidRDefault="004E71A9" w:rsidP="004E71A9">
      <w:pPr>
        <w:spacing w:after="120"/>
        <w:ind w:left="2268" w:right="1134" w:hanging="1134"/>
        <w:jc w:val="both"/>
        <w:rPr>
          <w:b/>
        </w:rPr>
      </w:pPr>
      <w:r w:rsidRPr="004500D4">
        <w:rPr>
          <w:b/>
        </w:rPr>
        <w:t>11.8.</w:t>
      </w:r>
      <w:r w:rsidRPr="004500D4">
        <w:rPr>
          <w:b/>
        </w:rPr>
        <w:tab/>
        <w:t xml:space="preserve">As </w:t>
      </w:r>
      <w:r w:rsidRPr="004500D4">
        <w:rPr>
          <w:rFonts w:eastAsia="MS Mincho"/>
          <w:b/>
          <w:lang w:eastAsia="ja-JP"/>
        </w:rPr>
        <w:t>from</w:t>
      </w:r>
      <w:r w:rsidRPr="004500D4">
        <w:rPr>
          <w:b/>
        </w:rPr>
        <w:t xml:space="preserve"> 7 July 2026, Contracting Parties applying this Regulation shall not be obliged to accept type approvals issued to the preceding series of amendments to this Regulation.</w:t>
      </w:r>
    </w:p>
    <w:p w14:paraId="7CF3F158" w14:textId="77777777" w:rsidR="004E71A9" w:rsidRPr="004500D4" w:rsidRDefault="004E71A9" w:rsidP="004E71A9">
      <w:pPr>
        <w:spacing w:after="120"/>
        <w:ind w:left="2268" w:right="1134" w:hanging="1134"/>
        <w:jc w:val="both"/>
        <w:rPr>
          <w:b/>
        </w:rPr>
      </w:pPr>
      <w:r w:rsidRPr="004500D4">
        <w:rPr>
          <w:b/>
        </w:rPr>
        <w:t>11.9.</w:t>
      </w:r>
      <w:r w:rsidRPr="004500D4">
        <w:rPr>
          <w:b/>
        </w:rPr>
        <w:tab/>
        <w:t xml:space="preserve">As </w:t>
      </w:r>
      <w:r w:rsidRPr="004500D4">
        <w:rPr>
          <w:rFonts w:eastAsia="MS Mincho"/>
          <w:b/>
          <w:lang w:eastAsia="ja-JP"/>
        </w:rPr>
        <w:t>from</w:t>
      </w:r>
      <w:r w:rsidRPr="004500D4">
        <w:rPr>
          <w:b/>
        </w:rPr>
        <w:t xml:space="preserve"> 1 September 2028, Contracting Parties shall no longer permit the specific provisions related to </w:t>
      </w:r>
      <w:r w:rsidRPr="004500D4">
        <w:rPr>
          <w:b/>
          <w:u w:color="000000"/>
        </w:rPr>
        <w:t>atypical windscreen fracture behaviour (</w:t>
      </w:r>
      <w:r w:rsidRPr="004500D4">
        <w:rPr>
          <w:b/>
        </w:rPr>
        <w:t xml:space="preserve">see Annex 5 paragraphs 4.8. and 5.8.) and [WAD 2,100 (see paragraphs 2.1. and 2.45.)] for the purpose of granting type-approval. </w:t>
      </w:r>
    </w:p>
    <w:p w14:paraId="5A2EF287" w14:textId="7318DF92" w:rsidR="004E71A9" w:rsidRPr="004500D4" w:rsidRDefault="004E71A9" w:rsidP="004E71A9">
      <w:pPr>
        <w:spacing w:after="120"/>
        <w:ind w:left="2268" w:right="1134" w:hanging="1134"/>
        <w:jc w:val="both"/>
        <w:rPr>
          <w:b/>
        </w:rPr>
      </w:pPr>
      <w:r w:rsidRPr="004500D4">
        <w:rPr>
          <w:b/>
        </w:rPr>
        <w:t>11.10.</w:t>
      </w:r>
      <w:r w:rsidRPr="004500D4">
        <w:rPr>
          <w:b/>
        </w:rPr>
        <w:tab/>
        <w:t xml:space="preserve">Contracting Parties applying this Regulation shall not refuse to grant type approvals </w:t>
      </w:r>
      <w:r w:rsidRPr="004500D4">
        <w:rPr>
          <w:b/>
          <w:lang w:eastAsia="ja-JP"/>
        </w:rPr>
        <w:t>according to any preceding series of amendments to this Regulation</w:t>
      </w:r>
      <w:r w:rsidRPr="004500D4">
        <w:rPr>
          <w:b/>
        </w:rPr>
        <w:t xml:space="preserve"> or extensions thereof</w:t>
      </w:r>
      <w:r w:rsidRPr="004500D4">
        <w:rPr>
          <w:bCs/>
        </w:rPr>
        <w:t>."</w:t>
      </w:r>
    </w:p>
    <w:p w14:paraId="561AFA4F" w14:textId="0832CF90" w:rsidR="004E71A9" w:rsidRPr="004500D4" w:rsidRDefault="004E71A9" w:rsidP="004E71A9">
      <w:pPr>
        <w:spacing w:after="120"/>
        <w:ind w:left="2268" w:right="1134" w:hanging="1134"/>
        <w:jc w:val="both"/>
        <w:rPr>
          <w:b/>
        </w:rPr>
      </w:pPr>
      <w:r w:rsidRPr="004500D4">
        <w:rPr>
          <w:i/>
        </w:rPr>
        <w:t xml:space="preserve">Annex 1, Part 2, insert new </w:t>
      </w:r>
      <w:r w:rsidR="007D4B5F" w:rsidRPr="004500D4">
        <w:rPr>
          <w:i/>
        </w:rPr>
        <w:t>items</w:t>
      </w:r>
      <w:r w:rsidRPr="004500D4">
        <w:rPr>
          <w:i/>
        </w:rPr>
        <w:t xml:space="preserve"> 16. to 16.3</w:t>
      </w:r>
      <w:r w:rsidRPr="004500D4">
        <w:rPr>
          <w:iCs/>
        </w:rPr>
        <w:t>., to read:</w:t>
      </w:r>
    </w:p>
    <w:p w14:paraId="64019DA9" w14:textId="60401C4F" w:rsidR="004E71A9" w:rsidRPr="004500D4" w:rsidRDefault="004E71A9" w:rsidP="004E71A9">
      <w:pPr>
        <w:widowControl w:val="0"/>
        <w:tabs>
          <w:tab w:val="left" w:pos="1701"/>
          <w:tab w:val="right" w:leader="dot" w:pos="8500"/>
        </w:tabs>
        <w:spacing w:after="120"/>
        <w:ind w:left="1100" w:right="1140"/>
        <w:rPr>
          <w:b/>
          <w:bCs/>
          <w:lang w:eastAsia="en-US"/>
        </w:rPr>
      </w:pPr>
      <w:r w:rsidRPr="004500D4">
        <w:t>"</w:t>
      </w:r>
      <w:r w:rsidRPr="004500D4">
        <w:rPr>
          <w:b/>
          <w:bCs/>
        </w:rPr>
        <w:t>16.</w:t>
      </w:r>
      <w:r w:rsidRPr="004500D4">
        <w:rPr>
          <w:b/>
          <w:bCs/>
        </w:rPr>
        <w:tab/>
        <w:t xml:space="preserve">Monitoring results </w:t>
      </w:r>
    </w:p>
    <w:p w14:paraId="2D0A4AFD" w14:textId="42463AB5" w:rsidR="004E71A9" w:rsidRPr="004500D4" w:rsidRDefault="004E71A9" w:rsidP="004E71A9">
      <w:pPr>
        <w:widowControl w:val="0"/>
        <w:tabs>
          <w:tab w:val="left" w:pos="1701"/>
          <w:tab w:val="right" w:leader="dot" w:pos="8500"/>
        </w:tabs>
        <w:spacing w:after="120"/>
        <w:ind w:left="1100" w:right="1140"/>
        <w:rPr>
          <w:b/>
          <w:bCs/>
        </w:rPr>
      </w:pPr>
      <w:r w:rsidRPr="004500D4">
        <w:rPr>
          <w:b/>
          <w:bCs/>
        </w:rPr>
        <w:t>16.1</w:t>
      </w:r>
      <w:r w:rsidR="00D32BDA">
        <w:rPr>
          <w:b/>
          <w:bCs/>
        </w:rPr>
        <w:t>.</w:t>
      </w:r>
      <w:r w:rsidRPr="004500D4">
        <w:rPr>
          <w:b/>
          <w:bCs/>
        </w:rPr>
        <w:tab/>
        <w:t>Cowl Monitoring area:</w:t>
      </w:r>
    </w:p>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1587"/>
        <w:gridCol w:w="1586"/>
        <w:gridCol w:w="1587"/>
        <w:gridCol w:w="1587"/>
      </w:tblGrid>
      <w:tr w:rsidR="00260133" w:rsidRPr="004500D4" w14:paraId="0F1B9F4C" w14:textId="77777777" w:rsidTr="00260133">
        <w:trPr>
          <w:tblHeader/>
        </w:trPr>
        <w:tc>
          <w:tcPr>
            <w:tcW w:w="1586" w:type="dxa"/>
            <w:tcBorders>
              <w:top w:val="single" w:sz="4" w:space="0" w:color="auto"/>
              <w:bottom w:val="single" w:sz="12" w:space="0" w:color="auto"/>
            </w:tcBorders>
            <w:shd w:val="clear" w:color="auto" w:fill="auto"/>
            <w:vAlign w:val="bottom"/>
            <w:hideMark/>
          </w:tcPr>
          <w:p w14:paraId="7EEBA9A4" w14:textId="77777777" w:rsidR="004E71A9" w:rsidRPr="004500D4" w:rsidRDefault="004E71A9" w:rsidP="00260133">
            <w:pPr>
              <w:suppressAutoHyphens w:val="0"/>
              <w:spacing w:before="80" w:after="80" w:line="200" w:lineRule="exact"/>
              <w:rPr>
                <w:bCs/>
                <w:i/>
                <w:sz w:val="16"/>
              </w:rPr>
            </w:pPr>
            <w:r w:rsidRPr="004500D4">
              <w:rPr>
                <w:bCs/>
                <w:i/>
                <w:sz w:val="16"/>
              </w:rPr>
              <w:t>point</w:t>
            </w:r>
          </w:p>
        </w:tc>
        <w:tc>
          <w:tcPr>
            <w:tcW w:w="1587" w:type="dxa"/>
            <w:tcBorders>
              <w:top w:val="single" w:sz="4" w:space="0" w:color="auto"/>
              <w:bottom w:val="single" w:sz="12" w:space="0" w:color="auto"/>
            </w:tcBorders>
            <w:shd w:val="clear" w:color="auto" w:fill="auto"/>
            <w:vAlign w:val="bottom"/>
            <w:hideMark/>
          </w:tcPr>
          <w:p w14:paraId="31D801B3" w14:textId="77777777" w:rsidR="004E71A9" w:rsidRPr="004500D4" w:rsidRDefault="004E71A9" w:rsidP="00260133">
            <w:pPr>
              <w:suppressAutoHyphens w:val="0"/>
              <w:spacing w:before="80" w:after="80" w:line="200" w:lineRule="exact"/>
              <w:jc w:val="right"/>
              <w:rPr>
                <w:bCs/>
                <w:i/>
                <w:sz w:val="16"/>
              </w:rPr>
            </w:pPr>
            <w:r w:rsidRPr="004500D4">
              <w:rPr>
                <w:bCs/>
                <w:i/>
                <w:sz w:val="16"/>
              </w:rPr>
              <w:t>WAD</w:t>
            </w:r>
          </w:p>
        </w:tc>
        <w:tc>
          <w:tcPr>
            <w:tcW w:w="1586" w:type="dxa"/>
            <w:tcBorders>
              <w:top w:val="single" w:sz="4" w:space="0" w:color="auto"/>
              <w:bottom w:val="single" w:sz="12" w:space="0" w:color="auto"/>
            </w:tcBorders>
            <w:shd w:val="clear" w:color="auto" w:fill="auto"/>
            <w:vAlign w:val="bottom"/>
            <w:hideMark/>
          </w:tcPr>
          <w:p w14:paraId="46C5F317" w14:textId="77777777" w:rsidR="004E71A9" w:rsidRPr="004500D4" w:rsidRDefault="004E71A9" w:rsidP="00260133">
            <w:pPr>
              <w:suppressAutoHyphens w:val="0"/>
              <w:spacing w:before="80" w:after="80" w:line="200" w:lineRule="exact"/>
              <w:jc w:val="right"/>
              <w:rPr>
                <w:bCs/>
                <w:i/>
                <w:sz w:val="16"/>
              </w:rPr>
            </w:pPr>
            <w:r w:rsidRPr="004500D4">
              <w:rPr>
                <w:bCs/>
                <w:i/>
                <w:sz w:val="16"/>
              </w:rPr>
              <w:t>Y-coordinate</w:t>
            </w:r>
            <w:r w:rsidRPr="004500D4">
              <w:rPr>
                <w:rStyle w:val="FootnoteReference"/>
                <w:bCs/>
                <w:i/>
                <w:sz w:val="16"/>
              </w:rPr>
              <w:footnoteReference w:id="5"/>
            </w:r>
          </w:p>
        </w:tc>
        <w:tc>
          <w:tcPr>
            <w:tcW w:w="1587" w:type="dxa"/>
            <w:tcBorders>
              <w:top w:val="single" w:sz="4" w:space="0" w:color="auto"/>
              <w:bottom w:val="single" w:sz="12" w:space="0" w:color="auto"/>
            </w:tcBorders>
            <w:shd w:val="clear" w:color="auto" w:fill="auto"/>
            <w:vAlign w:val="bottom"/>
            <w:hideMark/>
          </w:tcPr>
          <w:p w14:paraId="330B82A3" w14:textId="77777777" w:rsidR="004E71A9" w:rsidRPr="004500D4" w:rsidRDefault="004E71A9" w:rsidP="00260133">
            <w:pPr>
              <w:suppressAutoHyphens w:val="0"/>
              <w:spacing w:before="80" w:after="80" w:line="200" w:lineRule="exact"/>
              <w:jc w:val="right"/>
              <w:rPr>
                <w:bCs/>
                <w:i/>
                <w:sz w:val="16"/>
              </w:rPr>
            </w:pPr>
            <w:r w:rsidRPr="004500D4">
              <w:rPr>
                <w:bCs/>
                <w:i/>
                <w:sz w:val="16"/>
              </w:rPr>
              <w:t>Impact speed</w:t>
            </w:r>
          </w:p>
        </w:tc>
        <w:tc>
          <w:tcPr>
            <w:tcW w:w="1587" w:type="dxa"/>
            <w:tcBorders>
              <w:top w:val="single" w:sz="4" w:space="0" w:color="auto"/>
              <w:bottom w:val="single" w:sz="12" w:space="0" w:color="auto"/>
            </w:tcBorders>
            <w:shd w:val="clear" w:color="auto" w:fill="auto"/>
            <w:vAlign w:val="bottom"/>
            <w:hideMark/>
          </w:tcPr>
          <w:p w14:paraId="5B9F736A" w14:textId="77777777" w:rsidR="004E71A9" w:rsidRPr="004500D4" w:rsidRDefault="004E71A9" w:rsidP="00260133">
            <w:pPr>
              <w:suppressAutoHyphens w:val="0"/>
              <w:spacing w:before="80" w:after="80" w:line="200" w:lineRule="exact"/>
              <w:jc w:val="right"/>
              <w:rPr>
                <w:bCs/>
                <w:i/>
                <w:sz w:val="16"/>
              </w:rPr>
            </w:pPr>
            <w:r w:rsidRPr="004500D4">
              <w:rPr>
                <w:bCs/>
                <w:i/>
                <w:sz w:val="16"/>
              </w:rPr>
              <w:t>HIC value</w:t>
            </w:r>
          </w:p>
        </w:tc>
      </w:tr>
      <w:tr w:rsidR="00260133" w:rsidRPr="004500D4" w14:paraId="6CFA8F70" w14:textId="77777777" w:rsidTr="00260133">
        <w:tc>
          <w:tcPr>
            <w:tcW w:w="1586" w:type="dxa"/>
            <w:tcBorders>
              <w:top w:val="single" w:sz="12" w:space="0" w:color="auto"/>
            </w:tcBorders>
            <w:shd w:val="clear" w:color="auto" w:fill="auto"/>
            <w:hideMark/>
          </w:tcPr>
          <w:p w14:paraId="31BAEEC4" w14:textId="77777777" w:rsidR="004E71A9" w:rsidRPr="004500D4" w:rsidRDefault="004E71A9" w:rsidP="00260133">
            <w:pPr>
              <w:suppressAutoHyphens w:val="0"/>
              <w:spacing w:before="40" w:after="40" w:line="220" w:lineRule="exact"/>
              <w:rPr>
                <w:b/>
                <w:bCs/>
                <w:sz w:val="18"/>
              </w:rPr>
            </w:pPr>
            <w:r w:rsidRPr="004500D4">
              <w:rPr>
                <w:b/>
                <w:bCs/>
                <w:sz w:val="18"/>
              </w:rPr>
              <w:t>1.</w:t>
            </w:r>
          </w:p>
        </w:tc>
        <w:tc>
          <w:tcPr>
            <w:tcW w:w="1587" w:type="dxa"/>
            <w:tcBorders>
              <w:top w:val="single" w:sz="12" w:space="0" w:color="auto"/>
            </w:tcBorders>
            <w:shd w:val="clear" w:color="auto" w:fill="auto"/>
            <w:vAlign w:val="bottom"/>
          </w:tcPr>
          <w:p w14:paraId="6B66ABF8" w14:textId="77777777" w:rsidR="004E71A9" w:rsidRPr="004500D4" w:rsidRDefault="004E71A9" w:rsidP="00260133">
            <w:pPr>
              <w:suppressAutoHyphens w:val="0"/>
              <w:spacing w:before="40" w:after="40" w:line="220" w:lineRule="exact"/>
              <w:jc w:val="right"/>
              <w:rPr>
                <w:b/>
                <w:bCs/>
                <w:sz w:val="18"/>
              </w:rPr>
            </w:pPr>
          </w:p>
        </w:tc>
        <w:tc>
          <w:tcPr>
            <w:tcW w:w="1586" w:type="dxa"/>
            <w:tcBorders>
              <w:top w:val="single" w:sz="12" w:space="0" w:color="auto"/>
            </w:tcBorders>
            <w:shd w:val="clear" w:color="auto" w:fill="auto"/>
            <w:vAlign w:val="bottom"/>
          </w:tcPr>
          <w:p w14:paraId="5CE02FF8" w14:textId="77777777" w:rsidR="004E71A9" w:rsidRPr="004500D4" w:rsidRDefault="004E71A9" w:rsidP="00260133">
            <w:pPr>
              <w:suppressAutoHyphens w:val="0"/>
              <w:spacing w:before="40" w:after="40" w:line="220" w:lineRule="exact"/>
              <w:jc w:val="right"/>
              <w:rPr>
                <w:b/>
                <w:bCs/>
                <w:sz w:val="18"/>
              </w:rPr>
            </w:pPr>
          </w:p>
        </w:tc>
        <w:tc>
          <w:tcPr>
            <w:tcW w:w="1587" w:type="dxa"/>
            <w:tcBorders>
              <w:top w:val="single" w:sz="12" w:space="0" w:color="auto"/>
            </w:tcBorders>
            <w:shd w:val="clear" w:color="auto" w:fill="auto"/>
            <w:vAlign w:val="bottom"/>
          </w:tcPr>
          <w:p w14:paraId="1F9D2612" w14:textId="77777777" w:rsidR="004E71A9" w:rsidRPr="004500D4" w:rsidRDefault="004E71A9" w:rsidP="00260133">
            <w:pPr>
              <w:suppressAutoHyphens w:val="0"/>
              <w:spacing w:before="40" w:after="40" w:line="220" w:lineRule="exact"/>
              <w:jc w:val="right"/>
              <w:rPr>
                <w:b/>
                <w:bCs/>
                <w:sz w:val="18"/>
              </w:rPr>
            </w:pPr>
          </w:p>
        </w:tc>
        <w:tc>
          <w:tcPr>
            <w:tcW w:w="1587" w:type="dxa"/>
            <w:tcBorders>
              <w:top w:val="single" w:sz="12" w:space="0" w:color="auto"/>
            </w:tcBorders>
            <w:shd w:val="clear" w:color="auto" w:fill="auto"/>
            <w:vAlign w:val="bottom"/>
          </w:tcPr>
          <w:p w14:paraId="6ACA465F" w14:textId="77777777" w:rsidR="004E71A9" w:rsidRPr="004500D4" w:rsidRDefault="004E71A9" w:rsidP="00260133">
            <w:pPr>
              <w:suppressAutoHyphens w:val="0"/>
              <w:spacing w:before="40" w:after="40" w:line="220" w:lineRule="exact"/>
              <w:jc w:val="right"/>
              <w:rPr>
                <w:b/>
                <w:bCs/>
                <w:sz w:val="18"/>
              </w:rPr>
            </w:pPr>
          </w:p>
        </w:tc>
      </w:tr>
      <w:tr w:rsidR="00260133" w:rsidRPr="004500D4" w14:paraId="4D9B462B" w14:textId="77777777" w:rsidTr="00260133">
        <w:tc>
          <w:tcPr>
            <w:tcW w:w="1586" w:type="dxa"/>
            <w:shd w:val="clear" w:color="auto" w:fill="auto"/>
            <w:hideMark/>
          </w:tcPr>
          <w:p w14:paraId="635DAF4D" w14:textId="77777777" w:rsidR="004E71A9" w:rsidRPr="004500D4" w:rsidRDefault="004E71A9" w:rsidP="00260133">
            <w:pPr>
              <w:suppressAutoHyphens w:val="0"/>
              <w:spacing w:before="40" w:after="40" w:line="220" w:lineRule="exact"/>
              <w:rPr>
                <w:b/>
                <w:bCs/>
                <w:sz w:val="18"/>
              </w:rPr>
            </w:pPr>
            <w:r w:rsidRPr="004500D4">
              <w:rPr>
                <w:b/>
                <w:bCs/>
                <w:sz w:val="18"/>
              </w:rPr>
              <w:t>2.</w:t>
            </w:r>
          </w:p>
        </w:tc>
        <w:tc>
          <w:tcPr>
            <w:tcW w:w="1587" w:type="dxa"/>
            <w:shd w:val="clear" w:color="auto" w:fill="auto"/>
            <w:vAlign w:val="bottom"/>
          </w:tcPr>
          <w:p w14:paraId="1C1B014E"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530DC921"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52E9CEE1"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6EB26A0C" w14:textId="77777777" w:rsidR="004E71A9" w:rsidRPr="004500D4" w:rsidRDefault="004E71A9" w:rsidP="00260133">
            <w:pPr>
              <w:suppressAutoHyphens w:val="0"/>
              <w:spacing w:before="40" w:after="40" w:line="220" w:lineRule="exact"/>
              <w:jc w:val="right"/>
              <w:rPr>
                <w:b/>
                <w:bCs/>
                <w:sz w:val="18"/>
              </w:rPr>
            </w:pPr>
          </w:p>
        </w:tc>
      </w:tr>
      <w:tr w:rsidR="00260133" w:rsidRPr="004500D4" w14:paraId="6FF4E5EA" w14:textId="77777777" w:rsidTr="00260133">
        <w:tc>
          <w:tcPr>
            <w:tcW w:w="1586" w:type="dxa"/>
            <w:tcBorders>
              <w:bottom w:val="single" w:sz="12" w:space="0" w:color="auto"/>
            </w:tcBorders>
            <w:shd w:val="clear" w:color="auto" w:fill="auto"/>
            <w:hideMark/>
          </w:tcPr>
          <w:p w14:paraId="58DFCA8B"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tcBorders>
              <w:bottom w:val="single" w:sz="12" w:space="0" w:color="auto"/>
            </w:tcBorders>
            <w:shd w:val="clear" w:color="auto" w:fill="auto"/>
            <w:vAlign w:val="bottom"/>
          </w:tcPr>
          <w:p w14:paraId="1C6A180E" w14:textId="77777777" w:rsidR="004E71A9" w:rsidRPr="004500D4" w:rsidRDefault="004E71A9" w:rsidP="00260133">
            <w:pPr>
              <w:suppressAutoHyphens w:val="0"/>
              <w:spacing w:before="40" w:after="40" w:line="220" w:lineRule="exact"/>
              <w:jc w:val="right"/>
              <w:rPr>
                <w:b/>
                <w:bCs/>
                <w:sz w:val="18"/>
              </w:rPr>
            </w:pPr>
          </w:p>
        </w:tc>
        <w:tc>
          <w:tcPr>
            <w:tcW w:w="1586" w:type="dxa"/>
            <w:tcBorders>
              <w:bottom w:val="single" w:sz="12" w:space="0" w:color="auto"/>
            </w:tcBorders>
            <w:shd w:val="clear" w:color="auto" w:fill="auto"/>
            <w:vAlign w:val="bottom"/>
          </w:tcPr>
          <w:p w14:paraId="2D299798" w14:textId="77777777" w:rsidR="004E71A9" w:rsidRPr="004500D4" w:rsidRDefault="004E71A9" w:rsidP="00260133">
            <w:pPr>
              <w:suppressAutoHyphens w:val="0"/>
              <w:spacing w:before="40" w:after="40" w:line="220" w:lineRule="exact"/>
              <w:jc w:val="right"/>
              <w:rPr>
                <w:b/>
                <w:bCs/>
                <w:sz w:val="18"/>
              </w:rPr>
            </w:pPr>
          </w:p>
        </w:tc>
        <w:tc>
          <w:tcPr>
            <w:tcW w:w="1587" w:type="dxa"/>
            <w:tcBorders>
              <w:bottom w:val="single" w:sz="12" w:space="0" w:color="auto"/>
            </w:tcBorders>
            <w:shd w:val="clear" w:color="auto" w:fill="auto"/>
            <w:vAlign w:val="bottom"/>
          </w:tcPr>
          <w:p w14:paraId="2FA97923" w14:textId="77777777" w:rsidR="004E71A9" w:rsidRPr="004500D4" w:rsidRDefault="004E71A9" w:rsidP="00260133">
            <w:pPr>
              <w:suppressAutoHyphens w:val="0"/>
              <w:spacing w:before="40" w:after="40" w:line="220" w:lineRule="exact"/>
              <w:jc w:val="right"/>
              <w:rPr>
                <w:b/>
                <w:bCs/>
                <w:sz w:val="18"/>
              </w:rPr>
            </w:pPr>
          </w:p>
        </w:tc>
        <w:tc>
          <w:tcPr>
            <w:tcW w:w="1587" w:type="dxa"/>
            <w:tcBorders>
              <w:bottom w:val="single" w:sz="12" w:space="0" w:color="auto"/>
            </w:tcBorders>
            <w:shd w:val="clear" w:color="auto" w:fill="auto"/>
            <w:vAlign w:val="bottom"/>
          </w:tcPr>
          <w:p w14:paraId="1399022B" w14:textId="77777777" w:rsidR="004E71A9" w:rsidRPr="004500D4" w:rsidRDefault="004E71A9" w:rsidP="00260133">
            <w:pPr>
              <w:suppressAutoHyphens w:val="0"/>
              <w:spacing w:before="40" w:after="40" w:line="220" w:lineRule="exact"/>
              <w:jc w:val="right"/>
              <w:rPr>
                <w:b/>
                <w:bCs/>
                <w:sz w:val="18"/>
              </w:rPr>
            </w:pPr>
          </w:p>
        </w:tc>
      </w:tr>
    </w:tbl>
    <w:p w14:paraId="212527FD" w14:textId="77777777" w:rsidR="004E71A9" w:rsidRPr="004500D4" w:rsidRDefault="004E71A9" w:rsidP="004E71A9">
      <w:pPr>
        <w:widowControl w:val="0"/>
        <w:tabs>
          <w:tab w:val="left" w:pos="1701"/>
          <w:tab w:val="right" w:leader="dot" w:pos="8500"/>
        </w:tabs>
        <w:spacing w:after="120"/>
        <w:ind w:left="1100" w:right="1140"/>
        <w:rPr>
          <w:b/>
          <w:bCs/>
          <w:lang w:eastAsia="en-US"/>
        </w:rPr>
      </w:pPr>
    </w:p>
    <w:p w14:paraId="2E9CFFD6" w14:textId="77777777" w:rsidR="00260133" w:rsidRPr="004500D4" w:rsidRDefault="00260133">
      <w:pPr>
        <w:suppressAutoHyphens w:val="0"/>
        <w:spacing w:line="240" w:lineRule="auto"/>
        <w:rPr>
          <w:b/>
          <w:bCs/>
        </w:rPr>
      </w:pPr>
      <w:r w:rsidRPr="004500D4">
        <w:rPr>
          <w:b/>
          <w:bCs/>
        </w:rPr>
        <w:br w:type="page"/>
      </w:r>
    </w:p>
    <w:p w14:paraId="64647F6E" w14:textId="1B470E71" w:rsidR="004E71A9" w:rsidRPr="004500D4" w:rsidRDefault="004E71A9" w:rsidP="007F0175">
      <w:pPr>
        <w:widowControl w:val="0"/>
        <w:tabs>
          <w:tab w:val="left" w:pos="1701"/>
        </w:tabs>
        <w:spacing w:after="120"/>
        <w:ind w:left="1735" w:right="1134" w:hanging="601"/>
        <w:rPr>
          <w:b/>
          <w:bCs/>
        </w:rPr>
      </w:pPr>
      <w:r w:rsidRPr="004500D4">
        <w:rPr>
          <w:b/>
          <w:bCs/>
        </w:rPr>
        <w:lastRenderedPageBreak/>
        <w:t>16.2</w:t>
      </w:r>
      <w:r w:rsidR="00D32BDA">
        <w:rPr>
          <w:b/>
          <w:bCs/>
        </w:rPr>
        <w:t>.</w:t>
      </w:r>
      <w:r w:rsidRPr="004500D4">
        <w:rPr>
          <w:b/>
          <w:bCs/>
        </w:rPr>
        <w:tab/>
        <w:t>Area incorporating pedestrian or bicyclist head injury mitigation features</w:t>
      </w:r>
      <w:r w:rsidR="007F0175">
        <w:rPr>
          <w:b/>
          <w:bCs/>
        </w:rPr>
        <w:t>,</w:t>
      </w:r>
      <w:r w:rsidRPr="004500D4">
        <w:rPr>
          <w:b/>
          <w:bCs/>
        </w:rPr>
        <w:t xml:space="preserve"> e.g. external airbag, deployable structure, energy absorption elements (if applicable)</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475"/>
        <w:gridCol w:w="1473"/>
        <w:gridCol w:w="1474"/>
        <w:gridCol w:w="1474"/>
      </w:tblGrid>
      <w:tr w:rsidR="00260133" w:rsidRPr="004500D4" w14:paraId="2E139AE8" w14:textId="77777777" w:rsidTr="00260133">
        <w:trPr>
          <w:tblHeader/>
        </w:trPr>
        <w:tc>
          <w:tcPr>
            <w:tcW w:w="1586" w:type="dxa"/>
            <w:tcBorders>
              <w:top w:val="single" w:sz="4" w:space="0" w:color="auto"/>
              <w:bottom w:val="single" w:sz="12" w:space="0" w:color="auto"/>
            </w:tcBorders>
            <w:shd w:val="clear" w:color="auto" w:fill="auto"/>
            <w:vAlign w:val="bottom"/>
            <w:hideMark/>
          </w:tcPr>
          <w:p w14:paraId="0DFF816A" w14:textId="77777777" w:rsidR="004E71A9" w:rsidRPr="004500D4" w:rsidRDefault="004E71A9" w:rsidP="00260133">
            <w:pPr>
              <w:suppressAutoHyphens w:val="0"/>
              <w:spacing w:before="80" w:after="80" w:line="200" w:lineRule="exact"/>
              <w:rPr>
                <w:bCs/>
                <w:i/>
                <w:sz w:val="16"/>
              </w:rPr>
            </w:pPr>
            <w:r w:rsidRPr="004500D4">
              <w:rPr>
                <w:bCs/>
                <w:i/>
                <w:sz w:val="16"/>
              </w:rPr>
              <w:t>A-pillar</w:t>
            </w:r>
          </w:p>
        </w:tc>
        <w:tc>
          <w:tcPr>
            <w:tcW w:w="1587" w:type="dxa"/>
            <w:tcBorders>
              <w:top w:val="single" w:sz="4" w:space="0" w:color="auto"/>
              <w:bottom w:val="single" w:sz="12" w:space="0" w:color="auto"/>
            </w:tcBorders>
            <w:shd w:val="clear" w:color="auto" w:fill="auto"/>
            <w:vAlign w:val="bottom"/>
            <w:hideMark/>
          </w:tcPr>
          <w:p w14:paraId="1E147994" w14:textId="77777777" w:rsidR="004E71A9" w:rsidRPr="004500D4" w:rsidRDefault="004E71A9" w:rsidP="00260133">
            <w:pPr>
              <w:suppressAutoHyphens w:val="0"/>
              <w:spacing w:before="80" w:after="80" w:line="200" w:lineRule="exact"/>
              <w:jc w:val="right"/>
              <w:rPr>
                <w:bCs/>
                <w:i/>
                <w:sz w:val="16"/>
              </w:rPr>
            </w:pPr>
            <w:r w:rsidRPr="004500D4">
              <w:rPr>
                <w:bCs/>
                <w:i/>
                <w:sz w:val="16"/>
              </w:rPr>
              <w:t>WAD</w:t>
            </w:r>
          </w:p>
        </w:tc>
        <w:tc>
          <w:tcPr>
            <w:tcW w:w="1586" w:type="dxa"/>
            <w:tcBorders>
              <w:top w:val="single" w:sz="4" w:space="0" w:color="auto"/>
              <w:bottom w:val="single" w:sz="12" w:space="0" w:color="auto"/>
            </w:tcBorders>
            <w:shd w:val="clear" w:color="auto" w:fill="auto"/>
            <w:vAlign w:val="bottom"/>
            <w:hideMark/>
          </w:tcPr>
          <w:p w14:paraId="1288F3D7" w14:textId="77777777" w:rsidR="004E71A9" w:rsidRPr="004500D4" w:rsidRDefault="004E71A9" w:rsidP="00260133">
            <w:pPr>
              <w:suppressAutoHyphens w:val="0"/>
              <w:spacing w:before="80" w:after="80" w:line="200" w:lineRule="exact"/>
              <w:jc w:val="right"/>
              <w:rPr>
                <w:bCs/>
                <w:i/>
                <w:sz w:val="16"/>
              </w:rPr>
            </w:pPr>
            <w:r w:rsidRPr="004500D4">
              <w:rPr>
                <w:bCs/>
                <w:i/>
                <w:sz w:val="16"/>
              </w:rPr>
              <w:t>Y-coordinate</w:t>
            </w:r>
          </w:p>
        </w:tc>
        <w:tc>
          <w:tcPr>
            <w:tcW w:w="1587" w:type="dxa"/>
            <w:tcBorders>
              <w:top w:val="single" w:sz="4" w:space="0" w:color="auto"/>
              <w:bottom w:val="single" w:sz="12" w:space="0" w:color="auto"/>
            </w:tcBorders>
            <w:shd w:val="clear" w:color="auto" w:fill="auto"/>
            <w:vAlign w:val="bottom"/>
            <w:hideMark/>
          </w:tcPr>
          <w:p w14:paraId="2AFF471D" w14:textId="77777777" w:rsidR="004E71A9" w:rsidRPr="004500D4" w:rsidRDefault="004E71A9" w:rsidP="00260133">
            <w:pPr>
              <w:suppressAutoHyphens w:val="0"/>
              <w:spacing w:before="80" w:after="80" w:line="200" w:lineRule="exact"/>
              <w:jc w:val="right"/>
              <w:rPr>
                <w:bCs/>
                <w:i/>
                <w:sz w:val="16"/>
              </w:rPr>
            </w:pPr>
            <w:r w:rsidRPr="004500D4">
              <w:rPr>
                <w:bCs/>
                <w:i/>
                <w:sz w:val="16"/>
              </w:rPr>
              <w:t>Impact speed</w:t>
            </w:r>
          </w:p>
        </w:tc>
        <w:tc>
          <w:tcPr>
            <w:tcW w:w="1587" w:type="dxa"/>
            <w:tcBorders>
              <w:top w:val="single" w:sz="4" w:space="0" w:color="auto"/>
              <w:bottom w:val="single" w:sz="12" w:space="0" w:color="auto"/>
            </w:tcBorders>
            <w:shd w:val="clear" w:color="auto" w:fill="auto"/>
            <w:vAlign w:val="bottom"/>
            <w:hideMark/>
          </w:tcPr>
          <w:p w14:paraId="1E57EC5E" w14:textId="77777777" w:rsidR="004E71A9" w:rsidRPr="004500D4" w:rsidRDefault="004E71A9" w:rsidP="00260133">
            <w:pPr>
              <w:suppressAutoHyphens w:val="0"/>
              <w:spacing w:before="80" w:after="80" w:line="200" w:lineRule="exact"/>
              <w:jc w:val="right"/>
              <w:rPr>
                <w:bCs/>
                <w:i/>
                <w:sz w:val="16"/>
              </w:rPr>
            </w:pPr>
            <w:r w:rsidRPr="004500D4">
              <w:rPr>
                <w:bCs/>
                <w:i/>
                <w:sz w:val="16"/>
              </w:rPr>
              <w:t>HIC value</w:t>
            </w:r>
          </w:p>
        </w:tc>
      </w:tr>
      <w:tr w:rsidR="00260133" w:rsidRPr="004500D4" w14:paraId="7F7240E2" w14:textId="77777777" w:rsidTr="00260133">
        <w:tc>
          <w:tcPr>
            <w:tcW w:w="1586" w:type="dxa"/>
            <w:tcBorders>
              <w:top w:val="single" w:sz="12" w:space="0" w:color="auto"/>
            </w:tcBorders>
            <w:shd w:val="clear" w:color="auto" w:fill="auto"/>
            <w:hideMark/>
          </w:tcPr>
          <w:p w14:paraId="412A7812" w14:textId="77777777" w:rsidR="004E71A9" w:rsidRPr="004500D4" w:rsidRDefault="004E71A9" w:rsidP="00260133">
            <w:pPr>
              <w:suppressAutoHyphens w:val="0"/>
              <w:spacing w:before="40" w:after="40" w:line="220" w:lineRule="exact"/>
              <w:rPr>
                <w:b/>
                <w:bCs/>
                <w:sz w:val="18"/>
              </w:rPr>
            </w:pPr>
            <w:r w:rsidRPr="004500D4">
              <w:rPr>
                <w:b/>
                <w:bCs/>
                <w:sz w:val="18"/>
              </w:rPr>
              <w:t>1.</w:t>
            </w:r>
          </w:p>
        </w:tc>
        <w:tc>
          <w:tcPr>
            <w:tcW w:w="1587" w:type="dxa"/>
            <w:tcBorders>
              <w:top w:val="single" w:sz="12" w:space="0" w:color="auto"/>
            </w:tcBorders>
            <w:shd w:val="clear" w:color="auto" w:fill="auto"/>
            <w:vAlign w:val="bottom"/>
          </w:tcPr>
          <w:p w14:paraId="154D1073" w14:textId="77777777" w:rsidR="004E71A9" w:rsidRPr="004500D4" w:rsidRDefault="004E71A9" w:rsidP="00260133">
            <w:pPr>
              <w:suppressAutoHyphens w:val="0"/>
              <w:spacing w:before="40" w:after="40" w:line="220" w:lineRule="exact"/>
              <w:jc w:val="right"/>
              <w:rPr>
                <w:b/>
                <w:bCs/>
                <w:sz w:val="18"/>
              </w:rPr>
            </w:pPr>
          </w:p>
        </w:tc>
        <w:tc>
          <w:tcPr>
            <w:tcW w:w="1586" w:type="dxa"/>
            <w:tcBorders>
              <w:top w:val="single" w:sz="12" w:space="0" w:color="auto"/>
            </w:tcBorders>
            <w:shd w:val="clear" w:color="auto" w:fill="auto"/>
            <w:vAlign w:val="bottom"/>
          </w:tcPr>
          <w:p w14:paraId="487CD150" w14:textId="77777777" w:rsidR="004E71A9" w:rsidRPr="004500D4" w:rsidRDefault="004E71A9" w:rsidP="00260133">
            <w:pPr>
              <w:suppressAutoHyphens w:val="0"/>
              <w:spacing w:before="40" w:after="40" w:line="220" w:lineRule="exact"/>
              <w:jc w:val="right"/>
              <w:rPr>
                <w:b/>
                <w:bCs/>
                <w:sz w:val="18"/>
              </w:rPr>
            </w:pPr>
          </w:p>
        </w:tc>
        <w:tc>
          <w:tcPr>
            <w:tcW w:w="1587" w:type="dxa"/>
            <w:tcBorders>
              <w:top w:val="single" w:sz="12" w:space="0" w:color="auto"/>
            </w:tcBorders>
            <w:shd w:val="clear" w:color="auto" w:fill="auto"/>
            <w:vAlign w:val="bottom"/>
          </w:tcPr>
          <w:p w14:paraId="7776B31D" w14:textId="77777777" w:rsidR="004E71A9" w:rsidRPr="004500D4" w:rsidRDefault="004E71A9" w:rsidP="00260133">
            <w:pPr>
              <w:suppressAutoHyphens w:val="0"/>
              <w:spacing w:before="40" w:after="40" w:line="220" w:lineRule="exact"/>
              <w:jc w:val="right"/>
              <w:rPr>
                <w:b/>
                <w:bCs/>
                <w:sz w:val="18"/>
              </w:rPr>
            </w:pPr>
          </w:p>
        </w:tc>
        <w:tc>
          <w:tcPr>
            <w:tcW w:w="1587" w:type="dxa"/>
            <w:tcBorders>
              <w:top w:val="single" w:sz="12" w:space="0" w:color="auto"/>
            </w:tcBorders>
            <w:shd w:val="clear" w:color="auto" w:fill="auto"/>
            <w:vAlign w:val="bottom"/>
          </w:tcPr>
          <w:p w14:paraId="1FC26390" w14:textId="77777777" w:rsidR="004E71A9" w:rsidRPr="004500D4" w:rsidRDefault="004E71A9" w:rsidP="00260133">
            <w:pPr>
              <w:suppressAutoHyphens w:val="0"/>
              <w:spacing w:before="40" w:after="40" w:line="220" w:lineRule="exact"/>
              <w:jc w:val="right"/>
              <w:rPr>
                <w:b/>
                <w:bCs/>
                <w:sz w:val="18"/>
              </w:rPr>
            </w:pPr>
          </w:p>
        </w:tc>
      </w:tr>
      <w:tr w:rsidR="00260133" w:rsidRPr="004500D4" w14:paraId="0B77FD0A" w14:textId="77777777" w:rsidTr="00260133">
        <w:tc>
          <w:tcPr>
            <w:tcW w:w="1586" w:type="dxa"/>
            <w:shd w:val="clear" w:color="auto" w:fill="auto"/>
            <w:hideMark/>
          </w:tcPr>
          <w:p w14:paraId="5D30196F" w14:textId="77777777" w:rsidR="004E71A9" w:rsidRPr="004500D4" w:rsidRDefault="004E71A9" w:rsidP="00260133">
            <w:pPr>
              <w:suppressAutoHyphens w:val="0"/>
              <w:spacing w:before="40" w:after="40" w:line="220" w:lineRule="exact"/>
              <w:rPr>
                <w:b/>
                <w:bCs/>
                <w:sz w:val="18"/>
              </w:rPr>
            </w:pPr>
            <w:r w:rsidRPr="004500D4">
              <w:rPr>
                <w:b/>
                <w:bCs/>
                <w:sz w:val="18"/>
              </w:rPr>
              <w:t>2.</w:t>
            </w:r>
          </w:p>
        </w:tc>
        <w:tc>
          <w:tcPr>
            <w:tcW w:w="1587" w:type="dxa"/>
            <w:shd w:val="clear" w:color="auto" w:fill="auto"/>
            <w:vAlign w:val="bottom"/>
          </w:tcPr>
          <w:p w14:paraId="194C9091"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2952CAF7"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684139B9"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29505FCD" w14:textId="77777777" w:rsidR="004E71A9" w:rsidRPr="004500D4" w:rsidRDefault="004E71A9" w:rsidP="00260133">
            <w:pPr>
              <w:suppressAutoHyphens w:val="0"/>
              <w:spacing w:before="40" w:after="40" w:line="220" w:lineRule="exact"/>
              <w:jc w:val="right"/>
              <w:rPr>
                <w:b/>
                <w:bCs/>
                <w:sz w:val="18"/>
              </w:rPr>
            </w:pPr>
          </w:p>
        </w:tc>
      </w:tr>
      <w:tr w:rsidR="00260133" w:rsidRPr="004500D4" w14:paraId="682AEB03" w14:textId="77777777" w:rsidTr="00260133">
        <w:tc>
          <w:tcPr>
            <w:tcW w:w="1586" w:type="dxa"/>
            <w:shd w:val="clear" w:color="auto" w:fill="auto"/>
            <w:hideMark/>
          </w:tcPr>
          <w:p w14:paraId="153319A4"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shd w:val="clear" w:color="auto" w:fill="auto"/>
            <w:vAlign w:val="bottom"/>
          </w:tcPr>
          <w:p w14:paraId="646B541C"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0486A478"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3C605175"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5621C261" w14:textId="77777777" w:rsidR="004E71A9" w:rsidRPr="004500D4" w:rsidRDefault="004E71A9" w:rsidP="00260133">
            <w:pPr>
              <w:suppressAutoHyphens w:val="0"/>
              <w:spacing w:before="40" w:after="40" w:line="220" w:lineRule="exact"/>
              <w:jc w:val="right"/>
              <w:rPr>
                <w:b/>
                <w:bCs/>
                <w:sz w:val="18"/>
              </w:rPr>
            </w:pPr>
          </w:p>
        </w:tc>
      </w:tr>
      <w:tr w:rsidR="00260133" w:rsidRPr="004500D4" w14:paraId="68A972B4" w14:textId="77777777" w:rsidTr="00260133">
        <w:tc>
          <w:tcPr>
            <w:tcW w:w="1586" w:type="dxa"/>
            <w:shd w:val="clear" w:color="auto" w:fill="auto"/>
            <w:hideMark/>
          </w:tcPr>
          <w:p w14:paraId="5186C1E2" w14:textId="77777777" w:rsidR="004E71A9" w:rsidRPr="004500D4" w:rsidRDefault="004E71A9" w:rsidP="00260133">
            <w:pPr>
              <w:suppressAutoHyphens w:val="0"/>
              <w:spacing w:before="40" w:after="40" w:line="220" w:lineRule="exact"/>
              <w:rPr>
                <w:b/>
                <w:bCs/>
                <w:sz w:val="18"/>
              </w:rPr>
            </w:pPr>
            <w:r w:rsidRPr="004500D4">
              <w:rPr>
                <w:b/>
                <w:bCs/>
                <w:sz w:val="18"/>
              </w:rPr>
              <w:t>Windscreen header</w:t>
            </w:r>
          </w:p>
        </w:tc>
        <w:tc>
          <w:tcPr>
            <w:tcW w:w="6347" w:type="dxa"/>
            <w:gridSpan w:val="4"/>
            <w:shd w:val="clear" w:color="auto" w:fill="auto"/>
            <w:vAlign w:val="bottom"/>
          </w:tcPr>
          <w:p w14:paraId="39C8D53E" w14:textId="77777777" w:rsidR="004E71A9" w:rsidRPr="004500D4" w:rsidRDefault="004E71A9" w:rsidP="00260133">
            <w:pPr>
              <w:suppressAutoHyphens w:val="0"/>
              <w:spacing w:before="40" w:after="40" w:line="220" w:lineRule="exact"/>
              <w:jc w:val="right"/>
              <w:rPr>
                <w:b/>
                <w:bCs/>
                <w:sz w:val="18"/>
              </w:rPr>
            </w:pPr>
          </w:p>
        </w:tc>
      </w:tr>
      <w:tr w:rsidR="00260133" w:rsidRPr="004500D4" w14:paraId="4EDEB7DE" w14:textId="77777777" w:rsidTr="00260133">
        <w:tc>
          <w:tcPr>
            <w:tcW w:w="1586" w:type="dxa"/>
            <w:shd w:val="clear" w:color="auto" w:fill="auto"/>
            <w:hideMark/>
          </w:tcPr>
          <w:p w14:paraId="47A252A9" w14:textId="77777777" w:rsidR="004E71A9" w:rsidRPr="004500D4" w:rsidRDefault="004E71A9" w:rsidP="00260133">
            <w:pPr>
              <w:suppressAutoHyphens w:val="0"/>
              <w:spacing w:before="40" w:after="40" w:line="220" w:lineRule="exact"/>
              <w:rPr>
                <w:b/>
                <w:bCs/>
                <w:sz w:val="18"/>
              </w:rPr>
            </w:pPr>
            <w:r w:rsidRPr="004500D4">
              <w:rPr>
                <w:b/>
                <w:bCs/>
                <w:sz w:val="18"/>
              </w:rPr>
              <w:t>(3.)</w:t>
            </w:r>
          </w:p>
        </w:tc>
        <w:tc>
          <w:tcPr>
            <w:tcW w:w="1587" w:type="dxa"/>
            <w:shd w:val="clear" w:color="auto" w:fill="auto"/>
            <w:vAlign w:val="bottom"/>
          </w:tcPr>
          <w:p w14:paraId="3949ED1E"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641A7BED"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67111FBE"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16FBA467" w14:textId="77777777" w:rsidR="004E71A9" w:rsidRPr="004500D4" w:rsidRDefault="004E71A9" w:rsidP="00260133">
            <w:pPr>
              <w:suppressAutoHyphens w:val="0"/>
              <w:spacing w:before="40" w:after="40" w:line="220" w:lineRule="exact"/>
              <w:jc w:val="right"/>
              <w:rPr>
                <w:b/>
                <w:bCs/>
                <w:sz w:val="18"/>
              </w:rPr>
            </w:pPr>
          </w:p>
        </w:tc>
      </w:tr>
      <w:tr w:rsidR="00260133" w:rsidRPr="004500D4" w14:paraId="1533B69F" w14:textId="77777777" w:rsidTr="00260133">
        <w:tc>
          <w:tcPr>
            <w:tcW w:w="1586" w:type="dxa"/>
            <w:shd w:val="clear" w:color="auto" w:fill="auto"/>
            <w:hideMark/>
          </w:tcPr>
          <w:p w14:paraId="51409F2E" w14:textId="77777777" w:rsidR="004E71A9" w:rsidRPr="004500D4" w:rsidRDefault="004E71A9" w:rsidP="00260133">
            <w:pPr>
              <w:suppressAutoHyphens w:val="0"/>
              <w:spacing w:before="40" w:after="40" w:line="220" w:lineRule="exact"/>
              <w:rPr>
                <w:b/>
                <w:bCs/>
                <w:sz w:val="18"/>
              </w:rPr>
            </w:pPr>
            <w:r w:rsidRPr="004500D4">
              <w:rPr>
                <w:b/>
                <w:bCs/>
                <w:sz w:val="18"/>
              </w:rPr>
              <w:t>(4.)</w:t>
            </w:r>
          </w:p>
        </w:tc>
        <w:tc>
          <w:tcPr>
            <w:tcW w:w="1587" w:type="dxa"/>
            <w:shd w:val="clear" w:color="auto" w:fill="auto"/>
            <w:vAlign w:val="bottom"/>
          </w:tcPr>
          <w:p w14:paraId="37279841"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0508C8B6"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3D08B274"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11B2D8CC" w14:textId="77777777" w:rsidR="004E71A9" w:rsidRPr="004500D4" w:rsidRDefault="004E71A9" w:rsidP="00260133">
            <w:pPr>
              <w:suppressAutoHyphens w:val="0"/>
              <w:spacing w:before="40" w:after="40" w:line="220" w:lineRule="exact"/>
              <w:jc w:val="right"/>
              <w:rPr>
                <w:b/>
                <w:bCs/>
                <w:sz w:val="18"/>
              </w:rPr>
            </w:pPr>
          </w:p>
        </w:tc>
      </w:tr>
      <w:tr w:rsidR="00260133" w:rsidRPr="004500D4" w14:paraId="0695076D" w14:textId="77777777" w:rsidTr="00260133">
        <w:tc>
          <w:tcPr>
            <w:tcW w:w="1586" w:type="dxa"/>
            <w:shd w:val="clear" w:color="auto" w:fill="auto"/>
            <w:hideMark/>
          </w:tcPr>
          <w:p w14:paraId="7BF1A130"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shd w:val="clear" w:color="auto" w:fill="auto"/>
            <w:vAlign w:val="bottom"/>
          </w:tcPr>
          <w:p w14:paraId="7FC1ADD0"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4435FCAC"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662B32EA"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224D3272" w14:textId="77777777" w:rsidR="004E71A9" w:rsidRPr="004500D4" w:rsidRDefault="004E71A9" w:rsidP="00260133">
            <w:pPr>
              <w:suppressAutoHyphens w:val="0"/>
              <w:spacing w:before="40" w:after="40" w:line="220" w:lineRule="exact"/>
              <w:jc w:val="right"/>
              <w:rPr>
                <w:b/>
                <w:bCs/>
                <w:sz w:val="18"/>
              </w:rPr>
            </w:pPr>
          </w:p>
        </w:tc>
      </w:tr>
      <w:tr w:rsidR="00260133" w:rsidRPr="004500D4" w14:paraId="7261AAD4" w14:textId="77777777" w:rsidTr="00260133">
        <w:tc>
          <w:tcPr>
            <w:tcW w:w="1586" w:type="dxa"/>
            <w:shd w:val="clear" w:color="auto" w:fill="auto"/>
            <w:hideMark/>
          </w:tcPr>
          <w:p w14:paraId="1E4A8311" w14:textId="77777777" w:rsidR="004E71A9" w:rsidRPr="004500D4" w:rsidRDefault="004E71A9" w:rsidP="00260133">
            <w:pPr>
              <w:suppressAutoHyphens w:val="0"/>
              <w:spacing w:before="40" w:after="40" w:line="220" w:lineRule="exact"/>
              <w:rPr>
                <w:b/>
                <w:bCs/>
                <w:sz w:val="18"/>
              </w:rPr>
            </w:pPr>
            <w:r w:rsidRPr="004500D4">
              <w:rPr>
                <w:b/>
                <w:bCs/>
                <w:sz w:val="18"/>
              </w:rPr>
              <w:t>Cowl</w:t>
            </w:r>
          </w:p>
        </w:tc>
        <w:tc>
          <w:tcPr>
            <w:tcW w:w="1587" w:type="dxa"/>
            <w:shd w:val="clear" w:color="auto" w:fill="auto"/>
            <w:vAlign w:val="bottom"/>
          </w:tcPr>
          <w:p w14:paraId="2B92EBEF"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3E71F19D"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344ED9F2"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500BDE72" w14:textId="77777777" w:rsidR="004E71A9" w:rsidRPr="004500D4" w:rsidRDefault="004E71A9" w:rsidP="00260133">
            <w:pPr>
              <w:suppressAutoHyphens w:val="0"/>
              <w:spacing w:before="40" w:after="40" w:line="220" w:lineRule="exact"/>
              <w:jc w:val="right"/>
              <w:rPr>
                <w:b/>
                <w:bCs/>
                <w:sz w:val="18"/>
              </w:rPr>
            </w:pPr>
          </w:p>
        </w:tc>
      </w:tr>
      <w:tr w:rsidR="00260133" w:rsidRPr="004500D4" w14:paraId="7BFE46D0" w14:textId="77777777" w:rsidTr="00260133">
        <w:tc>
          <w:tcPr>
            <w:tcW w:w="1586" w:type="dxa"/>
            <w:shd w:val="clear" w:color="auto" w:fill="auto"/>
            <w:hideMark/>
          </w:tcPr>
          <w:p w14:paraId="27E38B0B" w14:textId="77777777" w:rsidR="004E71A9" w:rsidRPr="004500D4" w:rsidRDefault="004E71A9" w:rsidP="00260133">
            <w:pPr>
              <w:suppressAutoHyphens w:val="0"/>
              <w:spacing w:before="40" w:after="40" w:line="220" w:lineRule="exact"/>
              <w:rPr>
                <w:b/>
                <w:bCs/>
                <w:sz w:val="18"/>
              </w:rPr>
            </w:pPr>
            <w:r w:rsidRPr="004500D4">
              <w:rPr>
                <w:b/>
                <w:bCs/>
                <w:sz w:val="18"/>
              </w:rPr>
              <w:t>(5.)</w:t>
            </w:r>
          </w:p>
        </w:tc>
        <w:tc>
          <w:tcPr>
            <w:tcW w:w="1587" w:type="dxa"/>
            <w:shd w:val="clear" w:color="auto" w:fill="auto"/>
            <w:vAlign w:val="bottom"/>
          </w:tcPr>
          <w:p w14:paraId="5F59DA91"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1522E803"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772B6DD0"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5820C3A4" w14:textId="77777777" w:rsidR="004E71A9" w:rsidRPr="004500D4" w:rsidRDefault="004E71A9" w:rsidP="00260133">
            <w:pPr>
              <w:suppressAutoHyphens w:val="0"/>
              <w:spacing w:before="40" w:after="40" w:line="220" w:lineRule="exact"/>
              <w:jc w:val="right"/>
              <w:rPr>
                <w:b/>
                <w:bCs/>
                <w:sz w:val="18"/>
              </w:rPr>
            </w:pPr>
          </w:p>
        </w:tc>
      </w:tr>
      <w:tr w:rsidR="00260133" w:rsidRPr="004500D4" w14:paraId="1EAF5A61" w14:textId="77777777" w:rsidTr="00260133">
        <w:tc>
          <w:tcPr>
            <w:tcW w:w="1586" w:type="dxa"/>
            <w:shd w:val="clear" w:color="auto" w:fill="auto"/>
            <w:hideMark/>
          </w:tcPr>
          <w:p w14:paraId="64EF8A67" w14:textId="77777777" w:rsidR="004E71A9" w:rsidRPr="004500D4" w:rsidRDefault="004E71A9" w:rsidP="00260133">
            <w:pPr>
              <w:suppressAutoHyphens w:val="0"/>
              <w:spacing w:before="40" w:after="40" w:line="220" w:lineRule="exact"/>
              <w:rPr>
                <w:b/>
                <w:bCs/>
                <w:sz w:val="18"/>
              </w:rPr>
            </w:pPr>
            <w:r w:rsidRPr="004500D4">
              <w:rPr>
                <w:b/>
                <w:bCs/>
                <w:sz w:val="18"/>
              </w:rPr>
              <w:t>(6.)</w:t>
            </w:r>
          </w:p>
        </w:tc>
        <w:tc>
          <w:tcPr>
            <w:tcW w:w="1587" w:type="dxa"/>
            <w:shd w:val="clear" w:color="auto" w:fill="auto"/>
            <w:vAlign w:val="bottom"/>
          </w:tcPr>
          <w:p w14:paraId="549D8089"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3958EFEC"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23F8F6A5"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211ADD7A" w14:textId="77777777" w:rsidR="004E71A9" w:rsidRPr="004500D4" w:rsidRDefault="004E71A9" w:rsidP="00260133">
            <w:pPr>
              <w:suppressAutoHyphens w:val="0"/>
              <w:spacing w:before="40" w:after="40" w:line="220" w:lineRule="exact"/>
              <w:jc w:val="right"/>
              <w:rPr>
                <w:b/>
                <w:bCs/>
                <w:sz w:val="18"/>
              </w:rPr>
            </w:pPr>
          </w:p>
        </w:tc>
      </w:tr>
      <w:tr w:rsidR="00260133" w:rsidRPr="004500D4" w14:paraId="582AACA6" w14:textId="77777777" w:rsidTr="00260133">
        <w:tc>
          <w:tcPr>
            <w:tcW w:w="1586" w:type="dxa"/>
            <w:tcBorders>
              <w:bottom w:val="single" w:sz="12" w:space="0" w:color="auto"/>
            </w:tcBorders>
            <w:shd w:val="clear" w:color="auto" w:fill="auto"/>
            <w:hideMark/>
          </w:tcPr>
          <w:p w14:paraId="482AF289"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tcBorders>
              <w:bottom w:val="single" w:sz="12" w:space="0" w:color="auto"/>
            </w:tcBorders>
            <w:shd w:val="clear" w:color="auto" w:fill="auto"/>
            <w:vAlign w:val="bottom"/>
          </w:tcPr>
          <w:p w14:paraId="32A74D8F" w14:textId="77777777" w:rsidR="004E71A9" w:rsidRPr="004500D4" w:rsidRDefault="004E71A9" w:rsidP="00260133">
            <w:pPr>
              <w:suppressAutoHyphens w:val="0"/>
              <w:spacing w:before="40" w:after="40" w:line="220" w:lineRule="exact"/>
              <w:jc w:val="right"/>
              <w:rPr>
                <w:b/>
                <w:bCs/>
                <w:sz w:val="18"/>
              </w:rPr>
            </w:pPr>
          </w:p>
        </w:tc>
        <w:tc>
          <w:tcPr>
            <w:tcW w:w="1586" w:type="dxa"/>
            <w:tcBorders>
              <w:bottom w:val="single" w:sz="12" w:space="0" w:color="auto"/>
            </w:tcBorders>
            <w:shd w:val="clear" w:color="auto" w:fill="auto"/>
            <w:vAlign w:val="bottom"/>
          </w:tcPr>
          <w:p w14:paraId="57572DFB" w14:textId="77777777" w:rsidR="004E71A9" w:rsidRPr="004500D4" w:rsidRDefault="004E71A9" w:rsidP="00260133">
            <w:pPr>
              <w:suppressAutoHyphens w:val="0"/>
              <w:spacing w:before="40" w:after="40" w:line="220" w:lineRule="exact"/>
              <w:jc w:val="right"/>
              <w:rPr>
                <w:b/>
                <w:bCs/>
                <w:sz w:val="18"/>
              </w:rPr>
            </w:pPr>
          </w:p>
        </w:tc>
        <w:tc>
          <w:tcPr>
            <w:tcW w:w="1587" w:type="dxa"/>
            <w:tcBorders>
              <w:bottom w:val="single" w:sz="12" w:space="0" w:color="auto"/>
            </w:tcBorders>
            <w:shd w:val="clear" w:color="auto" w:fill="auto"/>
            <w:vAlign w:val="bottom"/>
          </w:tcPr>
          <w:p w14:paraId="468BD784" w14:textId="77777777" w:rsidR="004E71A9" w:rsidRPr="004500D4" w:rsidRDefault="004E71A9" w:rsidP="00260133">
            <w:pPr>
              <w:suppressAutoHyphens w:val="0"/>
              <w:spacing w:before="40" w:after="40" w:line="220" w:lineRule="exact"/>
              <w:jc w:val="right"/>
              <w:rPr>
                <w:b/>
                <w:bCs/>
                <w:sz w:val="18"/>
              </w:rPr>
            </w:pPr>
          </w:p>
        </w:tc>
        <w:tc>
          <w:tcPr>
            <w:tcW w:w="1587" w:type="dxa"/>
            <w:tcBorders>
              <w:bottom w:val="single" w:sz="12" w:space="0" w:color="auto"/>
            </w:tcBorders>
            <w:shd w:val="clear" w:color="auto" w:fill="auto"/>
            <w:vAlign w:val="bottom"/>
          </w:tcPr>
          <w:p w14:paraId="7DD7BAEA" w14:textId="77777777" w:rsidR="004E71A9" w:rsidRPr="004500D4" w:rsidRDefault="004E71A9" w:rsidP="00260133">
            <w:pPr>
              <w:suppressAutoHyphens w:val="0"/>
              <w:spacing w:before="40" w:after="40" w:line="220" w:lineRule="exact"/>
              <w:jc w:val="right"/>
              <w:rPr>
                <w:b/>
                <w:bCs/>
                <w:sz w:val="18"/>
              </w:rPr>
            </w:pPr>
          </w:p>
        </w:tc>
      </w:tr>
    </w:tbl>
    <w:p w14:paraId="6517BBBE" w14:textId="77777777" w:rsidR="00260133" w:rsidRPr="004500D4" w:rsidRDefault="00260133" w:rsidP="004E71A9">
      <w:pPr>
        <w:widowControl w:val="0"/>
        <w:tabs>
          <w:tab w:val="left" w:pos="1701"/>
          <w:tab w:val="right" w:leader="dot" w:pos="8500"/>
        </w:tabs>
        <w:spacing w:after="120"/>
        <w:ind w:left="1100" w:right="1140"/>
        <w:rPr>
          <w:b/>
          <w:bCs/>
        </w:rPr>
      </w:pPr>
    </w:p>
    <w:p w14:paraId="23C28E5E" w14:textId="1001D2FB" w:rsidR="004E71A9" w:rsidRPr="004500D4" w:rsidRDefault="004E71A9" w:rsidP="004E71A9">
      <w:pPr>
        <w:widowControl w:val="0"/>
        <w:tabs>
          <w:tab w:val="left" w:pos="1701"/>
          <w:tab w:val="right" w:leader="dot" w:pos="8500"/>
        </w:tabs>
        <w:spacing w:after="120"/>
        <w:ind w:left="1100" w:right="1140"/>
        <w:rPr>
          <w:b/>
          <w:bCs/>
        </w:rPr>
      </w:pPr>
      <w:r w:rsidRPr="004500D4">
        <w:rPr>
          <w:b/>
          <w:bCs/>
        </w:rPr>
        <w:t>16.3</w:t>
      </w:r>
      <w:r w:rsidR="00D32BDA">
        <w:rPr>
          <w:b/>
          <w:bCs/>
        </w:rPr>
        <w:t>.</w:t>
      </w:r>
      <w:r w:rsidRPr="004500D4">
        <w:rPr>
          <w:b/>
          <w:bCs/>
        </w:rPr>
        <w:tab/>
        <w:t>Manufacturer-requested impact points on innovative solutions (if applicable)</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475"/>
        <w:gridCol w:w="1473"/>
        <w:gridCol w:w="1474"/>
        <w:gridCol w:w="1474"/>
      </w:tblGrid>
      <w:tr w:rsidR="00260133" w:rsidRPr="004500D4" w14:paraId="71B8613D" w14:textId="77777777" w:rsidTr="00260133">
        <w:trPr>
          <w:tblHeader/>
        </w:trPr>
        <w:tc>
          <w:tcPr>
            <w:tcW w:w="1586" w:type="dxa"/>
            <w:tcBorders>
              <w:top w:val="single" w:sz="4" w:space="0" w:color="auto"/>
              <w:bottom w:val="single" w:sz="12" w:space="0" w:color="auto"/>
            </w:tcBorders>
            <w:shd w:val="clear" w:color="auto" w:fill="auto"/>
            <w:vAlign w:val="bottom"/>
            <w:hideMark/>
          </w:tcPr>
          <w:p w14:paraId="79DC7F17" w14:textId="77777777" w:rsidR="004E71A9" w:rsidRPr="004500D4" w:rsidRDefault="004E71A9" w:rsidP="00260133">
            <w:pPr>
              <w:suppressAutoHyphens w:val="0"/>
              <w:spacing w:before="80" w:after="80" w:line="200" w:lineRule="exact"/>
              <w:rPr>
                <w:bCs/>
                <w:i/>
                <w:sz w:val="16"/>
              </w:rPr>
            </w:pPr>
            <w:r w:rsidRPr="004500D4">
              <w:rPr>
                <w:bCs/>
                <w:i/>
                <w:sz w:val="16"/>
              </w:rPr>
              <w:t>A-pillar</w:t>
            </w:r>
          </w:p>
        </w:tc>
        <w:tc>
          <w:tcPr>
            <w:tcW w:w="1587" w:type="dxa"/>
            <w:tcBorders>
              <w:top w:val="single" w:sz="4" w:space="0" w:color="auto"/>
              <w:bottom w:val="single" w:sz="12" w:space="0" w:color="auto"/>
            </w:tcBorders>
            <w:shd w:val="clear" w:color="auto" w:fill="auto"/>
            <w:vAlign w:val="bottom"/>
            <w:hideMark/>
          </w:tcPr>
          <w:p w14:paraId="1B04987C" w14:textId="77777777" w:rsidR="004E71A9" w:rsidRPr="004500D4" w:rsidRDefault="004E71A9" w:rsidP="00260133">
            <w:pPr>
              <w:suppressAutoHyphens w:val="0"/>
              <w:spacing w:before="80" w:after="80" w:line="200" w:lineRule="exact"/>
              <w:jc w:val="right"/>
              <w:rPr>
                <w:bCs/>
                <w:i/>
                <w:sz w:val="16"/>
              </w:rPr>
            </w:pPr>
            <w:r w:rsidRPr="004500D4">
              <w:rPr>
                <w:bCs/>
                <w:i/>
                <w:sz w:val="16"/>
              </w:rPr>
              <w:t>WAD</w:t>
            </w:r>
          </w:p>
        </w:tc>
        <w:tc>
          <w:tcPr>
            <w:tcW w:w="1586" w:type="dxa"/>
            <w:tcBorders>
              <w:top w:val="single" w:sz="4" w:space="0" w:color="auto"/>
              <w:bottom w:val="single" w:sz="12" w:space="0" w:color="auto"/>
            </w:tcBorders>
            <w:shd w:val="clear" w:color="auto" w:fill="auto"/>
            <w:vAlign w:val="bottom"/>
            <w:hideMark/>
          </w:tcPr>
          <w:p w14:paraId="1A5A7BBB" w14:textId="77777777" w:rsidR="004E71A9" w:rsidRPr="004500D4" w:rsidRDefault="004E71A9" w:rsidP="00260133">
            <w:pPr>
              <w:suppressAutoHyphens w:val="0"/>
              <w:spacing w:before="80" w:after="80" w:line="200" w:lineRule="exact"/>
              <w:jc w:val="right"/>
              <w:rPr>
                <w:bCs/>
                <w:i/>
                <w:sz w:val="16"/>
              </w:rPr>
            </w:pPr>
            <w:r w:rsidRPr="004500D4">
              <w:rPr>
                <w:bCs/>
                <w:i/>
                <w:sz w:val="16"/>
              </w:rPr>
              <w:t>Y-coordinate</w:t>
            </w:r>
          </w:p>
        </w:tc>
        <w:tc>
          <w:tcPr>
            <w:tcW w:w="1587" w:type="dxa"/>
            <w:tcBorders>
              <w:top w:val="single" w:sz="4" w:space="0" w:color="auto"/>
              <w:bottom w:val="single" w:sz="12" w:space="0" w:color="auto"/>
            </w:tcBorders>
            <w:shd w:val="clear" w:color="auto" w:fill="auto"/>
            <w:vAlign w:val="bottom"/>
            <w:hideMark/>
          </w:tcPr>
          <w:p w14:paraId="1C496EA2" w14:textId="77777777" w:rsidR="004E71A9" w:rsidRPr="004500D4" w:rsidRDefault="004E71A9" w:rsidP="00260133">
            <w:pPr>
              <w:suppressAutoHyphens w:val="0"/>
              <w:spacing w:before="80" w:after="80" w:line="200" w:lineRule="exact"/>
              <w:jc w:val="right"/>
              <w:rPr>
                <w:bCs/>
                <w:i/>
                <w:sz w:val="16"/>
              </w:rPr>
            </w:pPr>
            <w:r w:rsidRPr="004500D4">
              <w:rPr>
                <w:bCs/>
                <w:i/>
                <w:sz w:val="16"/>
              </w:rPr>
              <w:t>Impact speed</w:t>
            </w:r>
          </w:p>
        </w:tc>
        <w:tc>
          <w:tcPr>
            <w:tcW w:w="1587" w:type="dxa"/>
            <w:tcBorders>
              <w:top w:val="single" w:sz="4" w:space="0" w:color="auto"/>
              <w:bottom w:val="single" w:sz="12" w:space="0" w:color="auto"/>
            </w:tcBorders>
            <w:shd w:val="clear" w:color="auto" w:fill="auto"/>
            <w:vAlign w:val="bottom"/>
            <w:hideMark/>
          </w:tcPr>
          <w:p w14:paraId="4825EB15" w14:textId="77777777" w:rsidR="004E71A9" w:rsidRPr="004500D4" w:rsidRDefault="004E71A9" w:rsidP="00260133">
            <w:pPr>
              <w:suppressAutoHyphens w:val="0"/>
              <w:spacing w:before="80" w:after="80" w:line="200" w:lineRule="exact"/>
              <w:jc w:val="right"/>
              <w:rPr>
                <w:bCs/>
                <w:i/>
                <w:sz w:val="16"/>
              </w:rPr>
            </w:pPr>
            <w:r w:rsidRPr="004500D4">
              <w:rPr>
                <w:bCs/>
                <w:i/>
                <w:sz w:val="16"/>
              </w:rPr>
              <w:t>HIC value</w:t>
            </w:r>
          </w:p>
        </w:tc>
      </w:tr>
      <w:tr w:rsidR="00260133" w:rsidRPr="004500D4" w14:paraId="1A479B29" w14:textId="77777777" w:rsidTr="00260133">
        <w:tc>
          <w:tcPr>
            <w:tcW w:w="1586" w:type="dxa"/>
            <w:tcBorders>
              <w:top w:val="single" w:sz="12" w:space="0" w:color="auto"/>
            </w:tcBorders>
            <w:shd w:val="clear" w:color="auto" w:fill="auto"/>
            <w:hideMark/>
          </w:tcPr>
          <w:p w14:paraId="49774E7B" w14:textId="77777777" w:rsidR="004E71A9" w:rsidRPr="004500D4" w:rsidRDefault="004E71A9" w:rsidP="00260133">
            <w:pPr>
              <w:suppressAutoHyphens w:val="0"/>
              <w:spacing w:before="40" w:after="40" w:line="220" w:lineRule="exact"/>
              <w:rPr>
                <w:b/>
                <w:bCs/>
                <w:sz w:val="18"/>
              </w:rPr>
            </w:pPr>
            <w:r w:rsidRPr="004500D4">
              <w:rPr>
                <w:b/>
                <w:bCs/>
                <w:sz w:val="18"/>
              </w:rPr>
              <w:t>1.</w:t>
            </w:r>
          </w:p>
        </w:tc>
        <w:tc>
          <w:tcPr>
            <w:tcW w:w="1587" w:type="dxa"/>
            <w:tcBorders>
              <w:top w:val="single" w:sz="12" w:space="0" w:color="auto"/>
            </w:tcBorders>
            <w:shd w:val="clear" w:color="auto" w:fill="auto"/>
            <w:vAlign w:val="bottom"/>
          </w:tcPr>
          <w:p w14:paraId="010A9F20" w14:textId="77777777" w:rsidR="004E71A9" w:rsidRPr="004500D4" w:rsidRDefault="004E71A9" w:rsidP="00260133">
            <w:pPr>
              <w:suppressAutoHyphens w:val="0"/>
              <w:spacing w:before="40" w:after="40" w:line="220" w:lineRule="exact"/>
              <w:jc w:val="right"/>
              <w:rPr>
                <w:b/>
                <w:bCs/>
                <w:sz w:val="18"/>
              </w:rPr>
            </w:pPr>
          </w:p>
        </w:tc>
        <w:tc>
          <w:tcPr>
            <w:tcW w:w="1586" w:type="dxa"/>
            <w:tcBorders>
              <w:top w:val="single" w:sz="12" w:space="0" w:color="auto"/>
            </w:tcBorders>
            <w:shd w:val="clear" w:color="auto" w:fill="auto"/>
            <w:vAlign w:val="bottom"/>
          </w:tcPr>
          <w:p w14:paraId="0F874B52" w14:textId="77777777" w:rsidR="004E71A9" w:rsidRPr="004500D4" w:rsidRDefault="004E71A9" w:rsidP="00260133">
            <w:pPr>
              <w:suppressAutoHyphens w:val="0"/>
              <w:spacing w:before="40" w:after="40" w:line="220" w:lineRule="exact"/>
              <w:jc w:val="right"/>
              <w:rPr>
                <w:b/>
                <w:bCs/>
                <w:sz w:val="18"/>
              </w:rPr>
            </w:pPr>
          </w:p>
        </w:tc>
        <w:tc>
          <w:tcPr>
            <w:tcW w:w="1587" w:type="dxa"/>
            <w:tcBorders>
              <w:top w:val="single" w:sz="12" w:space="0" w:color="auto"/>
            </w:tcBorders>
            <w:shd w:val="clear" w:color="auto" w:fill="auto"/>
            <w:vAlign w:val="bottom"/>
          </w:tcPr>
          <w:p w14:paraId="54614136" w14:textId="77777777" w:rsidR="004E71A9" w:rsidRPr="004500D4" w:rsidRDefault="004E71A9" w:rsidP="00260133">
            <w:pPr>
              <w:suppressAutoHyphens w:val="0"/>
              <w:spacing w:before="40" w:after="40" w:line="220" w:lineRule="exact"/>
              <w:jc w:val="right"/>
              <w:rPr>
                <w:b/>
                <w:bCs/>
                <w:sz w:val="18"/>
              </w:rPr>
            </w:pPr>
          </w:p>
        </w:tc>
        <w:tc>
          <w:tcPr>
            <w:tcW w:w="1587" w:type="dxa"/>
            <w:tcBorders>
              <w:top w:val="single" w:sz="12" w:space="0" w:color="auto"/>
            </w:tcBorders>
            <w:shd w:val="clear" w:color="auto" w:fill="auto"/>
            <w:vAlign w:val="bottom"/>
          </w:tcPr>
          <w:p w14:paraId="320F9158" w14:textId="77777777" w:rsidR="004E71A9" w:rsidRPr="004500D4" w:rsidRDefault="004E71A9" w:rsidP="00260133">
            <w:pPr>
              <w:suppressAutoHyphens w:val="0"/>
              <w:spacing w:before="40" w:after="40" w:line="220" w:lineRule="exact"/>
              <w:jc w:val="right"/>
              <w:rPr>
                <w:b/>
                <w:bCs/>
                <w:sz w:val="18"/>
              </w:rPr>
            </w:pPr>
          </w:p>
        </w:tc>
      </w:tr>
      <w:tr w:rsidR="00260133" w:rsidRPr="004500D4" w14:paraId="05FE274E" w14:textId="77777777" w:rsidTr="00260133">
        <w:tc>
          <w:tcPr>
            <w:tcW w:w="1586" w:type="dxa"/>
            <w:shd w:val="clear" w:color="auto" w:fill="auto"/>
            <w:hideMark/>
          </w:tcPr>
          <w:p w14:paraId="48184498" w14:textId="77777777" w:rsidR="004E71A9" w:rsidRPr="004500D4" w:rsidRDefault="004E71A9" w:rsidP="00260133">
            <w:pPr>
              <w:suppressAutoHyphens w:val="0"/>
              <w:spacing w:before="40" w:after="40" w:line="220" w:lineRule="exact"/>
              <w:rPr>
                <w:b/>
                <w:bCs/>
                <w:sz w:val="18"/>
              </w:rPr>
            </w:pPr>
            <w:r w:rsidRPr="004500D4">
              <w:rPr>
                <w:b/>
                <w:bCs/>
                <w:sz w:val="18"/>
              </w:rPr>
              <w:t>2.</w:t>
            </w:r>
          </w:p>
        </w:tc>
        <w:tc>
          <w:tcPr>
            <w:tcW w:w="1587" w:type="dxa"/>
            <w:shd w:val="clear" w:color="auto" w:fill="auto"/>
            <w:vAlign w:val="bottom"/>
          </w:tcPr>
          <w:p w14:paraId="660C46BF"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0002EAD4"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0AF7678A"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504BC62A" w14:textId="77777777" w:rsidR="004E71A9" w:rsidRPr="004500D4" w:rsidRDefault="004E71A9" w:rsidP="00260133">
            <w:pPr>
              <w:suppressAutoHyphens w:val="0"/>
              <w:spacing w:before="40" w:after="40" w:line="220" w:lineRule="exact"/>
              <w:jc w:val="right"/>
              <w:rPr>
                <w:b/>
                <w:bCs/>
                <w:sz w:val="18"/>
              </w:rPr>
            </w:pPr>
          </w:p>
        </w:tc>
      </w:tr>
      <w:tr w:rsidR="00260133" w:rsidRPr="004500D4" w14:paraId="00434B68" w14:textId="77777777" w:rsidTr="00260133">
        <w:tc>
          <w:tcPr>
            <w:tcW w:w="1586" w:type="dxa"/>
            <w:shd w:val="clear" w:color="auto" w:fill="auto"/>
            <w:hideMark/>
          </w:tcPr>
          <w:p w14:paraId="023680E1"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shd w:val="clear" w:color="auto" w:fill="auto"/>
            <w:vAlign w:val="bottom"/>
          </w:tcPr>
          <w:p w14:paraId="7FFAEB49"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58214E86"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10CE56F4"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56EA942C" w14:textId="77777777" w:rsidR="004E71A9" w:rsidRPr="004500D4" w:rsidRDefault="004E71A9" w:rsidP="00260133">
            <w:pPr>
              <w:suppressAutoHyphens w:val="0"/>
              <w:spacing w:before="40" w:after="40" w:line="220" w:lineRule="exact"/>
              <w:jc w:val="right"/>
              <w:rPr>
                <w:b/>
                <w:bCs/>
                <w:sz w:val="18"/>
              </w:rPr>
            </w:pPr>
          </w:p>
        </w:tc>
      </w:tr>
      <w:tr w:rsidR="00260133" w:rsidRPr="004500D4" w14:paraId="504D6981" w14:textId="77777777" w:rsidTr="00260133">
        <w:tc>
          <w:tcPr>
            <w:tcW w:w="1586" w:type="dxa"/>
            <w:shd w:val="clear" w:color="auto" w:fill="auto"/>
            <w:hideMark/>
          </w:tcPr>
          <w:p w14:paraId="30B08C14" w14:textId="77777777" w:rsidR="004E71A9" w:rsidRPr="004500D4" w:rsidRDefault="004E71A9" w:rsidP="00260133">
            <w:pPr>
              <w:suppressAutoHyphens w:val="0"/>
              <w:spacing w:before="40" w:after="40" w:line="220" w:lineRule="exact"/>
              <w:rPr>
                <w:b/>
                <w:bCs/>
                <w:sz w:val="18"/>
              </w:rPr>
            </w:pPr>
            <w:r w:rsidRPr="004500D4">
              <w:rPr>
                <w:b/>
                <w:bCs/>
                <w:sz w:val="18"/>
              </w:rPr>
              <w:t>Windscreen header</w:t>
            </w:r>
          </w:p>
        </w:tc>
        <w:tc>
          <w:tcPr>
            <w:tcW w:w="6347" w:type="dxa"/>
            <w:gridSpan w:val="4"/>
            <w:shd w:val="clear" w:color="auto" w:fill="auto"/>
            <w:vAlign w:val="bottom"/>
          </w:tcPr>
          <w:p w14:paraId="7FFAB70D" w14:textId="77777777" w:rsidR="004E71A9" w:rsidRPr="004500D4" w:rsidRDefault="004E71A9" w:rsidP="00260133">
            <w:pPr>
              <w:suppressAutoHyphens w:val="0"/>
              <w:spacing w:before="40" w:after="40" w:line="220" w:lineRule="exact"/>
              <w:jc w:val="right"/>
              <w:rPr>
                <w:b/>
                <w:bCs/>
                <w:sz w:val="18"/>
              </w:rPr>
            </w:pPr>
          </w:p>
        </w:tc>
      </w:tr>
      <w:tr w:rsidR="00260133" w:rsidRPr="004500D4" w14:paraId="070C0B48" w14:textId="77777777" w:rsidTr="00260133">
        <w:tc>
          <w:tcPr>
            <w:tcW w:w="1586" w:type="dxa"/>
            <w:shd w:val="clear" w:color="auto" w:fill="auto"/>
            <w:hideMark/>
          </w:tcPr>
          <w:p w14:paraId="44D55666" w14:textId="77777777" w:rsidR="004E71A9" w:rsidRPr="004500D4" w:rsidRDefault="004E71A9" w:rsidP="00260133">
            <w:pPr>
              <w:suppressAutoHyphens w:val="0"/>
              <w:spacing w:before="40" w:after="40" w:line="220" w:lineRule="exact"/>
              <w:rPr>
                <w:b/>
                <w:bCs/>
                <w:sz w:val="18"/>
              </w:rPr>
            </w:pPr>
            <w:r w:rsidRPr="004500D4">
              <w:rPr>
                <w:b/>
                <w:bCs/>
                <w:sz w:val="18"/>
              </w:rPr>
              <w:t>(3.)</w:t>
            </w:r>
          </w:p>
        </w:tc>
        <w:tc>
          <w:tcPr>
            <w:tcW w:w="1587" w:type="dxa"/>
            <w:shd w:val="clear" w:color="auto" w:fill="auto"/>
            <w:vAlign w:val="bottom"/>
          </w:tcPr>
          <w:p w14:paraId="47606D68"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59520D44"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3BD3C56A"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464959EF" w14:textId="77777777" w:rsidR="004E71A9" w:rsidRPr="004500D4" w:rsidRDefault="004E71A9" w:rsidP="00260133">
            <w:pPr>
              <w:suppressAutoHyphens w:val="0"/>
              <w:spacing w:before="40" w:after="40" w:line="220" w:lineRule="exact"/>
              <w:jc w:val="right"/>
              <w:rPr>
                <w:b/>
                <w:bCs/>
                <w:sz w:val="18"/>
              </w:rPr>
            </w:pPr>
          </w:p>
        </w:tc>
      </w:tr>
      <w:tr w:rsidR="00260133" w:rsidRPr="004500D4" w14:paraId="6C9B77DC" w14:textId="77777777" w:rsidTr="00260133">
        <w:tc>
          <w:tcPr>
            <w:tcW w:w="1586" w:type="dxa"/>
            <w:shd w:val="clear" w:color="auto" w:fill="auto"/>
            <w:hideMark/>
          </w:tcPr>
          <w:p w14:paraId="74197A62" w14:textId="77777777" w:rsidR="004E71A9" w:rsidRPr="004500D4" w:rsidRDefault="004E71A9" w:rsidP="00260133">
            <w:pPr>
              <w:suppressAutoHyphens w:val="0"/>
              <w:spacing w:before="40" w:after="40" w:line="220" w:lineRule="exact"/>
              <w:rPr>
                <w:b/>
                <w:bCs/>
                <w:sz w:val="18"/>
              </w:rPr>
            </w:pPr>
            <w:r w:rsidRPr="004500D4">
              <w:rPr>
                <w:b/>
                <w:bCs/>
                <w:sz w:val="18"/>
              </w:rPr>
              <w:t>(4.)</w:t>
            </w:r>
          </w:p>
        </w:tc>
        <w:tc>
          <w:tcPr>
            <w:tcW w:w="1587" w:type="dxa"/>
            <w:shd w:val="clear" w:color="auto" w:fill="auto"/>
            <w:vAlign w:val="bottom"/>
          </w:tcPr>
          <w:p w14:paraId="1078E868"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0978995A"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729FD4AE"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78AEFFE2" w14:textId="77777777" w:rsidR="004E71A9" w:rsidRPr="004500D4" w:rsidRDefault="004E71A9" w:rsidP="00260133">
            <w:pPr>
              <w:suppressAutoHyphens w:val="0"/>
              <w:spacing w:before="40" w:after="40" w:line="220" w:lineRule="exact"/>
              <w:jc w:val="right"/>
              <w:rPr>
                <w:b/>
                <w:bCs/>
                <w:sz w:val="18"/>
              </w:rPr>
            </w:pPr>
          </w:p>
        </w:tc>
      </w:tr>
      <w:tr w:rsidR="00260133" w:rsidRPr="004500D4" w14:paraId="306B6F8C" w14:textId="77777777" w:rsidTr="00260133">
        <w:tc>
          <w:tcPr>
            <w:tcW w:w="1586" w:type="dxa"/>
            <w:shd w:val="clear" w:color="auto" w:fill="auto"/>
            <w:hideMark/>
          </w:tcPr>
          <w:p w14:paraId="23522F61"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shd w:val="clear" w:color="auto" w:fill="auto"/>
            <w:vAlign w:val="bottom"/>
          </w:tcPr>
          <w:p w14:paraId="22F06AD7"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7C3F8255"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2B77FAFB"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34E42BA7" w14:textId="77777777" w:rsidR="004E71A9" w:rsidRPr="004500D4" w:rsidRDefault="004E71A9" w:rsidP="00260133">
            <w:pPr>
              <w:suppressAutoHyphens w:val="0"/>
              <w:spacing w:before="40" w:after="40" w:line="220" w:lineRule="exact"/>
              <w:jc w:val="right"/>
              <w:rPr>
                <w:b/>
                <w:bCs/>
                <w:sz w:val="18"/>
              </w:rPr>
            </w:pPr>
          </w:p>
        </w:tc>
      </w:tr>
      <w:tr w:rsidR="00260133" w:rsidRPr="004500D4" w14:paraId="2C323B0B" w14:textId="77777777" w:rsidTr="00260133">
        <w:tc>
          <w:tcPr>
            <w:tcW w:w="1586" w:type="dxa"/>
            <w:shd w:val="clear" w:color="auto" w:fill="auto"/>
            <w:hideMark/>
          </w:tcPr>
          <w:p w14:paraId="24A32B72" w14:textId="77777777" w:rsidR="004E71A9" w:rsidRPr="004500D4" w:rsidRDefault="004E71A9" w:rsidP="00260133">
            <w:pPr>
              <w:suppressAutoHyphens w:val="0"/>
              <w:spacing w:before="40" w:after="40" w:line="220" w:lineRule="exact"/>
              <w:rPr>
                <w:b/>
                <w:bCs/>
                <w:sz w:val="18"/>
              </w:rPr>
            </w:pPr>
            <w:r w:rsidRPr="004500D4">
              <w:rPr>
                <w:b/>
                <w:bCs/>
                <w:sz w:val="18"/>
              </w:rPr>
              <w:t>Cowl</w:t>
            </w:r>
          </w:p>
        </w:tc>
        <w:tc>
          <w:tcPr>
            <w:tcW w:w="1587" w:type="dxa"/>
            <w:shd w:val="clear" w:color="auto" w:fill="auto"/>
            <w:vAlign w:val="bottom"/>
          </w:tcPr>
          <w:p w14:paraId="22C6893C"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358B8DF3"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45D1843C"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11CACD4A" w14:textId="77777777" w:rsidR="004E71A9" w:rsidRPr="004500D4" w:rsidRDefault="004E71A9" w:rsidP="00260133">
            <w:pPr>
              <w:suppressAutoHyphens w:val="0"/>
              <w:spacing w:before="40" w:after="40" w:line="220" w:lineRule="exact"/>
              <w:jc w:val="right"/>
              <w:rPr>
                <w:b/>
                <w:bCs/>
                <w:sz w:val="18"/>
              </w:rPr>
            </w:pPr>
          </w:p>
        </w:tc>
      </w:tr>
      <w:tr w:rsidR="00260133" w:rsidRPr="004500D4" w14:paraId="44430B16" w14:textId="77777777" w:rsidTr="00260133">
        <w:tc>
          <w:tcPr>
            <w:tcW w:w="1586" w:type="dxa"/>
            <w:shd w:val="clear" w:color="auto" w:fill="auto"/>
            <w:hideMark/>
          </w:tcPr>
          <w:p w14:paraId="1E0FE074" w14:textId="77777777" w:rsidR="004E71A9" w:rsidRPr="004500D4" w:rsidRDefault="004E71A9" w:rsidP="00260133">
            <w:pPr>
              <w:suppressAutoHyphens w:val="0"/>
              <w:spacing w:before="40" w:after="40" w:line="220" w:lineRule="exact"/>
              <w:rPr>
                <w:b/>
                <w:bCs/>
                <w:sz w:val="18"/>
              </w:rPr>
            </w:pPr>
            <w:r w:rsidRPr="004500D4">
              <w:rPr>
                <w:b/>
                <w:bCs/>
                <w:sz w:val="18"/>
              </w:rPr>
              <w:t>(5.)</w:t>
            </w:r>
          </w:p>
        </w:tc>
        <w:tc>
          <w:tcPr>
            <w:tcW w:w="1587" w:type="dxa"/>
            <w:shd w:val="clear" w:color="auto" w:fill="auto"/>
            <w:vAlign w:val="bottom"/>
          </w:tcPr>
          <w:p w14:paraId="6222723E"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5E85A5E3"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4839EED9"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718CDE8F" w14:textId="77777777" w:rsidR="004E71A9" w:rsidRPr="004500D4" w:rsidRDefault="004E71A9" w:rsidP="00260133">
            <w:pPr>
              <w:suppressAutoHyphens w:val="0"/>
              <w:spacing w:before="40" w:after="40" w:line="220" w:lineRule="exact"/>
              <w:jc w:val="right"/>
              <w:rPr>
                <w:b/>
                <w:bCs/>
                <w:sz w:val="18"/>
              </w:rPr>
            </w:pPr>
          </w:p>
        </w:tc>
      </w:tr>
      <w:tr w:rsidR="00260133" w:rsidRPr="004500D4" w14:paraId="47006341" w14:textId="77777777" w:rsidTr="00260133">
        <w:tc>
          <w:tcPr>
            <w:tcW w:w="1586" w:type="dxa"/>
            <w:shd w:val="clear" w:color="auto" w:fill="auto"/>
            <w:hideMark/>
          </w:tcPr>
          <w:p w14:paraId="5B0D1DA3" w14:textId="77777777" w:rsidR="004E71A9" w:rsidRPr="004500D4" w:rsidRDefault="004E71A9" w:rsidP="00260133">
            <w:pPr>
              <w:suppressAutoHyphens w:val="0"/>
              <w:spacing w:before="40" w:after="40" w:line="220" w:lineRule="exact"/>
              <w:rPr>
                <w:b/>
                <w:bCs/>
                <w:sz w:val="18"/>
              </w:rPr>
            </w:pPr>
            <w:r w:rsidRPr="004500D4">
              <w:rPr>
                <w:b/>
                <w:bCs/>
                <w:sz w:val="18"/>
              </w:rPr>
              <w:t>(6.)</w:t>
            </w:r>
          </w:p>
        </w:tc>
        <w:tc>
          <w:tcPr>
            <w:tcW w:w="1587" w:type="dxa"/>
            <w:shd w:val="clear" w:color="auto" w:fill="auto"/>
            <w:vAlign w:val="bottom"/>
          </w:tcPr>
          <w:p w14:paraId="2136DD78" w14:textId="77777777" w:rsidR="004E71A9" w:rsidRPr="004500D4" w:rsidRDefault="004E71A9" w:rsidP="00260133">
            <w:pPr>
              <w:suppressAutoHyphens w:val="0"/>
              <w:spacing w:before="40" w:after="40" w:line="220" w:lineRule="exact"/>
              <w:jc w:val="right"/>
              <w:rPr>
                <w:b/>
                <w:bCs/>
                <w:sz w:val="18"/>
              </w:rPr>
            </w:pPr>
          </w:p>
        </w:tc>
        <w:tc>
          <w:tcPr>
            <w:tcW w:w="1586" w:type="dxa"/>
            <w:shd w:val="clear" w:color="auto" w:fill="auto"/>
            <w:vAlign w:val="bottom"/>
          </w:tcPr>
          <w:p w14:paraId="50DB039C"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7D26484B" w14:textId="77777777" w:rsidR="004E71A9" w:rsidRPr="004500D4" w:rsidRDefault="004E71A9" w:rsidP="00260133">
            <w:pPr>
              <w:suppressAutoHyphens w:val="0"/>
              <w:spacing w:before="40" w:after="40" w:line="220" w:lineRule="exact"/>
              <w:jc w:val="right"/>
              <w:rPr>
                <w:b/>
                <w:bCs/>
                <w:sz w:val="18"/>
              </w:rPr>
            </w:pPr>
          </w:p>
        </w:tc>
        <w:tc>
          <w:tcPr>
            <w:tcW w:w="1587" w:type="dxa"/>
            <w:shd w:val="clear" w:color="auto" w:fill="auto"/>
            <w:vAlign w:val="bottom"/>
          </w:tcPr>
          <w:p w14:paraId="40B0502B" w14:textId="77777777" w:rsidR="004E71A9" w:rsidRPr="004500D4" w:rsidRDefault="004E71A9" w:rsidP="00260133">
            <w:pPr>
              <w:suppressAutoHyphens w:val="0"/>
              <w:spacing w:before="40" w:after="40" w:line="220" w:lineRule="exact"/>
              <w:jc w:val="right"/>
              <w:rPr>
                <w:b/>
                <w:bCs/>
                <w:sz w:val="18"/>
              </w:rPr>
            </w:pPr>
          </w:p>
        </w:tc>
      </w:tr>
      <w:tr w:rsidR="00260133" w:rsidRPr="004500D4" w14:paraId="75343708" w14:textId="77777777" w:rsidTr="00260133">
        <w:tc>
          <w:tcPr>
            <w:tcW w:w="1586" w:type="dxa"/>
            <w:tcBorders>
              <w:bottom w:val="single" w:sz="12" w:space="0" w:color="auto"/>
            </w:tcBorders>
            <w:shd w:val="clear" w:color="auto" w:fill="auto"/>
            <w:hideMark/>
          </w:tcPr>
          <w:p w14:paraId="74EC8216" w14:textId="77777777" w:rsidR="004E71A9" w:rsidRPr="004500D4" w:rsidRDefault="004E71A9" w:rsidP="00260133">
            <w:pPr>
              <w:suppressAutoHyphens w:val="0"/>
              <w:spacing w:before="40" w:after="40" w:line="220" w:lineRule="exact"/>
              <w:rPr>
                <w:b/>
                <w:bCs/>
                <w:sz w:val="18"/>
              </w:rPr>
            </w:pPr>
            <w:r w:rsidRPr="004500D4">
              <w:rPr>
                <w:b/>
                <w:bCs/>
                <w:sz w:val="18"/>
              </w:rPr>
              <w:t>…</w:t>
            </w:r>
          </w:p>
        </w:tc>
        <w:tc>
          <w:tcPr>
            <w:tcW w:w="1587" w:type="dxa"/>
            <w:tcBorders>
              <w:bottom w:val="single" w:sz="12" w:space="0" w:color="auto"/>
            </w:tcBorders>
            <w:shd w:val="clear" w:color="auto" w:fill="auto"/>
            <w:vAlign w:val="bottom"/>
          </w:tcPr>
          <w:p w14:paraId="30477F27" w14:textId="77777777" w:rsidR="004E71A9" w:rsidRPr="004500D4" w:rsidRDefault="004E71A9" w:rsidP="00260133">
            <w:pPr>
              <w:suppressAutoHyphens w:val="0"/>
              <w:spacing w:before="40" w:after="40" w:line="220" w:lineRule="exact"/>
              <w:jc w:val="right"/>
              <w:rPr>
                <w:b/>
                <w:bCs/>
                <w:sz w:val="18"/>
              </w:rPr>
            </w:pPr>
          </w:p>
        </w:tc>
        <w:tc>
          <w:tcPr>
            <w:tcW w:w="1586" w:type="dxa"/>
            <w:tcBorders>
              <w:bottom w:val="single" w:sz="12" w:space="0" w:color="auto"/>
            </w:tcBorders>
            <w:shd w:val="clear" w:color="auto" w:fill="auto"/>
            <w:vAlign w:val="bottom"/>
          </w:tcPr>
          <w:p w14:paraId="41E5CA11" w14:textId="77777777" w:rsidR="004E71A9" w:rsidRPr="004500D4" w:rsidRDefault="004E71A9" w:rsidP="00260133">
            <w:pPr>
              <w:suppressAutoHyphens w:val="0"/>
              <w:spacing w:before="40" w:after="40" w:line="220" w:lineRule="exact"/>
              <w:jc w:val="right"/>
              <w:rPr>
                <w:b/>
                <w:bCs/>
                <w:sz w:val="18"/>
              </w:rPr>
            </w:pPr>
          </w:p>
        </w:tc>
        <w:tc>
          <w:tcPr>
            <w:tcW w:w="1587" w:type="dxa"/>
            <w:tcBorders>
              <w:bottom w:val="single" w:sz="12" w:space="0" w:color="auto"/>
            </w:tcBorders>
            <w:shd w:val="clear" w:color="auto" w:fill="auto"/>
            <w:vAlign w:val="bottom"/>
          </w:tcPr>
          <w:p w14:paraId="2785D248" w14:textId="77777777" w:rsidR="004E71A9" w:rsidRPr="004500D4" w:rsidRDefault="004E71A9" w:rsidP="00260133">
            <w:pPr>
              <w:suppressAutoHyphens w:val="0"/>
              <w:spacing w:before="40" w:after="40" w:line="220" w:lineRule="exact"/>
              <w:jc w:val="right"/>
              <w:rPr>
                <w:b/>
                <w:bCs/>
                <w:sz w:val="18"/>
              </w:rPr>
            </w:pPr>
          </w:p>
        </w:tc>
        <w:tc>
          <w:tcPr>
            <w:tcW w:w="1587" w:type="dxa"/>
            <w:tcBorders>
              <w:bottom w:val="single" w:sz="12" w:space="0" w:color="auto"/>
            </w:tcBorders>
            <w:shd w:val="clear" w:color="auto" w:fill="auto"/>
            <w:vAlign w:val="bottom"/>
          </w:tcPr>
          <w:p w14:paraId="53E0E168" w14:textId="77777777" w:rsidR="004E71A9" w:rsidRPr="004500D4" w:rsidRDefault="004E71A9" w:rsidP="00260133">
            <w:pPr>
              <w:suppressAutoHyphens w:val="0"/>
              <w:spacing w:before="40" w:after="40" w:line="220" w:lineRule="exact"/>
              <w:jc w:val="right"/>
              <w:rPr>
                <w:b/>
                <w:bCs/>
                <w:sz w:val="18"/>
              </w:rPr>
            </w:pPr>
          </w:p>
        </w:tc>
      </w:tr>
    </w:tbl>
    <w:p w14:paraId="26997798" w14:textId="5A8A55DE" w:rsidR="004E71A9" w:rsidRPr="004500D4" w:rsidRDefault="004E71A9" w:rsidP="00260133">
      <w:pPr>
        <w:spacing w:after="120"/>
        <w:ind w:left="2268" w:right="1134" w:hanging="1134"/>
        <w:jc w:val="both"/>
        <w:rPr>
          <w:b/>
        </w:rPr>
      </w:pPr>
      <w:r w:rsidRPr="004500D4">
        <w:rPr>
          <w:b/>
        </w:rPr>
        <w:t>"</w:t>
      </w:r>
    </w:p>
    <w:p w14:paraId="4FBBC895" w14:textId="77777777" w:rsidR="00AA45B6" w:rsidRPr="004500D4" w:rsidRDefault="004E71A9" w:rsidP="004E71A9">
      <w:pPr>
        <w:pStyle w:val="SingleTxtG"/>
        <w:rPr>
          <w:i/>
        </w:rPr>
      </w:pPr>
      <w:r w:rsidRPr="004500D4">
        <w:rPr>
          <w:i/>
        </w:rPr>
        <w:t xml:space="preserve">Annex 5, </w:t>
      </w:r>
    </w:p>
    <w:p w14:paraId="688DBED5" w14:textId="2609EDE5" w:rsidR="004E71A9" w:rsidRPr="004500D4" w:rsidRDefault="00AA45B6" w:rsidP="004E71A9">
      <w:pPr>
        <w:pStyle w:val="SingleTxtG"/>
      </w:pPr>
      <w:r w:rsidRPr="004500D4">
        <w:rPr>
          <w:i/>
        </w:rPr>
        <w:t>P</w:t>
      </w:r>
      <w:r w:rsidR="004E71A9" w:rsidRPr="004500D4">
        <w:rPr>
          <w:i/>
        </w:rPr>
        <w:t>aragraph</w:t>
      </w:r>
      <w:r w:rsidR="00260133" w:rsidRPr="004500D4">
        <w:rPr>
          <w:i/>
        </w:rPr>
        <w:t>s</w:t>
      </w:r>
      <w:r w:rsidR="004E71A9" w:rsidRPr="004500D4">
        <w:rPr>
          <w:i/>
        </w:rPr>
        <w:t xml:space="preserve"> 3.4.1. to 3.4.4.</w:t>
      </w:r>
      <w:r w:rsidR="004E71A9" w:rsidRPr="004500D4">
        <w:t>,</w:t>
      </w:r>
      <w:r w:rsidR="004E71A9" w:rsidRPr="004500D4">
        <w:rPr>
          <w:i/>
        </w:rPr>
        <w:t xml:space="preserve"> </w:t>
      </w:r>
      <w:r w:rsidR="004E71A9" w:rsidRPr="004500D4">
        <w:t>amend to read:</w:t>
      </w:r>
    </w:p>
    <w:p w14:paraId="20DEEF8F" w14:textId="2094A686" w:rsidR="004E71A9" w:rsidRPr="004500D4" w:rsidRDefault="00260133" w:rsidP="004E71A9">
      <w:pPr>
        <w:spacing w:after="120"/>
        <w:ind w:left="2268" w:right="1134" w:hanging="1134"/>
        <w:jc w:val="both"/>
      </w:pPr>
      <w:r w:rsidRPr="004500D4">
        <w:t>"</w:t>
      </w:r>
      <w:r w:rsidR="004E71A9" w:rsidRPr="004500D4">
        <w:t>3.4.1.</w:t>
      </w:r>
      <w:r w:rsidR="004E71A9" w:rsidRPr="004500D4">
        <w:tab/>
        <w:t>The manufacturer shall identify the zones of the bonnet top test area</w:t>
      </w:r>
      <w:r w:rsidR="004E71A9" w:rsidRPr="004500D4">
        <w:rPr>
          <w:b/>
          <w:bCs/>
          <w:color w:val="FF0000"/>
          <w:u w:color="FF0000"/>
        </w:rPr>
        <w:t xml:space="preserve"> </w:t>
      </w:r>
      <w:r w:rsidR="004E71A9" w:rsidRPr="004500D4">
        <w:rPr>
          <w:b/>
          <w:bCs/>
          <w:u w:color="FF0000"/>
        </w:rPr>
        <w:t xml:space="preserve">and of the windscreen test area </w:t>
      </w:r>
      <w:r w:rsidR="004E71A9" w:rsidRPr="004500D4">
        <w:t>where the HIC shall not exceed 1,000 (HIC1000 zone) or 1,700 (HIC1700 zone) (see Figure 5).</w:t>
      </w:r>
    </w:p>
    <w:p w14:paraId="2399164B" w14:textId="1624402F" w:rsidR="004E71A9" w:rsidRPr="004500D4" w:rsidRDefault="004E71A9" w:rsidP="004E71A9">
      <w:pPr>
        <w:spacing w:after="120"/>
        <w:ind w:left="2268" w:right="1134" w:hanging="1134"/>
        <w:jc w:val="both"/>
        <w:rPr>
          <w:b/>
        </w:rPr>
      </w:pPr>
      <w:r w:rsidRPr="004500D4">
        <w:rPr>
          <w:u w:color="000000"/>
        </w:rPr>
        <w:t>3.4.2.</w:t>
      </w:r>
      <w:r w:rsidRPr="004500D4">
        <w:rPr>
          <w:u w:color="000000"/>
        </w:rPr>
        <w:tab/>
        <w:t xml:space="preserve">Marking of the </w:t>
      </w:r>
      <w:r w:rsidRPr="004500D4">
        <w:rPr>
          <w:rFonts w:ascii="Times New Roman Bold" w:hAnsi="Times New Roman Bold"/>
          <w:b/>
          <w:strike/>
          <w:u w:color="000000"/>
        </w:rPr>
        <w:t>"</w:t>
      </w:r>
      <w:r w:rsidRPr="004500D4">
        <w:rPr>
          <w:u w:color="000000"/>
        </w:rPr>
        <w:t>bonnet top</w:t>
      </w:r>
      <w:r w:rsidRPr="004500D4">
        <w:rPr>
          <w:rFonts w:ascii="Times New Roman Bold" w:hAnsi="Times New Roman Bold"/>
          <w:b/>
          <w:strike/>
          <w:u w:color="000000"/>
        </w:rPr>
        <w:t>"</w:t>
      </w:r>
      <w:r w:rsidRPr="004500D4">
        <w:rPr>
          <w:u w:color="000000"/>
        </w:rPr>
        <w:t xml:space="preserve"> test area</w:t>
      </w:r>
      <w:r w:rsidRPr="004500D4">
        <w:rPr>
          <w:b/>
          <w:u w:color="000000"/>
        </w:rPr>
        <w:t>, marking of the windscreen test area</w:t>
      </w:r>
      <w:r w:rsidRPr="004500D4">
        <w:rPr>
          <w:b/>
          <w:bCs/>
          <w:u w:color="000000"/>
        </w:rPr>
        <w:t xml:space="preserve"> </w:t>
      </w:r>
      <w:r w:rsidRPr="004500D4">
        <w:rPr>
          <w:u w:color="000000"/>
        </w:rPr>
        <w:t xml:space="preserve">as well as "HIC1000 zone" and "HIC1700 zone" will be based on a drawing supplied by the manufacturer, when viewed from a horizontal plane above the vehicle that is parallel to the vehicle horizontal zero plane. A sufficient number of x and y co-ordinates shall be supplied by the manufacturer to mark up the areas on the actual vehicle while considering the vehicle outer contour in the z direction. </w:t>
      </w:r>
      <w:r w:rsidRPr="004500D4">
        <w:rPr>
          <w:b/>
        </w:rPr>
        <w:t>The cowl monitoring area is not considered for the marking of the "HIC1000 zone" and "HIC1700 zone".</w:t>
      </w:r>
    </w:p>
    <w:p w14:paraId="42F910D0" w14:textId="4BC2ED20" w:rsidR="004E71A9" w:rsidRPr="004500D4" w:rsidRDefault="004E71A9" w:rsidP="004E71A9">
      <w:pPr>
        <w:pStyle w:val="Text"/>
        <w:suppressAutoHyphens/>
        <w:spacing w:after="120" w:line="240" w:lineRule="atLeast"/>
        <w:ind w:left="2268" w:right="1134" w:hanging="1134"/>
        <w:jc w:val="both"/>
        <w:rPr>
          <w:rFonts w:ascii="Times New Roman" w:hAnsi="Times New Roman"/>
          <w:sz w:val="20"/>
          <w:szCs w:val="20"/>
          <w:u w:color="000000"/>
          <w:lang w:val="en-GB"/>
        </w:rPr>
      </w:pPr>
      <w:r w:rsidRPr="004500D4">
        <w:rPr>
          <w:rFonts w:ascii="Times New Roman" w:hAnsi="Times New Roman"/>
          <w:sz w:val="20"/>
          <w:szCs w:val="20"/>
          <w:u w:color="000000"/>
          <w:lang w:val="en-GB"/>
        </w:rPr>
        <w:t>3.4.3.</w:t>
      </w:r>
      <w:r w:rsidRPr="004500D4">
        <w:rPr>
          <w:rFonts w:ascii="Times New Roman" w:hAnsi="Times New Roman"/>
          <w:sz w:val="20"/>
          <w:szCs w:val="20"/>
          <w:u w:color="000000"/>
          <w:lang w:val="en-GB"/>
        </w:rPr>
        <w:tab/>
        <w:t>The areas of "HIC1000 zone" and "HIC1700 zone" may consist of several parts, with the number of these parts not being limited. The determination of the impacted zone is done by the measuring point.</w:t>
      </w:r>
    </w:p>
    <w:p w14:paraId="6BB3C561" w14:textId="01238BE1" w:rsidR="004E71A9" w:rsidRPr="004500D4" w:rsidRDefault="004E71A9" w:rsidP="00260133">
      <w:pPr>
        <w:pStyle w:val="Text"/>
        <w:suppressAutoHyphens/>
        <w:spacing w:after="120" w:line="240" w:lineRule="atLeast"/>
        <w:ind w:left="2268" w:right="1134" w:hanging="1134"/>
        <w:jc w:val="both"/>
        <w:rPr>
          <w:rFonts w:ascii="Times New Roman" w:hAnsi="Times New Roman"/>
          <w:color w:val="8064A2" w:themeColor="accent4"/>
          <w:sz w:val="20"/>
          <w:szCs w:val="20"/>
          <w:u w:color="000000"/>
          <w:lang w:val="en-GB"/>
        </w:rPr>
      </w:pPr>
      <w:r w:rsidRPr="004500D4">
        <w:rPr>
          <w:rFonts w:ascii="Times New Roman" w:hAnsi="Times New Roman"/>
          <w:sz w:val="20"/>
          <w:szCs w:val="20"/>
          <w:u w:color="000000"/>
          <w:lang w:val="en-GB"/>
        </w:rPr>
        <w:lastRenderedPageBreak/>
        <w:t>3.4.4.</w:t>
      </w:r>
      <w:r w:rsidRPr="004500D4">
        <w:rPr>
          <w:rFonts w:ascii="Times New Roman" w:hAnsi="Times New Roman"/>
          <w:sz w:val="20"/>
          <w:szCs w:val="20"/>
          <w:u w:color="000000"/>
          <w:lang w:val="en-GB"/>
        </w:rPr>
        <w:tab/>
        <w:t>The calculation of the surface of the bonnet top test</w:t>
      </w:r>
      <w:r w:rsidRPr="004500D4">
        <w:rPr>
          <w:rFonts w:ascii="Times New Roman" w:hAnsi="Times New Roman"/>
          <w:b/>
          <w:bCs/>
          <w:sz w:val="20"/>
          <w:szCs w:val="20"/>
          <w:u w:color="000000"/>
          <w:lang w:val="en-GB"/>
        </w:rPr>
        <w:t xml:space="preserve"> </w:t>
      </w:r>
      <w:r w:rsidRPr="004500D4">
        <w:rPr>
          <w:rFonts w:ascii="Times New Roman" w:hAnsi="Times New Roman"/>
          <w:sz w:val="20"/>
          <w:szCs w:val="20"/>
          <w:u w:color="000000"/>
          <w:lang w:val="en-GB"/>
        </w:rPr>
        <w:t>area</w:t>
      </w:r>
      <w:r w:rsidRPr="004500D4">
        <w:rPr>
          <w:rFonts w:ascii="Times New Roman" w:hAnsi="Times New Roman"/>
          <w:color w:val="0070C0"/>
          <w:sz w:val="20"/>
          <w:szCs w:val="20"/>
          <w:u w:color="0070C0"/>
          <w:lang w:val="en-GB"/>
        </w:rPr>
        <w:t xml:space="preserve"> </w:t>
      </w:r>
      <w:r w:rsidRPr="004500D4">
        <w:rPr>
          <w:rFonts w:ascii="Times New Roman" w:hAnsi="Times New Roman"/>
          <w:b/>
          <w:color w:val="auto"/>
          <w:sz w:val="20"/>
          <w:szCs w:val="20"/>
          <w:u w:color="0070C0"/>
          <w:lang w:val="en-GB"/>
        </w:rPr>
        <w:t>and the calculation of the surface of the windscreen test area</w:t>
      </w:r>
      <w:r w:rsidRPr="004500D4">
        <w:rPr>
          <w:rFonts w:ascii="Times New Roman" w:hAnsi="Times New Roman"/>
          <w:color w:val="0070C0"/>
          <w:sz w:val="20"/>
          <w:szCs w:val="20"/>
          <w:u w:color="0070C0"/>
          <w:lang w:val="en-GB"/>
        </w:rPr>
        <w:t xml:space="preserve"> </w:t>
      </w:r>
      <w:r w:rsidRPr="004500D4">
        <w:rPr>
          <w:rFonts w:ascii="Times New Roman" w:hAnsi="Times New Roman"/>
          <w:color w:val="auto"/>
          <w:sz w:val="20"/>
          <w:szCs w:val="20"/>
          <w:u w:color="0070C0"/>
          <w:lang w:val="en-GB"/>
        </w:rPr>
        <w:t>a</w:t>
      </w:r>
      <w:r w:rsidRPr="004500D4">
        <w:rPr>
          <w:rFonts w:ascii="Times New Roman" w:hAnsi="Times New Roman"/>
          <w:color w:val="auto"/>
          <w:sz w:val="20"/>
          <w:szCs w:val="20"/>
          <w:u w:color="000000"/>
          <w:lang w:val="en-GB"/>
        </w:rPr>
        <w:t xml:space="preserve">s </w:t>
      </w:r>
      <w:r w:rsidRPr="004500D4">
        <w:rPr>
          <w:rFonts w:ascii="Times New Roman" w:hAnsi="Times New Roman"/>
          <w:sz w:val="20"/>
          <w:szCs w:val="20"/>
          <w:u w:color="000000"/>
          <w:lang w:val="en-GB"/>
        </w:rPr>
        <w:t xml:space="preserve">well as the surface areas of "HIC1000 zone" and "HIC1700 zone" shall be done on the basis of a projected bonnet </w:t>
      </w:r>
      <w:r w:rsidRPr="004500D4">
        <w:rPr>
          <w:rFonts w:ascii="Times New Roman" w:hAnsi="Times New Roman"/>
          <w:b/>
          <w:sz w:val="20"/>
          <w:szCs w:val="20"/>
          <w:u w:color="000000"/>
          <w:lang w:val="en-GB"/>
        </w:rPr>
        <w:t>and windscreen</w:t>
      </w:r>
      <w:r w:rsidRPr="004500D4">
        <w:rPr>
          <w:rFonts w:ascii="Times New Roman" w:hAnsi="Times New Roman"/>
          <w:sz w:val="20"/>
          <w:szCs w:val="20"/>
          <w:u w:color="000000"/>
          <w:lang w:val="en-GB"/>
        </w:rPr>
        <w:t xml:space="preserve"> when viewed from a horizontal plane parallel to the horizontal zero plane above the vehicle, on the basis of the drawing data supplied by the manufacturer.</w:t>
      </w:r>
      <w:r w:rsidR="00260133" w:rsidRPr="004500D4">
        <w:rPr>
          <w:rFonts w:ascii="Times New Roman" w:hAnsi="Times New Roman"/>
          <w:sz w:val="20"/>
          <w:szCs w:val="20"/>
          <w:u w:color="000000"/>
          <w:lang w:val="en-GB"/>
        </w:rPr>
        <w:t>"</w:t>
      </w:r>
    </w:p>
    <w:p w14:paraId="6AA7F978" w14:textId="3FA08C0E" w:rsidR="004E71A9" w:rsidRPr="004500D4" w:rsidRDefault="00AA45B6" w:rsidP="004E71A9">
      <w:pPr>
        <w:pStyle w:val="SingleTxtG"/>
      </w:pPr>
      <w:r w:rsidRPr="004500D4">
        <w:rPr>
          <w:i/>
        </w:rPr>
        <w:t>P</w:t>
      </w:r>
      <w:r w:rsidR="004E71A9" w:rsidRPr="004500D4">
        <w:rPr>
          <w:i/>
        </w:rPr>
        <w:t>aragraph</w:t>
      </w:r>
      <w:r w:rsidR="00260133" w:rsidRPr="004500D4">
        <w:rPr>
          <w:i/>
        </w:rPr>
        <w:t>s</w:t>
      </w:r>
      <w:r w:rsidR="004E71A9" w:rsidRPr="004500D4">
        <w:rPr>
          <w:i/>
        </w:rPr>
        <w:t xml:space="preserve"> 4.1. to 4.3.</w:t>
      </w:r>
      <w:r w:rsidR="004E71A9" w:rsidRPr="004500D4">
        <w:t>,</w:t>
      </w:r>
      <w:r w:rsidR="004E71A9" w:rsidRPr="004500D4">
        <w:rPr>
          <w:i/>
        </w:rPr>
        <w:t xml:space="preserve"> </w:t>
      </w:r>
      <w:r w:rsidR="004E71A9" w:rsidRPr="004500D4">
        <w:t>amend to read:</w:t>
      </w:r>
    </w:p>
    <w:p w14:paraId="491A6BB3" w14:textId="68B74932" w:rsidR="004E71A9" w:rsidRPr="004500D4" w:rsidRDefault="00260133" w:rsidP="004E71A9">
      <w:pPr>
        <w:keepNext/>
        <w:keepLines/>
        <w:spacing w:after="120"/>
        <w:ind w:left="2268" w:right="1134" w:hanging="1134"/>
        <w:jc w:val="both"/>
        <w:rPr>
          <w:b/>
        </w:rPr>
      </w:pPr>
      <w:r w:rsidRPr="004500D4">
        <w:t>"</w:t>
      </w:r>
      <w:r w:rsidR="004E71A9" w:rsidRPr="004500D4">
        <w:t>4.1.</w:t>
      </w:r>
      <w:r w:rsidR="004E71A9" w:rsidRPr="004500D4">
        <w:tab/>
        <w:t xml:space="preserve">Tests shall be made to the front structure within the boundaries as defined in paragraph 2.16. of this Regulation. </w:t>
      </w:r>
      <w:r w:rsidR="004E71A9" w:rsidRPr="004500D4">
        <w:rPr>
          <w:b/>
        </w:rPr>
        <w:t>Test shall also be made to the windscreen within the boundaries as defined in paragraph 2.44.</w:t>
      </w:r>
      <w:r w:rsidR="004E71A9" w:rsidRPr="004500D4">
        <w:t xml:space="preserve"> For tests on the rear area of the bonnet top, the headform impactor shall not contact the windscreen or A-pillar before impacting the bonnet top. </w:t>
      </w:r>
      <w:r w:rsidR="004E71A9" w:rsidRPr="004500D4">
        <w:rPr>
          <w:b/>
        </w:rPr>
        <w:t>For tests on the windscreen, the headform impactor shall not directly contact the A-pillars, windscreen header and cowl, except in the case of monitoring testing.</w:t>
      </w:r>
    </w:p>
    <w:p w14:paraId="15A29C94" w14:textId="77777777" w:rsidR="004E71A9" w:rsidRPr="004500D4" w:rsidRDefault="004E71A9" w:rsidP="004E71A9">
      <w:pPr>
        <w:spacing w:after="120"/>
        <w:ind w:left="2268" w:right="1134" w:hanging="1134"/>
        <w:jc w:val="both"/>
        <w:rPr>
          <w:b/>
          <w:color w:val="00B050"/>
        </w:rPr>
      </w:pPr>
      <w:r w:rsidRPr="004500D4">
        <w:t>4.2.</w:t>
      </w:r>
      <w:r w:rsidRPr="004500D4">
        <w:tab/>
        <w:t xml:space="preserve">A minimum of nine tests shall be carried out with the child headform impactor </w:t>
      </w:r>
      <w:r w:rsidRPr="004500D4">
        <w:rPr>
          <w:b/>
        </w:rPr>
        <w:t>over the areas prescribed by the child bonnet top test area and the child windscreen test area together</w:t>
      </w:r>
      <w:r w:rsidRPr="004500D4">
        <w:t xml:space="preserve">, </w:t>
      </w:r>
      <w:r w:rsidRPr="004500D4">
        <w:rPr>
          <w:b/>
        </w:rPr>
        <w:t xml:space="preserve">with </w:t>
      </w:r>
      <w:r w:rsidRPr="004500D4">
        <w:t xml:space="preserve">three tests each to the middle and the outer thirds of the child/small adult </w:t>
      </w:r>
      <w:r w:rsidRPr="004500D4">
        <w:rPr>
          <w:b/>
          <w:strike/>
        </w:rPr>
        <w:t>bonnet top</w:t>
      </w:r>
      <w:r w:rsidRPr="004500D4">
        <w:t xml:space="preserve"> test areas, at positions judged to be the most likely to cause injury.</w:t>
      </w:r>
      <w:r w:rsidRPr="004500D4">
        <w:rPr>
          <w:b/>
        </w:rPr>
        <w:t xml:space="preserve"> Where possible, at least </w:t>
      </w:r>
      <w:r w:rsidRPr="004500D4">
        <w:rPr>
          <w:rFonts w:ascii="Times New Roman Bold" w:hAnsi="Times New Roman Bold"/>
          <w:b/>
        </w:rPr>
        <w:t xml:space="preserve">one </w:t>
      </w:r>
      <w:r w:rsidRPr="004500D4">
        <w:rPr>
          <w:b/>
        </w:rPr>
        <w:t>of these nine tests shall be carried out on the windscreen test area.</w:t>
      </w:r>
      <w:r w:rsidRPr="004500D4">
        <w:rPr>
          <w:b/>
          <w:color w:val="00B050"/>
        </w:rPr>
        <w:t xml:space="preserve"> </w:t>
      </w:r>
      <w:r w:rsidRPr="004500D4">
        <w:rPr>
          <w:b/>
        </w:rPr>
        <w:t>Furthermore, and at the discretion of the technical service, one of these nine tests may be conducted (in any third) in the cowl monitoring area.</w:t>
      </w:r>
    </w:p>
    <w:p w14:paraId="1A5D987C" w14:textId="77777777" w:rsidR="004E71A9" w:rsidRPr="004500D4" w:rsidRDefault="004E71A9" w:rsidP="004E71A9">
      <w:pPr>
        <w:spacing w:after="120"/>
        <w:ind w:left="2268" w:right="1134" w:hanging="1134"/>
        <w:jc w:val="both"/>
        <w:rPr>
          <w:b/>
        </w:rPr>
      </w:pPr>
      <w:r w:rsidRPr="004500D4">
        <w:tab/>
      </w:r>
      <w:r w:rsidRPr="004500D4">
        <w:rPr>
          <w:b/>
        </w:rPr>
        <w:t xml:space="preserve">For each test on the windscreen an undamaged and untested windscreen shall be used. </w:t>
      </w:r>
      <w:r w:rsidRPr="004500D4">
        <w:rPr>
          <w:b/>
        </w:rPr>
        <w:tab/>
      </w:r>
    </w:p>
    <w:p w14:paraId="13AF81CD" w14:textId="43B29C6B" w:rsidR="004E71A9" w:rsidRPr="004500D4" w:rsidRDefault="004E71A9" w:rsidP="004E71A9">
      <w:pPr>
        <w:spacing w:after="120"/>
        <w:ind w:left="2268" w:right="1134"/>
        <w:jc w:val="both"/>
        <w:rPr>
          <w:b/>
        </w:rPr>
      </w:pPr>
      <w:r w:rsidRPr="004500D4">
        <w:t>Tests shall be to different types of structure, where these vary throughout the area to be assessed and at positions judged to be the most likely to cause injury.</w:t>
      </w:r>
      <w:r w:rsidR="007F0175">
        <w:t xml:space="preserve"> </w:t>
      </w:r>
      <w:r w:rsidRPr="004500D4">
        <w:rPr>
          <w:b/>
        </w:rPr>
        <w:t>Taking into account any symmetry of the windscreen and relevant structures, the number of tests on the windscreen test area may be reduced at the discretion of the Technical Service.</w:t>
      </w:r>
    </w:p>
    <w:p w14:paraId="4F134427" w14:textId="7DE9C056" w:rsidR="004E71A9" w:rsidRPr="004500D4" w:rsidRDefault="004E71A9" w:rsidP="004E71A9">
      <w:pPr>
        <w:spacing w:after="120"/>
        <w:ind w:left="2268" w:right="1134" w:hanging="1134"/>
        <w:jc w:val="both"/>
      </w:pPr>
      <w:r w:rsidRPr="004500D4">
        <w:t>4.3.</w:t>
      </w:r>
      <w:r w:rsidRPr="004500D4">
        <w:tab/>
        <w:t>The selected measuring points for the child/small adult headform impactor shall be a minimum of 165 mm apart and within the child headform test area</w:t>
      </w:r>
      <w:r w:rsidRPr="004500D4">
        <w:rPr>
          <w:b/>
        </w:rPr>
        <w:t>s</w:t>
      </w:r>
      <w:r w:rsidRPr="004500D4">
        <w:t xml:space="preserve"> as defined in paragraph</w:t>
      </w:r>
      <w:r w:rsidRPr="004500D4">
        <w:rPr>
          <w:b/>
        </w:rPr>
        <w:t>s</w:t>
      </w:r>
      <w:r w:rsidRPr="004500D4">
        <w:t xml:space="preserve"> 2.16. </w:t>
      </w:r>
      <w:r w:rsidRPr="004500D4">
        <w:rPr>
          <w:b/>
        </w:rPr>
        <w:t>and 2.44.</w:t>
      </w:r>
      <w:r w:rsidRPr="004500D4">
        <w:t xml:space="preserve"> of this </w:t>
      </w:r>
      <w:r w:rsidR="00AA45B6" w:rsidRPr="004500D4">
        <w:rPr>
          <w:b/>
          <w:bCs/>
        </w:rPr>
        <w:t>UN</w:t>
      </w:r>
      <w:r w:rsidR="00AA45B6" w:rsidRPr="004500D4">
        <w:t xml:space="preserve"> </w:t>
      </w:r>
      <w:r w:rsidRPr="004500D4">
        <w:t>Regulation.</w:t>
      </w:r>
    </w:p>
    <w:p w14:paraId="312A6C3A" w14:textId="5A7FDFD9" w:rsidR="004E71A9" w:rsidRPr="004500D4" w:rsidRDefault="004E71A9" w:rsidP="004E71A9">
      <w:pPr>
        <w:spacing w:after="120"/>
        <w:ind w:left="2268" w:right="1134"/>
        <w:jc w:val="both"/>
      </w:pPr>
      <w:r w:rsidRPr="004500D4">
        <w:t>These minimum distances are to be set with a flexible tape held tautly along the outer surface of the vehicle.</w:t>
      </w:r>
      <w:r w:rsidR="00260133" w:rsidRPr="004500D4">
        <w:t>"</w:t>
      </w:r>
    </w:p>
    <w:p w14:paraId="4BC6436A" w14:textId="77777777" w:rsidR="00260133" w:rsidRPr="004500D4" w:rsidRDefault="004E71A9" w:rsidP="004E71A9">
      <w:pPr>
        <w:pStyle w:val="SingleTxtG"/>
        <w:rPr>
          <w:i/>
        </w:rPr>
      </w:pPr>
      <w:r w:rsidRPr="004500D4">
        <w:rPr>
          <w:i/>
        </w:rPr>
        <w:t xml:space="preserve">Annex 5, </w:t>
      </w:r>
    </w:p>
    <w:p w14:paraId="4386C1AA" w14:textId="1576F948" w:rsidR="004E71A9" w:rsidRPr="004500D4" w:rsidRDefault="00260133" w:rsidP="004E71A9">
      <w:pPr>
        <w:pStyle w:val="SingleTxtG"/>
      </w:pPr>
      <w:r w:rsidRPr="004500D4">
        <w:rPr>
          <w:i/>
        </w:rPr>
        <w:t>P</w:t>
      </w:r>
      <w:r w:rsidR="004E71A9" w:rsidRPr="004500D4">
        <w:rPr>
          <w:i/>
        </w:rPr>
        <w:t>aragraph 4.5.</w:t>
      </w:r>
      <w:r w:rsidR="004E71A9" w:rsidRPr="004500D4">
        <w:t>,</w:t>
      </w:r>
      <w:r w:rsidR="004E71A9" w:rsidRPr="004500D4">
        <w:rPr>
          <w:i/>
        </w:rPr>
        <w:t xml:space="preserve"> </w:t>
      </w:r>
      <w:r w:rsidR="004E71A9" w:rsidRPr="004500D4">
        <w:t>amend to read:</w:t>
      </w:r>
    </w:p>
    <w:p w14:paraId="23C0735F" w14:textId="2925FB69" w:rsidR="004E71A9" w:rsidRPr="004500D4" w:rsidRDefault="00260133" w:rsidP="004E71A9">
      <w:pPr>
        <w:spacing w:after="120"/>
        <w:ind w:left="2268" w:right="1134" w:hanging="1134"/>
        <w:jc w:val="both"/>
      </w:pPr>
      <w:r w:rsidRPr="004500D4">
        <w:t>"</w:t>
      </w:r>
      <w:r w:rsidR="004E71A9" w:rsidRPr="004500D4">
        <w:t>4.5.</w:t>
      </w:r>
      <w:r w:rsidR="004E71A9" w:rsidRPr="004500D4">
        <w:tab/>
        <w:t xml:space="preserve">For the child headform testing, a longitudinal and transversal impact tolerance of ±10 mm shall apply. This tolerance is measured along the surface of the bonnet </w:t>
      </w:r>
      <w:r w:rsidR="004E71A9" w:rsidRPr="004500D4">
        <w:rPr>
          <w:b/>
        </w:rPr>
        <w:t>or the windscreen.</w:t>
      </w:r>
      <w:r w:rsidR="004E71A9" w:rsidRPr="004500D4">
        <w:t xml:space="preserve"> The test laboratory may verify at a sufficient number of measuring points that this condition can be met and the tests are thus being conducted with the necessary accuracy.</w:t>
      </w:r>
      <w:r w:rsidRPr="004500D4">
        <w:t>"</w:t>
      </w:r>
    </w:p>
    <w:p w14:paraId="2916CA78" w14:textId="40D9DAB0" w:rsidR="004E71A9" w:rsidRPr="004500D4" w:rsidRDefault="00260133" w:rsidP="004E71A9">
      <w:pPr>
        <w:pStyle w:val="SingleTxtG"/>
      </w:pPr>
      <w:r w:rsidRPr="004500D4">
        <w:rPr>
          <w:i/>
        </w:rPr>
        <w:t>I</w:t>
      </w:r>
      <w:r w:rsidR="004E71A9" w:rsidRPr="004500D4">
        <w:rPr>
          <w:i/>
        </w:rPr>
        <w:t>nsert new paragraphs 4.8. and 4.9</w:t>
      </w:r>
      <w:r w:rsidR="0099346C">
        <w:rPr>
          <w:i/>
        </w:rPr>
        <w:t>.</w:t>
      </w:r>
      <w:r w:rsidR="004E71A9" w:rsidRPr="004500D4">
        <w:t>, to read:</w:t>
      </w:r>
    </w:p>
    <w:p w14:paraId="6A6237F4" w14:textId="05308368" w:rsidR="004E71A9" w:rsidRPr="004500D4" w:rsidRDefault="00260133" w:rsidP="004E71A9">
      <w:pPr>
        <w:spacing w:after="120"/>
        <w:ind w:left="2268" w:right="1134" w:hanging="1134"/>
        <w:jc w:val="both"/>
        <w:rPr>
          <w:b/>
        </w:rPr>
      </w:pPr>
      <w:r w:rsidRPr="004500D4">
        <w:rPr>
          <w:bCs/>
        </w:rPr>
        <w:t>"</w:t>
      </w:r>
      <w:r w:rsidR="004E71A9" w:rsidRPr="004500D4">
        <w:rPr>
          <w:b/>
        </w:rPr>
        <w:t>4.8.</w:t>
      </w:r>
      <w:r w:rsidR="004E71A9" w:rsidRPr="004500D4">
        <w:rPr>
          <w:b/>
        </w:rPr>
        <w:tab/>
        <w:t xml:space="preserve">Tests may be repeated in case of atypical windscreen fracture. The repetition of the test is at manufacturer’s request where the HIC value exceeds or is equal to the respective limit of the head impact zone. </w:t>
      </w:r>
      <w:r w:rsidR="004E71A9" w:rsidRPr="004500D4" w:rsidDel="00910488">
        <w:rPr>
          <w:b/>
        </w:rPr>
        <w:t xml:space="preserve"> </w:t>
      </w:r>
      <w:r w:rsidR="004E71A9" w:rsidRPr="004500D4">
        <w:rPr>
          <w:b/>
        </w:rPr>
        <w:t>The maximum number of repetitions on a measuring point is 3 (i.e. 4 tests total) in this case. On request of the technical service the tests may be repeated where the HIC value is below the limit of the head impact zone, for instance in case of underlying structures within 100 mm of the measuring point.</w:t>
      </w:r>
    </w:p>
    <w:p w14:paraId="55098E17" w14:textId="77777777" w:rsidR="004E71A9" w:rsidRPr="004500D4" w:rsidRDefault="004E71A9" w:rsidP="004E71A9">
      <w:pPr>
        <w:spacing w:after="120"/>
        <w:ind w:left="2268" w:right="1134"/>
        <w:jc w:val="both"/>
        <w:rPr>
          <w:b/>
        </w:rPr>
      </w:pPr>
      <w:r w:rsidRPr="004500D4">
        <w:rPr>
          <w:b/>
        </w:rPr>
        <w:t>Tests with atypical windscreen fracture shall be duly recorded in the test report.</w:t>
      </w:r>
    </w:p>
    <w:p w14:paraId="20FA3A31" w14:textId="77777777" w:rsidR="004E71A9" w:rsidRPr="004500D4" w:rsidRDefault="004E71A9" w:rsidP="004E71A9">
      <w:pPr>
        <w:spacing w:after="120"/>
        <w:ind w:left="2268" w:right="1134" w:hanging="1134"/>
        <w:jc w:val="both"/>
        <w:rPr>
          <w:b/>
        </w:rPr>
      </w:pPr>
      <w:r w:rsidRPr="004500D4">
        <w:rPr>
          <w:b/>
        </w:rPr>
        <w:lastRenderedPageBreak/>
        <w:t>4.9.</w:t>
      </w:r>
      <w:r w:rsidRPr="004500D4">
        <w:rPr>
          <w:b/>
        </w:rPr>
        <w:tab/>
        <w:t xml:space="preserve">If the A-pillars and/or windscreen header incorporate pedestrian or bicyclist head injury mitigation features, which shall be declared by the manufacturer (e.g. external airbag, deployable structure, energy absorption elements) additional monitoring tests shall be carried out on such structure. Contracting parties may indicate that monitoring results are not required for the approval to be recognised and accepted by such contracting party. </w:t>
      </w:r>
    </w:p>
    <w:p w14:paraId="3A971CE7" w14:textId="3627941B" w:rsidR="004E71A9" w:rsidRPr="004500D4" w:rsidRDefault="004E71A9" w:rsidP="004E71A9">
      <w:pPr>
        <w:spacing w:after="120"/>
        <w:ind w:left="2268" w:right="1134"/>
        <w:jc w:val="both"/>
        <w:rPr>
          <w:b/>
        </w:rPr>
      </w:pPr>
      <w:r w:rsidRPr="004500D4">
        <w:rPr>
          <w:b/>
        </w:rPr>
        <w:t>In such case the measuring points on the A-pillars, windscreen header and/or cowl shall be selected as agreed between the technical service and the manufacturer so that the effectiveness of the protection can be scientifically assessed. For that purpose</w:t>
      </w:r>
      <w:r w:rsidR="007F0175">
        <w:rPr>
          <w:b/>
        </w:rPr>
        <w:t>,</w:t>
      </w:r>
      <w:r w:rsidRPr="004500D4">
        <w:rPr>
          <w:b/>
        </w:rPr>
        <w:t xml:space="preserve"> it is not required to observe the prescribed clearance distances or exclusion areas.</w:t>
      </w:r>
    </w:p>
    <w:p w14:paraId="523C9F1C" w14:textId="77777777" w:rsidR="004E71A9" w:rsidRPr="004500D4" w:rsidRDefault="004E71A9" w:rsidP="004E71A9">
      <w:pPr>
        <w:spacing w:after="120"/>
        <w:ind w:left="2268" w:right="1134"/>
        <w:jc w:val="both"/>
        <w:rPr>
          <w:b/>
        </w:rPr>
      </w:pPr>
      <w:r w:rsidRPr="004500D4">
        <w:rPr>
          <w:b/>
        </w:rPr>
        <w:t>The vehicle manufacturer may also voluntarily request for monitoring tests to be carried out in case of any other innovative solutions that reduce head injury levels in case of head contact with A-pillars and/or windscreen header.</w:t>
      </w:r>
    </w:p>
    <w:p w14:paraId="7AB0E32A" w14:textId="77777777" w:rsidR="004E71A9" w:rsidRPr="004500D4" w:rsidRDefault="004E71A9" w:rsidP="007F0175">
      <w:pPr>
        <w:spacing w:after="120"/>
        <w:ind w:left="2268" w:right="1134"/>
        <w:jc w:val="both"/>
        <w:rPr>
          <w:b/>
        </w:rPr>
      </w:pPr>
      <w:r w:rsidRPr="004500D4">
        <w:rPr>
          <w:b/>
        </w:rPr>
        <w:t>The monitoring results shall be detailed in point 16 of the type-approval communication form.</w:t>
      </w:r>
    </w:p>
    <w:p w14:paraId="6F07B4F8" w14:textId="312DD492" w:rsidR="004E71A9" w:rsidRPr="004500D4" w:rsidRDefault="004E71A9" w:rsidP="007F0175">
      <w:pPr>
        <w:spacing w:after="120"/>
        <w:ind w:left="2268" w:right="1134"/>
        <w:jc w:val="both"/>
        <w:rPr>
          <w:b/>
        </w:rPr>
      </w:pPr>
      <w:r w:rsidRPr="004500D4">
        <w:rPr>
          <w:b/>
        </w:rPr>
        <w:t>A detailed description of the protective system, the selected measuring points and the results of the assessment shall also be included in the information document.</w:t>
      </w:r>
      <w:r w:rsidR="00260133" w:rsidRPr="004500D4">
        <w:rPr>
          <w:bCs/>
        </w:rPr>
        <w:t>"</w:t>
      </w:r>
    </w:p>
    <w:p w14:paraId="1807C527" w14:textId="253D348E" w:rsidR="004E71A9" w:rsidRPr="004500D4" w:rsidRDefault="004E71A9" w:rsidP="004E71A9">
      <w:pPr>
        <w:pStyle w:val="SingleTxtG"/>
      </w:pPr>
      <w:r w:rsidRPr="004500D4">
        <w:rPr>
          <w:i/>
        </w:rPr>
        <w:t>Paragraph</w:t>
      </w:r>
      <w:r w:rsidR="00260133" w:rsidRPr="004500D4">
        <w:rPr>
          <w:i/>
        </w:rPr>
        <w:t>s</w:t>
      </w:r>
      <w:r w:rsidRPr="004500D4">
        <w:rPr>
          <w:i/>
        </w:rPr>
        <w:t xml:space="preserve"> 5.1. to 5.3.</w:t>
      </w:r>
      <w:r w:rsidRPr="004500D4">
        <w:t>,</w:t>
      </w:r>
      <w:r w:rsidRPr="004500D4">
        <w:rPr>
          <w:i/>
        </w:rPr>
        <w:t xml:space="preserve"> </w:t>
      </w:r>
      <w:r w:rsidRPr="004500D4">
        <w:t>amend to read:</w:t>
      </w:r>
    </w:p>
    <w:p w14:paraId="7D231D2A" w14:textId="50E62468" w:rsidR="004E71A9" w:rsidRPr="004500D4" w:rsidRDefault="00260133" w:rsidP="004E71A9">
      <w:pPr>
        <w:keepNext/>
        <w:keepLines/>
        <w:spacing w:after="120"/>
        <w:ind w:left="2268" w:right="1134" w:hanging="1134"/>
        <w:jc w:val="both"/>
      </w:pPr>
      <w:r w:rsidRPr="004500D4">
        <w:t>"</w:t>
      </w:r>
      <w:r w:rsidR="004E71A9" w:rsidRPr="004500D4">
        <w:t>5.1.</w:t>
      </w:r>
      <w:r w:rsidR="004E71A9" w:rsidRPr="004500D4">
        <w:tab/>
        <w:t xml:space="preserve">Tests shall be made to the front structure within the boundaries as defined in paragraph 2.1. of this </w:t>
      </w:r>
      <w:r w:rsidR="00BC1B55" w:rsidRPr="004500D4">
        <w:rPr>
          <w:b/>
          <w:bCs/>
        </w:rPr>
        <w:t>UN</w:t>
      </w:r>
      <w:r w:rsidR="00BC1B55" w:rsidRPr="004500D4">
        <w:t xml:space="preserve"> </w:t>
      </w:r>
      <w:r w:rsidR="004E71A9" w:rsidRPr="004500D4">
        <w:t xml:space="preserve">Regulation. </w:t>
      </w:r>
      <w:r w:rsidR="004E71A9" w:rsidRPr="004500D4">
        <w:rPr>
          <w:b/>
        </w:rPr>
        <w:t>Test shall also be made to the windscreen within the boundaries as defined in paragraph 2.44.</w:t>
      </w:r>
      <w:r w:rsidR="004E71A9" w:rsidRPr="004500D4">
        <w:t xml:space="preserve"> For tests at the rear of the bonnet top, the headform impactor shall not contact the windscreen or A-pillar before impacting the bonnet top. </w:t>
      </w:r>
      <w:r w:rsidR="004E71A9" w:rsidRPr="004500D4">
        <w:rPr>
          <w:b/>
        </w:rPr>
        <w:t xml:space="preserve">For the tests on the windscreen, the headform impactor shall not directly contact the A-pillars, windscreen header and cowl, except in the case of monitoring testing. </w:t>
      </w:r>
    </w:p>
    <w:p w14:paraId="4722D6B5" w14:textId="77777777" w:rsidR="004E71A9" w:rsidRPr="004500D4" w:rsidRDefault="004E71A9" w:rsidP="004E71A9">
      <w:pPr>
        <w:spacing w:after="120"/>
        <w:ind w:left="2268" w:right="1134" w:hanging="1134"/>
        <w:jc w:val="both"/>
        <w:rPr>
          <w:b/>
        </w:rPr>
      </w:pPr>
      <w:r w:rsidRPr="004500D4">
        <w:t>5.2.</w:t>
      </w:r>
      <w:r w:rsidRPr="004500D4">
        <w:tab/>
        <w:t xml:space="preserve">A minimum of nine tests shall be carried out with the adult headform impactor, </w:t>
      </w:r>
      <w:r w:rsidRPr="004500D4">
        <w:rPr>
          <w:b/>
        </w:rPr>
        <w:t>over the adult areas prescribed</w:t>
      </w:r>
      <w:r w:rsidRPr="004500D4">
        <w:t xml:space="preserve"> </w:t>
      </w:r>
      <w:r w:rsidRPr="004500D4">
        <w:rPr>
          <w:b/>
        </w:rPr>
        <w:t>by the adult bonnet top test area</w:t>
      </w:r>
      <w:r w:rsidRPr="004500D4">
        <w:t xml:space="preserve"> </w:t>
      </w:r>
      <w:r w:rsidRPr="004500D4">
        <w:rPr>
          <w:b/>
        </w:rPr>
        <w:t>and the adult windscreen test area together</w:t>
      </w:r>
      <w:r w:rsidRPr="004500D4">
        <w:t xml:space="preserve">, </w:t>
      </w:r>
      <w:r w:rsidRPr="004500D4">
        <w:rPr>
          <w:b/>
        </w:rPr>
        <w:t>with</w:t>
      </w:r>
      <w:r w:rsidRPr="004500D4">
        <w:t xml:space="preserve"> three tests each to the middle and the outer thirds of the adult test areas, at positions judged to be the most likely to cause injury.</w:t>
      </w:r>
      <w:r w:rsidRPr="004500D4">
        <w:rPr>
          <w:b/>
        </w:rPr>
        <w:t xml:space="preserve"> Where possible, at least </w:t>
      </w:r>
      <w:r w:rsidRPr="004500D4">
        <w:rPr>
          <w:rFonts w:ascii="Times New Roman Bold" w:hAnsi="Times New Roman Bold"/>
          <w:b/>
        </w:rPr>
        <w:t xml:space="preserve">one </w:t>
      </w:r>
      <w:r w:rsidRPr="004500D4">
        <w:rPr>
          <w:b/>
        </w:rPr>
        <w:t>of these nine tests shall be carried out on the windscreen test area.</w:t>
      </w:r>
      <w:r w:rsidRPr="004500D4">
        <w:rPr>
          <w:b/>
          <w:color w:val="00B050"/>
        </w:rPr>
        <w:t xml:space="preserve"> </w:t>
      </w:r>
      <w:r w:rsidRPr="004500D4">
        <w:rPr>
          <w:b/>
        </w:rPr>
        <w:t>Furthermore, and at the discretion of the technical service, one of these nine tests may be conducted (in any third) in the cowl monitoring area.</w:t>
      </w:r>
    </w:p>
    <w:p w14:paraId="1E93C0BD" w14:textId="77777777" w:rsidR="004E71A9" w:rsidRPr="004500D4" w:rsidRDefault="004E71A9" w:rsidP="004E71A9">
      <w:pPr>
        <w:spacing w:after="120"/>
        <w:ind w:left="2268" w:right="1134"/>
        <w:jc w:val="both"/>
        <w:rPr>
          <w:b/>
        </w:rPr>
      </w:pPr>
      <w:r w:rsidRPr="004500D4">
        <w:rPr>
          <w:b/>
        </w:rPr>
        <w:t>For each test on the windscreen an undamaged and untested windscreen shall be used.</w:t>
      </w:r>
      <w:r w:rsidRPr="004500D4">
        <w:rPr>
          <w:b/>
        </w:rPr>
        <w:tab/>
      </w:r>
    </w:p>
    <w:p w14:paraId="2555C41D" w14:textId="77777777" w:rsidR="004E71A9" w:rsidRPr="004500D4" w:rsidRDefault="004E71A9" w:rsidP="004E71A9">
      <w:pPr>
        <w:spacing w:after="120"/>
        <w:ind w:left="2268" w:right="1134"/>
        <w:jc w:val="both"/>
      </w:pPr>
      <w:r w:rsidRPr="004500D4">
        <w:t>Tests shall be to different types of structure, where these vary throughout the area to be assessed and at positions judged to be the most likely to cause injury.</w:t>
      </w:r>
    </w:p>
    <w:p w14:paraId="5B24CA4E" w14:textId="296906C4" w:rsidR="004E71A9" w:rsidRPr="004500D4" w:rsidRDefault="004E71A9" w:rsidP="00260133">
      <w:pPr>
        <w:spacing w:after="120"/>
        <w:ind w:left="2268" w:right="1134"/>
        <w:jc w:val="both"/>
        <w:rPr>
          <w:b/>
        </w:rPr>
      </w:pPr>
      <w:r w:rsidRPr="004500D4">
        <w:rPr>
          <w:b/>
        </w:rPr>
        <w:t>Taking into account any symmetry of the windscreen and relevant structures, the number of tests on the windscreen test area may be reduced at the discretion of the Technical Service.</w:t>
      </w:r>
    </w:p>
    <w:p w14:paraId="2D71FCCF" w14:textId="31079710" w:rsidR="004E71A9" w:rsidRPr="004500D4" w:rsidRDefault="004E71A9" w:rsidP="004E71A9">
      <w:pPr>
        <w:spacing w:after="120"/>
        <w:ind w:left="2268" w:right="1134" w:hanging="1134"/>
        <w:jc w:val="both"/>
      </w:pPr>
      <w:r w:rsidRPr="004500D4">
        <w:t>5.3.</w:t>
      </w:r>
      <w:r w:rsidRPr="004500D4">
        <w:tab/>
        <w:t>The selected measuring points for the adult headform impactor shall be a minimum of 165 mm apart and within the adult headform test area</w:t>
      </w:r>
      <w:r w:rsidRPr="004500D4">
        <w:rPr>
          <w:b/>
        </w:rPr>
        <w:t>s</w:t>
      </w:r>
      <w:r w:rsidRPr="004500D4">
        <w:t xml:space="preserve"> defined in paragraph</w:t>
      </w:r>
      <w:r w:rsidRPr="004500D4">
        <w:rPr>
          <w:b/>
        </w:rPr>
        <w:t>s</w:t>
      </w:r>
      <w:r w:rsidRPr="004500D4">
        <w:t xml:space="preserve"> 2.1. </w:t>
      </w:r>
      <w:r w:rsidRPr="004500D4">
        <w:rPr>
          <w:b/>
        </w:rPr>
        <w:t>and 2.44</w:t>
      </w:r>
      <w:r w:rsidR="00D32BDA">
        <w:rPr>
          <w:b/>
        </w:rPr>
        <w:t>.</w:t>
      </w:r>
      <w:r w:rsidRPr="004500D4">
        <w:t xml:space="preserve"> of this </w:t>
      </w:r>
      <w:r w:rsidR="00E87B20" w:rsidRPr="004500D4">
        <w:rPr>
          <w:b/>
          <w:bCs/>
        </w:rPr>
        <w:t>UN</w:t>
      </w:r>
      <w:r w:rsidR="00E87B20" w:rsidRPr="004500D4">
        <w:t xml:space="preserve"> </w:t>
      </w:r>
      <w:r w:rsidRPr="004500D4">
        <w:t>Regulation.</w:t>
      </w:r>
    </w:p>
    <w:p w14:paraId="574708EF" w14:textId="6A891EA1" w:rsidR="004E71A9" w:rsidRPr="004500D4" w:rsidRDefault="004E71A9" w:rsidP="00260133">
      <w:pPr>
        <w:spacing w:after="120"/>
        <w:ind w:left="2268" w:right="1134"/>
        <w:jc w:val="both"/>
      </w:pPr>
      <w:r w:rsidRPr="004500D4">
        <w:t>These minimum distances are to be set with a flexible tape held tautly along the outer surface of the vehicle.</w:t>
      </w:r>
      <w:r w:rsidR="00260133" w:rsidRPr="004500D4">
        <w:t>"</w:t>
      </w:r>
    </w:p>
    <w:p w14:paraId="79E50B65" w14:textId="77777777" w:rsidR="00E87B20" w:rsidRPr="004500D4" w:rsidRDefault="00E87B20" w:rsidP="004E71A9">
      <w:pPr>
        <w:pStyle w:val="SingleTxtG"/>
        <w:rPr>
          <w:i/>
        </w:rPr>
      </w:pPr>
    </w:p>
    <w:p w14:paraId="2501E90F" w14:textId="77777777" w:rsidR="00E87B20" w:rsidRPr="004500D4" w:rsidRDefault="00E87B20" w:rsidP="004E71A9">
      <w:pPr>
        <w:pStyle w:val="SingleTxtG"/>
        <w:rPr>
          <w:i/>
        </w:rPr>
      </w:pPr>
    </w:p>
    <w:p w14:paraId="5B2E8D7E" w14:textId="62F325E7" w:rsidR="004E71A9" w:rsidRPr="004500D4" w:rsidRDefault="004E71A9" w:rsidP="004E71A9">
      <w:pPr>
        <w:pStyle w:val="SingleTxtG"/>
      </w:pPr>
      <w:r w:rsidRPr="004500D4">
        <w:rPr>
          <w:i/>
        </w:rPr>
        <w:lastRenderedPageBreak/>
        <w:t>Paragraph 5.5.</w:t>
      </w:r>
      <w:r w:rsidRPr="004500D4">
        <w:t>,</w:t>
      </w:r>
      <w:r w:rsidRPr="004500D4">
        <w:rPr>
          <w:i/>
        </w:rPr>
        <w:t xml:space="preserve"> </w:t>
      </w:r>
      <w:r w:rsidRPr="004500D4">
        <w:t>amend to read:</w:t>
      </w:r>
    </w:p>
    <w:p w14:paraId="23F6FE5B" w14:textId="0912B229" w:rsidR="004E71A9" w:rsidRPr="004500D4" w:rsidRDefault="00260133" w:rsidP="004E71A9">
      <w:pPr>
        <w:spacing w:after="120"/>
        <w:ind w:left="2268" w:right="1134" w:hanging="1134"/>
        <w:jc w:val="both"/>
      </w:pPr>
      <w:r w:rsidRPr="004500D4">
        <w:t>"</w:t>
      </w:r>
      <w:r w:rsidR="004E71A9" w:rsidRPr="004500D4">
        <w:t>5.5.</w:t>
      </w:r>
      <w:r w:rsidR="004E71A9" w:rsidRPr="004500D4">
        <w:tab/>
        <w:t xml:space="preserve">For the adult headform testing, a longitudinal and transversal impact tolerance of ±10 mm shall apply. This tolerance is measured along the surface of the bonnet </w:t>
      </w:r>
      <w:r w:rsidR="004E71A9" w:rsidRPr="004500D4">
        <w:rPr>
          <w:b/>
        </w:rPr>
        <w:t>or the windscreen</w:t>
      </w:r>
      <w:r w:rsidR="004E71A9" w:rsidRPr="004500D4">
        <w:t>. The test laboratory may verify at a sufficient number of measuring points that this condition can be met and the tests are thus being conducted with the necessary accuracy.</w:t>
      </w:r>
      <w:r w:rsidRPr="004500D4">
        <w:t>"</w:t>
      </w:r>
    </w:p>
    <w:p w14:paraId="5588ABE5" w14:textId="75DEE5CF" w:rsidR="004E71A9" w:rsidRPr="004500D4" w:rsidRDefault="004E71A9" w:rsidP="004E71A9">
      <w:pPr>
        <w:pStyle w:val="SingleTxtG"/>
      </w:pPr>
      <w:r w:rsidRPr="004500D4">
        <w:rPr>
          <w:i/>
        </w:rPr>
        <w:t>Insert new paragraphs 5.8. and 5.9</w:t>
      </w:r>
      <w:r w:rsidR="00D32BDA">
        <w:rPr>
          <w:i/>
        </w:rPr>
        <w:t>.</w:t>
      </w:r>
      <w:r w:rsidRPr="004500D4">
        <w:t>, to read:</w:t>
      </w:r>
    </w:p>
    <w:p w14:paraId="77374AED" w14:textId="2D498405" w:rsidR="004E71A9" w:rsidRPr="004500D4" w:rsidRDefault="00260133" w:rsidP="004E71A9">
      <w:pPr>
        <w:spacing w:after="120"/>
        <w:ind w:left="2268" w:right="1134" w:hanging="1134"/>
        <w:jc w:val="both"/>
        <w:rPr>
          <w:b/>
        </w:rPr>
      </w:pPr>
      <w:r w:rsidRPr="004500D4">
        <w:rPr>
          <w:bCs/>
        </w:rPr>
        <w:t>"</w:t>
      </w:r>
      <w:r w:rsidR="004E71A9" w:rsidRPr="004500D4">
        <w:rPr>
          <w:b/>
        </w:rPr>
        <w:t>5.8.</w:t>
      </w:r>
      <w:r w:rsidR="004E71A9" w:rsidRPr="004500D4">
        <w:rPr>
          <w:b/>
          <w:color w:val="FF0000"/>
        </w:rPr>
        <w:tab/>
      </w:r>
      <w:r w:rsidR="004E71A9" w:rsidRPr="004500D4">
        <w:rPr>
          <w:b/>
        </w:rPr>
        <w:t xml:space="preserve">Tests may be repeated in case of atypical windscreen fracture. The repetition of the test is at manufacturer’s request where the HIC value exceeds or is equal to the respective limit of the head impact zone. </w:t>
      </w:r>
      <w:r w:rsidR="004E71A9" w:rsidRPr="004500D4" w:rsidDel="00910488">
        <w:rPr>
          <w:b/>
        </w:rPr>
        <w:t xml:space="preserve"> </w:t>
      </w:r>
      <w:r w:rsidR="004E71A9" w:rsidRPr="004500D4">
        <w:rPr>
          <w:b/>
        </w:rPr>
        <w:t>The maximum number of repetitions on a measuring point is 3 (i.e. 4 tests total) in this case. On request of the technical service the tests may be repeated where the HIC value is below the limit of the head impact zone, for instance in case of underlying structures within 100 mm of the measuring point.</w:t>
      </w:r>
    </w:p>
    <w:p w14:paraId="1F426507" w14:textId="77777777" w:rsidR="004E71A9" w:rsidRPr="004500D4" w:rsidRDefault="004E71A9" w:rsidP="004E71A9">
      <w:pPr>
        <w:spacing w:after="120"/>
        <w:ind w:left="2268" w:right="1134"/>
        <w:jc w:val="both"/>
        <w:rPr>
          <w:b/>
        </w:rPr>
      </w:pPr>
      <w:r w:rsidRPr="004500D4">
        <w:rPr>
          <w:b/>
        </w:rPr>
        <w:t>Tests with atypical windscreen fracture shall be duly recorded in the test report.</w:t>
      </w:r>
    </w:p>
    <w:p w14:paraId="68496FEE" w14:textId="77777777" w:rsidR="004E71A9" w:rsidRPr="004500D4" w:rsidRDefault="004E71A9" w:rsidP="004E71A9">
      <w:pPr>
        <w:spacing w:after="120"/>
        <w:ind w:left="2268" w:right="1134" w:hanging="1134"/>
        <w:jc w:val="both"/>
        <w:rPr>
          <w:b/>
        </w:rPr>
      </w:pPr>
      <w:r w:rsidRPr="004500D4">
        <w:rPr>
          <w:b/>
        </w:rPr>
        <w:t>5.9.</w:t>
      </w:r>
      <w:r w:rsidRPr="004500D4">
        <w:rPr>
          <w:b/>
        </w:rPr>
        <w:tab/>
        <w:t xml:space="preserve">If the A-pillars and/or windscreen header incorporate pedestrian or bicyclist head injury mitigation features, which shall be declared by the manufacturer (e.g. external airbag, deployable structure, energy absorption elements) additional monitoring tests shall be carried out on such structure. Contracting parties may indicate that monitoring results are not required for the approval to be recognised and accepted by such contracting party. </w:t>
      </w:r>
    </w:p>
    <w:p w14:paraId="6457E370" w14:textId="1F3F8CC3" w:rsidR="004E71A9" w:rsidRPr="004500D4" w:rsidRDefault="004E71A9" w:rsidP="004E71A9">
      <w:pPr>
        <w:spacing w:after="120"/>
        <w:ind w:left="2268" w:right="1134" w:hanging="1134"/>
        <w:jc w:val="both"/>
        <w:rPr>
          <w:b/>
        </w:rPr>
      </w:pPr>
      <w:r w:rsidRPr="004500D4">
        <w:rPr>
          <w:b/>
        </w:rPr>
        <w:tab/>
        <w:t>In such case the measuring points on the A-pillars, windscreen header and/or cowl shall be selected as agreed between the technical service and the manufacturer so that the effectiveness of the protection can be scientifically assessed. For that purpose</w:t>
      </w:r>
      <w:r w:rsidR="007F0175">
        <w:rPr>
          <w:b/>
        </w:rPr>
        <w:t>,</w:t>
      </w:r>
      <w:r w:rsidRPr="004500D4">
        <w:rPr>
          <w:b/>
        </w:rPr>
        <w:t xml:space="preserve"> it is not required to observe the prescribed clearance distances or exclusion areas.</w:t>
      </w:r>
    </w:p>
    <w:p w14:paraId="1ABD21B2" w14:textId="77777777" w:rsidR="004E71A9" w:rsidRPr="004500D4" w:rsidRDefault="004E71A9" w:rsidP="004E71A9">
      <w:pPr>
        <w:spacing w:after="120"/>
        <w:ind w:left="2268" w:right="1134"/>
        <w:jc w:val="both"/>
        <w:rPr>
          <w:b/>
        </w:rPr>
      </w:pPr>
      <w:r w:rsidRPr="004500D4">
        <w:rPr>
          <w:b/>
        </w:rPr>
        <w:t>The vehicle manufacturer may also voluntarily request for monitoring tests to be carried out in case of any other innovative solutions that reduce head injury levels in case of head contact with A-pillars and/or windscreen header.</w:t>
      </w:r>
    </w:p>
    <w:p w14:paraId="64C2739E" w14:textId="77777777" w:rsidR="004E71A9" w:rsidRPr="004500D4" w:rsidRDefault="004E71A9" w:rsidP="004E71A9">
      <w:pPr>
        <w:spacing w:after="120"/>
        <w:ind w:left="2268" w:right="1134"/>
        <w:jc w:val="both"/>
        <w:rPr>
          <w:b/>
        </w:rPr>
      </w:pPr>
      <w:r w:rsidRPr="004500D4">
        <w:rPr>
          <w:b/>
        </w:rPr>
        <w:t>The monitoring results shall be detailed in point 16 of the type-approval communication form.</w:t>
      </w:r>
    </w:p>
    <w:p w14:paraId="12DA58F5" w14:textId="785A8556" w:rsidR="004E71A9" w:rsidRPr="004500D4" w:rsidRDefault="004E71A9" w:rsidP="004E71A9">
      <w:pPr>
        <w:spacing w:after="120"/>
        <w:ind w:left="2268" w:right="1134" w:hanging="828"/>
        <w:jc w:val="both"/>
        <w:rPr>
          <w:b/>
        </w:rPr>
      </w:pPr>
      <w:r w:rsidRPr="004500D4">
        <w:rPr>
          <w:b/>
        </w:rPr>
        <w:tab/>
        <w:t>A detailed description of the protective system, the selected measuring points and the results of the assessment shall also be included in the information document.</w:t>
      </w:r>
      <w:r w:rsidR="00260133" w:rsidRPr="004500D4">
        <w:rPr>
          <w:bCs/>
        </w:rPr>
        <w:t>"</w:t>
      </w:r>
    </w:p>
    <w:p w14:paraId="5D935956" w14:textId="77777777" w:rsidR="004E71A9" w:rsidRPr="004500D4" w:rsidRDefault="004E71A9" w:rsidP="004E71A9">
      <w:pPr>
        <w:pStyle w:val="HChG"/>
      </w:pPr>
      <w:r w:rsidRPr="004500D4">
        <w:tab/>
        <w:t>II.</w:t>
      </w:r>
      <w:r w:rsidRPr="004500D4">
        <w:tab/>
        <w:t>Justification</w:t>
      </w:r>
    </w:p>
    <w:p w14:paraId="78D72A21" w14:textId="5996CC0C" w:rsidR="004E71A9" w:rsidRPr="004500D4" w:rsidRDefault="008F63B9" w:rsidP="008F63B9">
      <w:pPr>
        <w:pStyle w:val="SingleTxtG"/>
        <w:rPr>
          <w:color w:val="000000" w:themeColor="text1"/>
        </w:rPr>
      </w:pPr>
      <w:r w:rsidRPr="004500D4">
        <w:rPr>
          <w:color w:val="000000" w:themeColor="text1"/>
        </w:rPr>
        <w:t>1.</w:t>
      </w:r>
      <w:r w:rsidRPr="004500D4">
        <w:rPr>
          <w:color w:val="000000" w:themeColor="text1"/>
        </w:rPr>
        <w:tab/>
      </w:r>
      <w:r w:rsidR="004E71A9" w:rsidRPr="004500D4">
        <w:rPr>
          <w:color w:val="000000" w:themeColor="text1"/>
        </w:rPr>
        <w:t xml:space="preserve">This proposal will allow Contracting Parties to </w:t>
      </w:r>
      <w:r w:rsidR="00260133" w:rsidRPr="004500D4">
        <w:rPr>
          <w:color w:val="000000" w:themeColor="text1"/>
        </w:rPr>
        <w:t xml:space="preserve">the 1958 Agreement to </w:t>
      </w:r>
      <w:r w:rsidR="004E71A9" w:rsidRPr="004500D4">
        <w:rPr>
          <w:color w:val="000000" w:themeColor="text1"/>
        </w:rPr>
        <w:t xml:space="preserve">apply an enlarged head impact zone for regulatory compliance testing. </w:t>
      </w:r>
    </w:p>
    <w:p w14:paraId="717837C9" w14:textId="7168B93A" w:rsidR="004E71A9" w:rsidRPr="004500D4" w:rsidRDefault="008F63B9" w:rsidP="008F63B9">
      <w:pPr>
        <w:pStyle w:val="SingleTxtG"/>
        <w:rPr>
          <w:color w:val="000000" w:themeColor="text1"/>
        </w:rPr>
      </w:pPr>
      <w:r w:rsidRPr="004500D4">
        <w:rPr>
          <w:color w:val="000000" w:themeColor="text1"/>
        </w:rPr>
        <w:t>2.</w:t>
      </w:r>
      <w:r w:rsidRPr="004500D4">
        <w:rPr>
          <w:color w:val="000000" w:themeColor="text1"/>
        </w:rPr>
        <w:tab/>
      </w:r>
      <w:r w:rsidR="004E71A9" w:rsidRPr="004500D4">
        <w:rPr>
          <w:color w:val="000000" w:themeColor="text1"/>
        </w:rPr>
        <w:t xml:space="preserve">The extended head impact zone is requested due to the entry into force of the revised General Safety Regulation (EU) 2019/2144 that will apply as from 7 July 2024 for new types of vehicle and 7 July 2026 for all new vehicles. </w:t>
      </w:r>
    </w:p>
    <w:p w14:paraId="2C010757" w14:textId="1E2E4DBB" w:rsidR="004E71A9" w:rsidRPr="004500D4" w:rsidRDefault="008F63B9" w:rsidP="008F63B9">
      <w:pPr>
        <w:pStyle w:val="SingleTxtG"/>
        <w:rPr>
          <w:color w:val="000000" w:themeColor="text1"/>
        </w:rPr>
      </w:pPr>
      <w:r w:rsidRPr="004500D4">
        <w:rPr>
          <w:color w:val="000000" w:themeColor="text1"/>
        </w:rPr>
        <w:t>3.</w:t>
      </w:r>
      <w:r w:rsidRPr="004500D4">
        <w:rPr>
          <w:color w:val="000000" w:themeColor="text1"/>
        </w:rPr>
        <w:tab/>
      </w:r>
      <w:r w:rsidR="004E71A9" w:rsidRPr="004500D4">
        <w:rPr>
          <w:color w:val="000000" w:themeColor="text1"/>
        </w:rPr>
        <w:t>Various Task Force meetings, attended by interested stakeholders and Contracting Parties, were organi</w:t>
      </w:r>
      <w:r w:rsidR="007F0175">
        <w:rPr>
          <w:color w:val="000000" w:themeColor="text1"/>
        </w:rPr>
        <w:t>z</w:t>
      </w:r>
      <w:r w:rsidR="004E71A9" w:rsidRPr="004500D4">
        <w:rPr>
          <w:color w:val="000000" w:themeColor="text1"/>
        </w:rPr>
        <w:t>ed to discuss the proposal. In addition, practical application (workshops) to validate and support the proposal were arranged as in addition to face</w:t>
      </w:r>
      <w:r w:rsidR="007F0175">
        <w:rPr>
          <w:color w:val="000000" w:themeColor="text1"/>
        </w:rPr>
        <w:t>-</w:t>
      </w:r>
      <w:r w:rsidR="004E71A9" w:rsidRPr="004500D4">
        <w:rPr>
          <w:color w:val="000000" w:themeColor="text1"/>
        </w:rPr>
        <w:t>to</w:t>
      </w:r>
      <w:r w:rsidR="007F0175">
        <w:rPr>
          <w:color w:val="000000" w:themeColor="text1"/>
        </w:rPr>
        <w:t>-</w:t>
      </w:r>
      <w:r w:rsidR="004E71A9" w:rsidRPr="004500D4">
        <w:rPr>
          <w:color w:val="000000" w:themeColor="text1"/>
        </w:rPr>
        <w:t>face and web meetings.</w:t>
      </w:r>
    </w:p>
    <w:p w14:paraId="3E836F0B" w14:textId="4C5619F3" w:rsidR="004E71A9" w:rsidRPr="004500D4" w:rsidRDefault="008F63B9" w:rsidP="008F63B9">
      <w:pPr>
        <w:pStyle w:val="SingleTxtG"/>
        <w:rPr>
          <w:color w:val="000000" w:themeColor="text1"/>
        </w:rPr>
      </w:pPr>
      <w:r w:rsidRPr="004500D4">
        <w:rPr>
          <w:color w:val="000000" w:themeColor="text1"/>
        </w:rPr>
        <w:t>4.</w:t>
      </w:r>
      <w:r w:rsidRPr="004500D4">
        <w:rPr>
          <w:color w:val="000000" w:themeColor="text1"/>
        </w:rPr>
        <w:tab/>
      </w:r>
      <w:r w:rsidR="004E71A9" w:rsidRPr="004500D4">
        <w:rPr>
          <w:color w:val="000000" w:themeColor="text1"/>
        </w:rPr>
        <w:t xml:space="preserve">Following the above meetings and the obligations laid down in the revised General Safety Regulation, a methodology was agreed that would enlarge the head impact zone, while </w:t>
      </w:r>
      <w:r w:rsidR="004E71A9" w:rsidRPr="004500D4">
        <w:rPr>
          <w:color w:val="000000" w:themeColor="text1"/>
        </w:rPr>
        <w:lastRenderedPageBreak/>
        <w:t>excluding or monitoring head form contact with the A-pillars and  windscreen header and monitoring the cowl area.</w:t>
      </w:r>
    </w:p>
    <w:p w14:paraId="5347DC0D" w14:textId="6C030EA7" w:rsidR="004E71A9" w:rsidRPr="004500D4" w:rsidRDefault="008F63B9" w:rsidP="008F63B9">
      <w:pPr>
        <w:pStyle w:val="SingleTxtG"/>
        <w:rPr>
          <w:color w:val="000000" w:themeColor="text1"/>
        </w:rPr>
      </w:pPr>
      <w:r w:rsidRPr="004500D4">
        <w:rPr>
          <w:color w:val="000000" w:themeColor="text1"/>
        </w:rPr>
        <w:t>5.</w:t>
      </w:r>
      <w:r w:rsidRPr="004500D4">
        <w:rPr>
          <w:color w:val="000000" w:themeColor="text1"/>
        </w:rPr>
        <w:tab/>
      </w:r>
      <w:r w:rsidR="004E71A9" w:rsidRPr="004500D4">
        <w:rPr>
          <w:color w:val="000000" w:themeColor="text1"/>
        </w:rPr>
        <w:t>The issue of untypical breakage of mineral glass with late fracturing and (very) high deceleration values has been addressed by a temporary provision allowing retesting and providing the respective industries sufficient lead time to finalise the process of improving these properties of windscreen glazing.</w:t>
      </w:r>
    </w:p>
    <w:p w14:paraId="06D1BD83" w14:textId="5361DA5D" w:rsidR="004E71A9" w:rsidRPr="004500D4" w:rsidRDefault="008F63B9" w:rsidP="008F63B9">
      <w:pPr>
        <w:pStyle w:val="SingleTxtG"/>
        <w:rPr>
          <w:color w:val="000000" w:themeColor="text1"/>
        </w:rPr>
      </w:pPr>
      <w:r w:rsidRPr="004500D4">
        <w:rPr>
          <w:color w:val="000000" w:themeColor="text1"/>
        </w:rPr>
        <w:t>6.</w:t>
      </w:r>
      <w:r w:rsidRPr="004500D4">
        <w:rPr>
          <w:color w:val="000000" w:themeColor="text1"/>
        </w:rPr>
        <w:tab/>
      </w:r>
      <w:r w:rsidR="004E71A9" w:rsidRPr="004500D4">
        <w:rPr>
          <w:color w:val="000000" w:themeColor="text1"/>
        </w:rPr>
        <w:t>Atypical windscreen fracture has been addressed by introducing an objective definition alongside temporary provisions allowing retesting. During windscreen tests</w:t>
      </w:r>
      <w:r w:rsidR="007F0175">
        <w:rPr>
          <w:color w:val="000000" w:themeColor="text1"/>
        </w:rPr>
        <w:t>,</w:t>
      </w:r>
      <w:r w:rsidR="004E71A9" w:rsidRPr="004500D4">
        <w:rPr>
          <w:color w:val="000000" w:themeColor="text1"/>
        </w:rPr>
        <w:t xml:space="preserve"> it could be observed that </w:t>
      </w:r>
      <w:r w:rsidR="00260133" w:rsidRPr="004500D4">
        <w:rPr>
          <w:color w:val="000000" w:themeColor="text1"/>
        </w:rPr>
        <w:t>Head Injury Criteria (</w:t>
      </w:r>
      <w:r w:rsidR="004E71A9" w:rsidRPr="004500D4">
        <w:rPr>
          <w:color w:val="000000" w:themeColor="text1"/>
        </w:rPr>
        <w:t>HIC</w:t>
      </w:r>
      <w:r w:rsidR="00260133" w:rsidRPr="004500D4">
        <w:rPr>
          <w:color w:val="000000" w:themeColor="text1"/>
        </w:rPr>
        <w:t>)</w:t>
      </w:r>
      <w:r w:rsidR="004E71A9" w:rsidRPr="004500D4">
        <w:rPr>
          <w:color w:val="000000" w:themeColor="text1"/>
        </w:rPr>
        <w:t xml:space="preserve"> values generated in conjunction with typical glass fracture were lower than those with atypical glass fracture. Simultaneously meeting the HIC performance criteria as well as the jerk criterion for a retest thus leads to the conclusion</w:t>
      </w:r>
      <w:r w:rsidR="00EA1295">
        <w:rPr>
          <w:color w:val="000000" w:themeColor="text1"/>
        </w:rPr>
        <w:t>,</w:t>
      </w:r>
      <w:r w:rsidR="004E71A9" w:rsidRPr="004500D4">
        <w:rPr>
          <w:color w:val="000000" w:themeColor="text1"/>
        </w:rPr>
        <w:t xml:space="preserve"> that in any repeat of a test with atypical glass fracture</w:t>
      </w:r>
      <w:r w:rsidR="00EA1295">
        <w:rPr>
          <w:color w:val="000000" w:themeColor="text1"/>
        </w:rPr>
        <w:t>,</w:t>
      </w:r>
      <w:r w:rsidR="004E71A9" w:rsidRPr="004500D4">
        <w:rPr>
          <w:color w:val="000000" w:themeColor="text1"/>
        </w:rPr>
        <w:t xml:space="preserve"> an increase of the result with typical glass fracture would</w:t>
      </w:r>
      <w:r w:rsidR="00EA1295">
        <w:rPr>
          <w:color w:val="000000" w:themeColor="text1"/>
        </w:rPr>
        <w:t xml:space="preserve"> </w:t>
      </w:r>
      <w:r w:rsidR="004E71A9" w:rsidRPr="004500D4">
        <w:rPr>
          <w:color w:val="000000" w:themeColor="text1"/>
        </w:rPr>
        <w:t>n</w:t>
      </w:r>
      <w:r w:rsidR="00EA1295">
        <w:rPr>
          <w:color w:val="000000" w:themeColor="text1"/>
        </w:rPr>
        <w:t>o</w:t>
      </w:r>
      <w:r w:rsidR="004E71A9" w:rsidRPr="004500D4">
        <w:rPr>
          <w:color w:val="000000" w:themeColor="text1"/>
        </w:rPr>
        <w:t xml:space="preserve">t be expected. Therefore, any repetition of tests meeting the HIC criteria is indispensable only in </w:t>
      </w:r>
      <w:r w:rsidR="00EA1295">
        <w:rPr>
          <w:color w:val="000000" w:themeColor="text1"/>
        </w:rPr>
        <w:t xml:space="preserve">a </w:t>
      </w:r>
      <w:r w:rsidR="004E71A9" w:rsidRPr="004500D4">
        <w:rPr>
          <w:color w:val="000000" w:themeColor="text1"/>
        </w:rPr>
        <w:t xml:space="preserve">case </w:t>
      </w:r>
      <w:r w:rsidR="00EA1295">
        <w:rPr>
          <w:color w:val="000000" w:themeColor="text1"/>
        </w:rPr>
        <w:t xml:space="preserve">where </w:t>
      </w:r>
      <w:r w:rsidR="004E71A9" w:rsidRPr="004500D4">
        <w:rPr>
          <w:color w:val="000000" w:themeColor="text1"/>
        </w:rPr>
        <w:t>any underlying structure is in reach of the head form impactor.</w:t>
      </w:r>
    </w:p>
    <w:p w14:paraId="375FF573" w14:textId="6BE1E02C" w:rsidR="004E71A9" w:rsidRPr="004500D4" w:rsidRDefault="008F63B9" w:rsidP="008F63B9">
      <w:pPr>
        <w:pStyle w:val="SingleTxtG"/>
        <w:rPr>
          <w:color w:val="000000" w:themeColor="text1"/>
        </w:rPr>
      </w:pPr>
      <w:r w:rsidRPr="004500D4">
        <w:rPr>
          <w:color w:val="000000" w:themeColor="text1"/>
        </w:rPr>
        <w:t>7.</w:t>
      </w:r>
      <w:r w:rsidRPr="004500D4">
        <w:rPr>
          <w:color w:val="000000" w:themeColor="text1"/>
        </w:rPr>
        <w:tab/>
      </w:r>
      <w:r w:rsidR="004E71A9" w:rsidRPr="004500D4">
        <w:rPr>
          <w:color w:val="000000" w:themeColor="text1"/>
        </w:rPr>
        <w:t>In very rare cases, the envisioned enlarged windscreen head impact zone actually falls on the rear part of the bonnet, which was unforeseen. It is however reasonable to include this area to protect notably bicyclists, but an appropriate transitional provision in line with that for atypical windscreen glass breakage is deemed necessary to permit the necessary structural changes to be incorporated in the relevant structural bonnet designs.</w:t>
      </w:r>
    </w:p>
    <w:p w14:paraId="775812B8" w14:textId="03945086" w:rsidR="004E71A9" w:rsidRPr="004500D4" w:rsidRDefault="008F63B9" w:rsidP="008F63B9">
      <w:pPr>
        <w:pStyle w:val="SingleTxtG"/>
        <w:rPr>
          <w:color w:val="000000" w:themeColor="text1"/>
        </w:rPr>
      </w:pPr>
      <w:r w:rsidRPr="004500D4">
        <w:rPr>
          <w:color w:val="000000" w:themeColor="text1"/>
        </w:rPr>
        <w:t>8.</w:t>
      </w:r>
      <w:r w:rsidRPr="004500D4">
        <w:rPr>
          <w:color w:val="000000" w:themeColor="text1"/>
        </w:rPr>
        <w:tab/>
      </w:r>
      <w:r w:rsidR="004E71A9" w:rsidRPr="004500D4">
        <w:rPr>
          <w:color w:val="000000" w:themeColor="text1"/>
        </w:rPr>
        <w:t>Special provisions have been added to request monitoring testing of any areas currently not covered by the defined enlarged head form test zone, e.g. external airbags.</w:t>
      </w:r>
    </w:p>
    <w:p w14:paraId="08D303CD" w14:textId="5F6A1429" w:rsidR="004E71A9" w:rsidRPr="004500D4" w:rsidRDefault="008F63B9" w:rsidP="008F63B9">
      <w:pPr>
        <w:pStyle w:val="SingleTxtG"/>
      </w:pPr>
      <w:r w:rsidRPr="004500D4">
        <w:t>9.</w:t>
      </w:r>
      <w:r w:rsidRPr="004500D4">
        <w:tab/>
      </w:r>
      <w:r w:rsidR="004E71A9" w:rsidRPr="004500D4">
        <w:t xml:space="preserve">The 100 mm criterion </w:t>
      </w:r>
      <w:r w:rsidR="00260133" w:rsidRPr="004500D4">
        <w:t>of</w:t>
      </w:r>
      <w:r w:rsidR="004E71A9" w:rsidRPr="004500D4">
        <w:t xml:space="preserve"> para</w:t>
      </w:r>
      <w:r w:rsidR="009B4673">
        <w:t>graph</w:t>
      </w:r>
      <w:r w:rsidR="004E71A9" w:rsidRPr="004500D4">
        <w:t xml:space="preserve"> 5.8</w:t>
      </w:r>
      <w:r w:rsidR="00D32BDA">
        <w:t>.</w:t>
      </w:r>
      <w:r w:rsidR="004E71A9" w:rsidRPr="004500D4">
        <w:t xml:space="preserve"> of Annex 5 is meant to give a guidance whether to repeat a test, or not, in case of an atypical fracture with low HIC value. This 100 mm minimum distance in impact direction is used within the Euro N</w:t>
      </w:r>
      <w:r w:rsidR="00260133" w:rsidRPr="004500D4">
        <w:t xml:space="preserve">ew </w:t>
      </w:r>
      <w:r w:rsidR="004E71A9" w:rsidRPr="004500D4">
        <w:t>C</w:t>
      </w:r>
      <w:r w:rsidR="00260133" w:rsidRPr="004500D4">
        <w:t xml:space="preserve">ar </w:t>
      </w:r>
      <w:r w:rsidR="004E71A9" w:rsidRPr="004500D4">
        <w:t>A</w:t>
      </w:r>
      <w:r w:rsidR="00260133" w:rsidRPr="004500D4">
        <w:t xml:space="preserve">ssessment </w:t>
      </w:r>
      <w:r w:rsidR="004E71A9" w:rsidRPr="004500D4">
        <w:t>P</w:t>
      </w:r>
      <w:r w:rsidR="00260133" w:rsidRPr="004500D4">
        <w:t>rogramme</w:t>
      </w:r>
      <w:r w:rsidR="004E71A9" w:rsidRPr="004500D4">
        <w:t xml:space="preserve"> testing protocol as a prerequisite for compliance judgement, because it </w:t>
      </w:r>
      <w:r w:rsidR="009B4673">
        <w:t>en</w:t>
      </w:r>
      <w:r w:rsidR="004E71A9" w:rsidRPr="004500D4">
        <w:t>sure</w:t>
      </w:r>
      <w:r w:rsidR="009B4673">
        <w:t>s</w:t>
      </w:r>
      <w:r w:rsidR="004E71A9" w:rsidRPr="004500D4">
        <w:t xml:space="preserve"> that no underlying structure will be contacted during the test</w:t>
      </w:r>
      <w:r w:rsidR="009B4673">
        <w:t>,</w:t>
      </w:r>
      <w:r w:rsidR="004E71A9" w:rsidRPr="004500D4">
        <w:t xml:space="preserve"> i.e. that in case of sufficient distance the calculated HIC value solely results from the performance of the windscreen, without being influenced by any underlying structure. If the minimum distance between windscreen and</w:t>
      </w:r>
      <w:r w:rsidR="009B4673">
        <w:t>,</w:t>
      </w:r>
      <w:r w:rsidR="004E71A9" w:rsidRPr="004500D4">
        <w:t xml:space="preserve"> e.g. dashboard is less than 100 mm, a contact between the head impactor and this structure may occur in a repeated test with a more typical fracture behaviour. Therefore, the recommendation is given to repeat a test in case of low HIC but with an atypical windscreen fracture. </w:t>
      </w:r>
    </w:p>
    <w:p w14:paraId="224572C4" w14:textId="7FA45BFE" w:rsidR="004E71A9" w:rsidRPr="004500D4" w:rsidRDefault="008F63B9" w:rsidP="008F63B9">
      <w:pPr>
        <w:pStyle w:val="SingleTxtG"/>
        <w:rPr>
          <w:color w:val="000000" w:themeColor="text1"/>
        </w:rPr>
      </w:pPr>
      <w:r w:rsidRPr="004500D4">
        <w:rPr>
          <w:color w:val="000000" w:themeColor="text1"/>
        </w:rPr>
        <w:t>10.</w:t>
      </w:r>
      <w:r w:rsidRPr="004500D4">
        <w:rPr>
          <w:color w:val="000000" w:themeColor="text1"/>
        </w:rPr>
        <w:tab/>
      </w:r>
      <w:r w:rsidR="004E71A9" w:rsidRPr="004500D4">
        <w:rPr>
          <w:color w:val="000000" w:themeColor="text1"/>
        </w:rPr>
        <w:t>The proposal also makes minor adaptations and clarifications to the existing provisions.</w:t>
      </w:r>
    </w:p>
    <w:p w14:paraId="5D5091E2" w14:textId="77777777" w:rsidR="004E71A9" w:rsidRPr="004500D4" w:rsidRDefault="004E71A9" w:rsidP="004E71A9">
      <w:pPr>
        <w:pStyle w:val="Default"/>
        <w:jc w:val="center"/>
        <w:rPr>
          <w:b/>
          <w:bCs/>
          <w:sz w:val="20"/>
          <w:szCs w:val="20"/>
          <w:lang w:val="en-GB"/>
        </w:rPr>
      </w:pPr>
      <w:r w:rsidRPr="004500D4">
        <w:rPr>
          <w:b/>
          <w:bCs/>
          <w:sz w:val="20"/>
          <w:szCs w:val="20"/>
          <w:lang w:val="en-GB"/>
        </w:rPr>
        <w:t>________________</w:t>
      </w:r>
    </w:p>
    <w:p w14:paraId="76F96C48" w14:textId="77777777" w:rsidR="004E71A9" w:rsidRPr="004500D4" w:rsidRDefault="004E71A9" w:rsidP="004E71A9">
      <w:pPr>
        <w:spacing w:after="120"/>
        <w:ind w:left="2268" w:right="1134" w:hanging="1134"/>
        <w:jc w:val="both"/>
        <w:rPr>
          <w:b/>
        </w:rPr>
      </w:pPr>
    </w:p>
    <w:p w14:paraId="085E4109" w14:textId="77777777" w:rsidR="001C6663" w:rsidRPr="004500D4" w:rsidRDefault="001C6663" w:rsidP="00595520"/>
    <w:sectPr w:rsidR="001C6663" w:rsidRPr="004500D4" w:rsidSect="004E71A9">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53E55" w14:textId="77777777" w:rsidR="00111959" w:rsidRDefault="00111959"/>
  </w:endnote>
  <w:endnote w:type="continuationSeparator" w:id="0">
    <w:p w14:paraId="0E89A968" w14:textId="77777777" w:rsidR="00111959" w:rsidRDefault="00111959"/>
  </w:endnote>
  <w:endnote w:type="continuationNotice" w:id="1">
    <w:p w14:paraId="4A86A637" w14:textId="77777777" w:rsidR="00111959" w:rsidRDefault="00111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76465" w14:textId="5EA22A2A" w:rsidR="004E71A9" w:rsidRPr="004E71A9" w:rsidRDefault="004E71A9" w:rsidP="004E71A9">
    <w:pPr>
      <w:pStyle w:val="Footer"/>
      <w:tabs>
        <w:tab w:val="right" w:pos="9638"/>
      </w:tabs>
      <w:rPr>
        <w:sz w:val="18"/>
      </w:rPr>
    </w:pPr>
    <w:r w:rsidRPr="004E71A9">
      <w:rPr>
        <w:b/>
        <w:sz w:val="18"/>
      </w:rPr>
      <w:fldChar w:fldCharType="begin"/>
    </w:r>
    <w:r w:rsidRPr="004E71A9">
      <w:rPr>
        <w:b/>
        <w:sz w:val="18"/>
      </w:rPr>
      <w:instrText xml:space="preserve"> PAGE  \* MERGEFORMAT </w:instrText>
    </w:r>
    <w:r w:rsidRPr="004E71A9">
      <w:rPr>
        <w:b/>
        <w:sz w:val="18"/>
      </w:rPr>
      <w:fldChar w:fldCharType="separate"/>
    </w:r>
    <w:r w:rsidRPr="004E71A9">
      <w:rPr>
        <w:b/>
        <w:noProof/>
        <w:sz w:val="18"/>
      </w:rPr>
      <w:t>2</w:t>
    </w:r>
    <w:r w:rsidRPr="004E71A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39E0F" w14:textId="001E4C2A" w:rsidR="004E71A9" w:rsidRPr="004E71A9" w:rsidRDefault="004E71A9" w:rsidP="004E71A9">
    <w:pPr>
      <w:pStyle w:val="Footer"/>
      <w:tabs>
        <w:tab w:val="right" w:pos="9638"/>
      </w:tabs>
      <w:rPr>
        <w:b/>
        <w:sz w:val="18"/>
      </w:rPr>
    </w:pPr>
    <w:r>
      <w:tab/>
    </w:r>
    <w:r w:rsidRPr="004E71A9">
      <w:rPr>
        <w:b/>
        <w:sz w:val="18"/>
      </w:rPr>
      <w:fldChar w:fldCharType="begin"/>
    </w:r>
    <w:r w:rsidRPr="004E71A9">
      <w:rPr>
        <w:b/>
        <w:sz w:val="18"/>
      </w:rPr>
      <w:instrText xml:space="preserve"> PAGE  \* MERGEFORMAT </w:instrText>
    </w:r>
    <w:r w:rsidRPr="004E71A9">
      <w:rPr>
        <w:b/>
        <w:sz w:val="18"/>
      </w:rPr>
      <w:fldChar w:fldCharType="separate"/>
    </w:r>
    <w:r w:rsidRPr="004E71A9">
      <w:rPr>
        <w:b/>
        <w:noProof/>
        <w:sz w:val="18"/>
      </w:rPr>
      <w:t>3</w:t>
    </w:r>
    <w:r w:rsidRPr="004E71A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3AA0E" w14:textId="3046B325" w:rsidR="008F63B9" w:rsidRDefault="008F63B9" w:rsidP="008F63B9">
    <w:pPr>
      <w:pStyle w:val="Footer"/>
    </w:pPr>
    <w:bookmarkStart w:id="0" w:name="_GoBack"/>
    <w:bookmarkEnd w:id="0"/>
    <w:r>
      <w:rPr>
        <w:noProof/>
        <w:lang w:val="en-US" w:eastAsia="zh-CN"/>
      </w:rPr>
      <w:drawing>
        <wp:anchor distT="0" distB="0" distL="114300" distR="114300" simplePos="0" relativeHeight="251659264" behindDoc="1" locked="1" layoutInCell="1" allowOverlap="1" wp14:anchorId="76CDC4DA" wp14:editId="4F05E59E">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35356A1" w14:textId="38DF7448" w:rsidR="008F63B9" w:rsidRPr="008F63B9" w:rsidRDefault="008F63B9" w:rsidP="008F63B9">
    <w:pPr>
      <w:pStyle w:val="Footer"/>
      <w:ind w:right="1134"/>
      <w:rPr>
        <w:sz w:val="20"/>
      </w:rPr>
    </w:pPr>
    <w:r>
      <w:rPr>
        <w:sz w:val="20"/>
      </w:rPr>
      <w:t>GE.21-13282(E)</w:t>
    </w:r>
    <w:r>
      <w:rPr>
        <w:noProof/>
        <w:sz w:val="20"/>
      </w:rPr>
      <w:drawing>
        <wp:anchor distT="0" distB="0" distL="114300" distR="114300" simplePos="0" relativeHeight="251660288" behindDoc="0" locked="0" layoutInCell="1" allowOverlap="1" wp14:anchorId="51ADD888" wp14:editId="28A29113">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07004" w14:textId="77777777" w:rsidR="00111959" w:rsidRPr="000B175B" w:rsidRDefault="00111959" w:rsidP="000B175B">
      <w:pPr>
        <w:tabs>
          <w:tab w:val="right" w:pos="2155"/>
        </w:tabs>
        <w:spacing w:after="80"/>
        <w:ind w:left="680"/>
        <w:rPr>
          <w:u w:val="single"/>
        </w:rPr>
      </w:pPr>
      <w:r>
        <w:rPr>
          <w:u w:val="single"/>
        </w:rPr>
        <w:tab/>
      </w:r>
    </w:p>
  </w:footnote>
  <w:footnote w:type="continuationSeparator" w:id="0">
    <w:p w14:paraId="53DFAE11" w14:textId="77777777" w:rsidR="00111959" w:rsidRPr="00FC68B7" w:rsidRDefault="00111959" w:rsidP="00FC68B7">
      <w:pPr>
        <w:tabs>
          <w:tab w:val="left" w:pos="2155"/>
        </w:tabs>
        <w:spacing w:after="80"/>
        <w:ind w:left="680"/>
        <w:rPr>
          <w:u w:val="single"/>
        </w:rPr>
      </w:pPr>
      <w:r>
        <w:rPr>
          <w:u w:val="single"/>
        </w:rPr>
        <w:tab/>
      </w:r>
    </w:p>
  </w:footnote>
  <w:footnote w:type="continuationNotice" w:id="1">
    <w:p w14:paraId="0777C74B" w14:textId="77777777" w:rsidR="00111959" w:rsidRDefault="00111959"/>
  </w:footnote>
  <w:footnote w:id="2">
    <w:p w14:paraId="7A3211AF" w14:textId="77777777" w:rsidR="004E71A9" w:rsidRPr="002232AF" w:rsidRDefault="004E71A9" w:rsidP="004E71A9">
      <w:pPr>
        <w:pStyle w:val="FootnoteText"/>
        <w:rPr>
          <w:lang w:val="en-US"/>
        </w:rPr>
      </w:pPr>
      <w:r>
        <w:tab/>
      </w:r>
      <w:r w:rsidRPr="002232AF">
        <w:rPr>
          <w:rStyle w:val="FootnoteReference"/>
          <w:sz w:val="20"/>
          <w:lang w:val="en-US"/>
        </w:rPr>
        <w:t>*</w:t>
      </w:r>
      <w:r w:rsidRPr="002232AF">
        <w:rPr>
          <w:sz w:val="20"/>
          <w:lang w:val="en-US"/>
        </w:rPr>
        <w:tab/>
      </w:r>
      <w:r w:rsidRPr="00187D49">
        <w:rPr>
          <w:szCs w:val="18"/>
          <w:lang w:val="en-US"/>
        </w:rPr>
        <w:t>In accordance with the programme of work of the Inland Transport Committee for 2021 as outlined in proposed programme budget for 2021 (A/75/6 (Sect.20), para 20.51), the World Forum will develop, harmonize and update UN Regulations in order to enhance the performance of vehicles. The present document is submitted in conformity with that mandate.</w:t>
      </w:r>
    </w:p>
  </w:footnote>
  <w:footnote w:id="3">
    <w:p w14:paraId="59BBF68C" w14:textId="487A4EA6" w:rsidR="004E71A9" w:rsidRPr="00965EF5" w:rsidRDefault="004E71A9" w:rsidP="004E71A9">
      <w:pPr>
        <w:pStyle w:val="FootnoteText"/>
        <w:rPr>
          <w:b/>
          <w:bCs/>
        </w:rPr>
      </w:pPr>
      <w:r>
        <w:tab/>
      </w:r>
      <w:r w:rsidRPr="00965EF5">
        <w:rPr>
          <w:rStyle w:val="FootnoteReference"/>
          <w:b/>
          <w:bCs/>
        </w:rPr>
        <w:footnoteRef/>
      </w:r>
      <w:r w:rsidRPr="00965EF5">
        <w:rPr>
          <w:b/>
          <w:bCs/>
        </w:rPr>
        <w:tab/>
        <w:t xml:space="preserve"> or WAD 2,100 in accordance with paragraph 11.9.</w:t>
      </w:r>
    </w:p>
  </w:footnote>
  <w:footnote w:id="4">
    <w:p w14:paraId="1AEE4462" w14:textId="3A7C4B1D" w:rsidR="004E71A9" w:rsidRPr="005802B1" w:rsidRDefault="005802B1" w:rsidP="004E71A9">
      <w:pPr>
        <w:pStyle w:val="FootnoteText"/>
        <w:rPr>
          <w:b/>
          <w:bCs/>
        </w:rPr>
      </w:pPr>
      <w:r w:rsidRPr="005802B1">
        <w:rPr>
          <w:b/>
          <w:bCs/>
        </w:rPr>
        <w:tab/>
      </w:r>
      <w:r w:rsidR="004E71A9" w:rsidRPr="005802B1">
        <w:rPr>
          <w:rStyle w:val="FootnoteReference"/>
          <w:b/>
          <w:bCs/>
        </w:rPr>
        <w:footnoteRef/>
      </w:r>
      <w:r w:rsidR="004E71A9" w:rsidRPr="005802B1">
        <w:rPr>
          <w:b/>
          <w:bCs/>
        </w:rPr>
        <w:t xml:space="preserve"> </w:t>
      </w:r>
      <w:r w:rsidRPr="005802B1">
        <w:rPr>
          <w:b/>
          <w:bCs/>
        </w:rPr>
        <w:tab/>
      </w:r>
      <w:r w:rsidR="004E71A9" w:rsidRPr="005802B1">
        <w:rPr>
          <w:b/>
          <w:bCs/>
        </w:rPr>
        <w:t>from WAD 2,100 front boundary, if applicable, in accordance with paragraph 11.9.</w:t>
      </w:r>
    </w:p>
  </w:footnote>
  <w:footnote w:id="5">
    <w:p w14:paraId="41C2302E" w14:textId="560EA067" w:rsidR="004E71A9" w:rsidRDefault="00260133" w:rsidP="004E71A9">
      <w:pPr>
        <w:pStyle w:val="FootnoteText"/>
      </w:pPr>
      <w:r>
        <w:tab/>
      </w:r>
      <w:r w:rsidR="004E71A9">
        <w:rPr>
          <w:rStyle w:val="FootnoteReference"/>
        </w:rPr>
        <w:footnoteRef/>
      </w:r>
      <w:r w:rsidR="004E71A9">
        <w:t xml:space="preserve"> </w:t>
      </w:r>
      <w:r>
        <w:tab/>
      </w:r>
      <w:r w:rsidR="004E71A9">
        <w:t>Coordinate system as defined by appendix 2 to Annex 1 of the Consolidated Resolution on the Construction of Vehicles (R.E.3).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E635" w14:textId="2326A7D0" w:rsidR="004E71A9" w:rsidRPr="004E71A9" w:rsidRDefault="00616EB8">
    <w:pPr>
      <w:pStyle w:val="Header"/>
    </w:pPr>
    <w:r>
      <w:t>ECE/TRANS/WP.29/GRSP/2021/28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08CF" w14:textId="3C0F4D06" w:rsidR="004E71A9" w:rsidRPr="004E71A9" w:rsidRDefault="00616EB8" w:rsidP="004E71A9">
    <w:pPr>
      <w:pStyle w:val="Header"/>
      <w:jc w:val="right"/>
    </w:pPr>
    <w:r>
      <w:t>ECE/TRANS/WP.29/GRSP/2021/28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9B73516"/>
    <w:multiLevelType w:val="hybridMultilevel"/>
    <w:tmpl w:val="80C6ABD0"/>
    <w:lvl w:ilvl="0" w:tplc="3F1EC4FC">
      <w:start w:val="1"/>
      <w:numFmt w:val="decimal"/>
      <w:lvlText w:val="%1."/>
      <w:lvlJc w:val="left"/>
      <w:pPr>
        <w:ind w:left="1704" w:hanging="570"/>
      </w:pPr>
    </w:lvl>
    <w:lvl w:ilvl="1" w:tplc="18090019">
      <w:start w:val="1"/>
      <w:numFmt w:val="lowerLetter"/>
      <w:lvlText w:val="%2."/>
      <w:lvlJc w:val="left"/>
      <w:pPr>
        <w:ind w:left="2214" w:hanging="360"/>
      </w:pPr>
    </w:lvl>
    <w:lvl w:ilvl="2" w:tplc="1809001B">
      <w:start w:val="1"/>
      <w:numFmt w:val="lowerRoman"/>
      <w:lvlText w:val="%3."/>
      <w:lvlJc w:val="right"/>
      <w:pPr>
        <w:ind w:left="2934" w:hanging="180"/>
      </w:pPr>
    </w:lvl>
    <w:lvl w:ilvl="3" w:tplc="1809000F">
      <w:start w:val="1"/>
      <w:numFmt w:val="decimal"/>
      <w:lvlText w:val="%4."/>
      <w:lvlJc w:val="left"/>
      <w:pPr>
        <w:ind w:left="3654" w:hanging="360"/>
      </w:p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start w:val="1"/>
      <w:numFmt w:val="lowerLetter"/>
      <w:lvlText w:val="%8."/>
      <w:lvlJc w:val="left"/>
      <w:pPr>
        <w:ind w:left="6534" w:hanging="360"/>
      </w:pPr>
    </w:lvl>
    <w:lvl w:ilvl="8" w:tplc="1809001B">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18"/>
  </w:num>
  <w:num w:numId="18">
    <w:abstractNumId w:val="19"/>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9"/>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11959"/>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60133"/>
    <w:rsid w:val="0027237A"/>
    <w:rsid w:val="002974E9"/>
    <w:rsid w:val="002A306B"/>
    <w:rsid w:val="002A7F94"/>
    <w:rsid w:val="002B109A"/>
    <w:rsid w:val="002B160C"/>
    <w:rsid w:val="002C6D45"/>
    <w:rsid w:val="002D6E53"/>
    <w:rsid w:val="002F046D"/>
    <w:rsid w:val="002F3023"/>
    <w:rsid w:val="003000AE"/>
    <w:rsid w:val="00301764"/>
    <w:rsid w:val="003229D8"/>
    <w:rsid w:val="00336C97"/>
    <w:rsid w:val="00337F88"/>
    <w:rsid w:val="00342432"/>
    <w:rsid w:val="0035223F"/>
    <w:rsid w:val="00352D4B"/>
    <w:rsid w:val="0035638C"/>
    <w:rsid w:val="00396613"/>
    <w:rsid w:val="003A46BB"/>
    <w:rsid w:val="003A4EC7"/>
    <w:rsid w:val="003A7295"/>
    <w:rsid w:val="003B1F60"/>
    <w:rsid w:val="003C2CC4"/>
    <w:rsid w:val="003D4B23"/>
    <w:rsid w:val="003E278A"/>
    <w:rsid w:val="00413520"/>
    <w:rsid w:val="004325CB"/>
    <w:rsid w:val="00440A07"/>
    <w:rsid w:val="004500D4"/>
    <w:rsid w:val="00462880"/>
    <w:rsid w:val="00476F24"/>
    <w:rsid w:val="004A5D33"/>
    <w:rsid w:val="004C55B0"/>
    <w:rsid w:val="004E71A9"/>
    <w:rsid w:val="004F6BA0"/>
    <w:rsid w:val="00503BEA"/>
    <w:rsid w:val="00533616"/>
    <w:rsid w:val="00535ABA"/>
    <w:rsid w:val="0053768B"/>
    <w:rsid w:val="005420F2"/>
    <w:rsid w:val="0054285C"/>
    <w:rsid w:val="005802B1"/>
    <w:rsid w:val="00584173"/>
    <w:rsid w:val="00595520"/>
    <w:rsid w:val="005A44B9"/>
    <w:rsid w:val="005B1BA0"/>
    <w:rsid w:val="005B3DB3"/>
    <w:rsid w:val="005C0268"/>
    <w:rsid w:val="005D15CA"/>
    <w:rsid w:val="005F08DF"/>
    <w:rsid w:val="005F3066"/>
    <w:rsid w:val="005F3E61"/>
    <w:rsid w:val="00604DDD"/>
    <w:rsid w:val="006115CC"/>
    <w:rsid w:val="00611FC4"/>
    <w:rsid w:val="00616EB8"/>
    <w:rsid w:val="006176FB"/>
    <w:rsid w:val="00630FCB"/>
    <w:rsid w:val="00640B26"/>
    <w:rsid w:val="0065766B"/>
    <w:rsid w:val="006770B2"/>
    <w:rsid w:val="00686A48"/>
    <w:rsid w:val="0068763C"/>
    <w:rsid w:val="006927E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4B5F"/>
    <w:rsid w:val="007D6F65"/>
    <w:rsid w:val="007D7362"/>
    <w:rsid w:val="007F0175"/>
    <w:rsid w:val="007F5CE2"/>
    <w:rsid w:val="007F6611"/>
    <w:rsid w:val="00810BAC"/>
    <w:rsid w:val="00815FA2"/>
    <w:rsid w:val="008175E9"/>
    <w:rsid w:val="008242D7"/>
    <w:rsid w:val="0082577B"/>
    <w:rsid w:val="00825CB5"/>
    <w:rsid w:val="0083473C"/>
    <w:rsid w:val="00866893"/>
    <w:rsid w:val="00866F02"/>
    <w:rsid w:val="00867D18"/>
    <w:rsid w:val="00871F9A"/>
    <w:rsid w:val="00871FD5"/>
    <w:rsid w:val="00877FA0"/>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8F63B9"/>
    <w:rsid w:val="00926E47"/>
    <w:rsid w:val="00947162"/>
    <w:rsid w:val="009610D0"/>
    <w:rsid w:val="0096375C"/>
    <w:rsid w:val="00965EF5"/>
    <w:rsid w:val="009662E6"/>
    <w:rsid w:val="0097095E"/>
    <w:rsid w:val="0098592B"/>
    <w:rsid w:val="00985FC4"/>
    <w:rsid w:val="00990766"/>
    <w:rsid w:val="00991261"/>
    <w:rsid w:val="0099346C"/>
    <w:rsid w:val="009964C4"/>
    <w:rsid w:val="009A7B81"/>
    <w:rsid w:val="009B4673"/>
    <w:rsid w:val="009B7EB7"/>
    <w:rsid w:val="009D01C0"/>
    <w:rsid w:val="009D6A08"/>
    <w:rsid w:val="009E0A16"/>
    <w:rsid w:val="009E6CB7"/>
    <w:rsid w:val="009E7970"/>
    <w:rsid w:val="009F2EAC"/>
    <w:rsid w:val="009F57E3"/>
    <w:rsid w:val="00A10F4F"/>
    <w:rsid w:val="00A11067"/>
    <w:rsid w:val="00A1704A"/>
    <w:rsid w:val="00A36AC2"/>
    <w:rsid w:val="00A425EB"/>
    <w:rsid w:val="00A72F22"/>
    <w:rsid w:val="00A733BC"/>
    <w:rsid w:val="00A748A6"/>
    <w:rsid w:val="00A76A69"/>
    <w:rsid w:val="00A879A4"/>
    <w:rsid w:val="00AA0FF8"/>
    <w:rsid w:val="00AA45B6"/>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B55"/>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2BDA"/>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87B20"/>
    <w:rsid w:val="00E905F4"/>
    <w:rsid w:val="00E916A9"/>
    <w:rsid w:val="00E916DE"/>
    <w:rsid w:val="00E925AD"/>
    <w:rsid w:val="00E96630"/>
    <w:rsid w:val="00E97DFF"/>
    <w:rsid w:val="00EA1295"/>
    <w:rsid w:val="00ED18DC"/>
    <w:rsid w:val="00ED6201"/>
    <w:rsid w:val="00ED7A2A"/>
    <w:rsid w:val="00EF1D7F"/>
    <w:rsid w:val="00F0137E"/>
    <w:rsid w:val="00F04E44"/>
    <w:rsid w:val="00F15D15"/>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83F09A2"/>
  <w15:docId w15:val="{DC0D2785-B2DE-4C21-B4CB-009E40BD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4E71A9"/>
    <w:rPr>
      <w:lang w:val="en-GB"/>
    </w:rPr>
  </w:style>
  <w:style w:type="character" w:customStyle="1" w:styleId="HChGChar">
    <w:name w:val="_ H _Ch_G Char"/>
    <w:link w:val="HChG"/>
    <w:rsid w:val="004E71A9"/>
    <w:rPr>
      <w:b/>
      <w:sz w:val="28"/>
      <w:lang w:val="en-GB"/>
    </w:rPr>
  </w:style>
  <w:style w:type="paragraph" w:customStyle="1" w:styleId="Text">
    <w:name w:val="Text"/>
    <w:rsid w:val="004E71A9"/>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ko-KR"/>
    </w:rPr>
  </w:style>
  <w:style w:type="paragraph" w:customStyle="1" w:styleId="Default">
    <w:name w:val="Default"/>
    <w:rsid w:val="004E71A9"/>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AEA1CD0B-2DFA-462F-A31E-A6470FA12479}"/>
</file>

<file path=customXml/itemProps3.xml><?xml version="1.0" encoding="utf-8"?>
<ds:datastoreItem xmlns:ds="http://schemas.openxmlformats.org/officeDocument/2006/customXml" ds:itemID="{E43F3B67-4E8D-4794-BF92-DD918881B537}"/>
</file>

<file path=customXml/itemProps4.xml><?xml version="1.0" encoding="utf-8"?>
<ds:datastoreItem xmlns:ds="http://schemas.openxmlformats.org/officeDocument/2006/customXml" ds:itemID="{89ECA8D1-8975-4B0E-95E3-80C3BEA24F6C}"/>
</file>

<file path=docProps/app.xml><?xml version="1.0" encoding="utf-8"?>
<Properties xmlns="http://schemas.openxmlformats.org/officeDocument/2006/extended-properties" xmlns:vt="http://schemas.openxmlformats.org/officeDocument/2006/docPropsVTypes">
  <Template>normal.dotm</Template>
  <TotalTime>0</TotalTime>
  <Pages>9</Pages>
  <Words>3740</Words>
  <Characters>18844</Characters>
  <Application>Microsoft Office Word</Application>
  <DocSecurity>0</DocSecurity>
  <Lines>504</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ECE/TRANS/WP.29/GRSP/2021/28</vt:lpstr>
      <vt:lpstr/>
    </vt:vector>
  </TitlesOfParts>
  <Company>CSD</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ECE/TRANS/WP.29/GRSP/2021/28</dc:title>
  <dc:subject>2113282</dc:subject>
  <dc:creator>Edoardo Gianotti</dc:creator>
  <cp:keywords/>
  <dc:description/>
  <cp:lastModifiedBy>Anni Vi Tirol</cp:lastModifiedBy>
  <cp:revision>2</cp:revision>
  <cp:lastPrinted>2021-09-20T16:04:00Z</cp:lastPrinted>
  <dcterms:created xsi:type="dcterms:W3CDTF">2021-09-21T10:49:00Z</dcterms:created>
  <dcterms:modified xsi:type="dcterms:W3CDTF">2021-09-21T10:49:00Z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