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DFAF45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938119F" w14:textId="77777777" w:rsidR="00F35BAF" w:rsidRPr="00DB58B5" w:rsidRDefault="00F35BAF" w:rsidP="002E416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708E94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EA7E46" w14:textId="0A4F663D" w:rsidR="00F35BAF" w:rsidRPr="00DB58B5" w:rsidRDefault="002E416F" w:rsidP="002E416F">
            <w:pPr>
              <w:jc w:val="right"/>
            </w:pPr>
            <w:r w:rsidRPr="002E416F">
              <w:rPr>
                <w:sz w:val="40"/>
              </w:rPr>
              <w:t>ECE</w:t>
            </w:r>
            <w:r>
              <w:t>/TRANS/WP.29/GRSP/2021/25</w:t>
            </w:r>
          </w:p>
        </w:tc>
      </w:tr>
      <w:tr w:rsidR="00F35BAF" w:rsidRPr="00DB58B5" w14:paraId="33357F6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F7D385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3EB8A1C" wp14:editId="2E1E3BF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E7A0C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802EC2D" w14:textId="77777777" w:rsidR="00F35BAF" w:rsidRDefault="002E416F" w:rsidP="00C97039">
            <w:pPr>
              <w:spacing w:before="240"/>
            </w:pPr>
            <w:r>
              <w:t>Distr. générale</w:t>
            </w:r>
          </w:p>
          <w:p w14:paraId="629FF738" w14:textId="77777777" w:rsidR="002E416F" w:rsidRDefault="002E416F" w:rsidP="002E416F">
            <w:pPr>
              <w:spacing w:line="240" w:lineRule="exact"/>
            </w:pPr>
            <w:r>
              <w:t>21 septembre 2021</w:t>
            </w:r>
          </w:p>
          <w:p w14:paraId="404B4C1A" w14:textId="77777777" w:rsidR="002E416F" w:rsidRDefault="002E416F" w:rsidP="002E416F">
            <w:pPr>
              <w:spacing w:line="240" w:lineRule="exact"/>
            </w:pPr>
            <w:r>
              <w:t>Français</w:t>
            </w:r>
          </w:p>
          <w:p w14:paraId="1E0EA751" w14:textId="3112A497" w:rsidR="002E416F" w:rsidRPr="00DB58B5" w:rsidRDefault="002E416F" w:rsidP="002E416F">
            <w:pPr>
              <w:spacing w:line="240" w:lineRule="exact"/>
            </w:pPr>
            <w:r>
              <w:t>Original : anglais</w:t>
            </w:r>
          </w:p>
        </w:tc>
      </w:tr>
    </w:tbl>
    <w:p w14:paraId="266670DC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3046FD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D84FD21" w14:textId="77777777" w:rsidR="002E416F" w:rsidRDefault="002E416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1EFC03C" w14:textId="77777777" w:rsidR="002E416F" w:rsidRDefault="002E416F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14:paraId="15203407" w14:textId="77777777" w:rsidR="002E416F" w:rsidRPr="003212C9" w:rsidRDefault="002E416F" w:rsidP="002E416F">
      <w:pPr>
        <w:spacing w:before="120" w:line="240" w:lineRule="auto"/>
        <w:rPr>
          <w:rFonts w:eastAsia="Times New Roman"/>
          <w:b/>
        </w:rPr>
      </w:pPr>
      <w:r w:rsidRPr="003212C9">
        <w:rPr>
          <w:b/>
          <w:bCs/>
        </w:rPr>
        <w:t>Soixante-dixième session</w:t>
      </w:r>
    </w:p>
    <w:p w14:paraId="0F78A31F" w14:textId="77777777" w:rsidR="002E416F" w:rsidRPr="003212C9" w:rsidRDefault="002E416F" w:rsidP="002E416F">
      <w:pPr>
        <w:spacing w:line="240" w:lineRule="auto"/>
        <w:rPr>
          <w:rFonts w:eastAsia="Times New Roman"/>
        </w:rPr>
      </w:pPr>
      <w:r w:rsidRPr="003212C9">
        <w:t>Genève, 6-10 décembre 2021</w:t>
      </w:r>
    </w:p>
    <w:p w14:paraId="2216A70B" w14:textId="77777777" w:rsidR="002E416F" w:rsidRPr="003212C9" w:rsidRDefault="002E416F" w:rsidP="002E416F">
      <w:pPr>
        <w:spacing w:line="240" w:lineRule="auto"/>
        <w:rPr>
          <w:rFonts w:eastAsia="Times New Roman"/>
        </w:rPr>
      </w:pPr>
      <w:r w:rsidRPr="003212C9">
        <w:t>Point 6 de l</w:t>
      </w:r>
      <w:r>
        <w:t>’</w:t>
      </w:r>
      <w:r w:rsidRPr="003212C9">
        <w:t>ordre du jour provisoire</w:t>
      </w:r>
    </w:p>
    <w:p w14:paraId="5A130F1C" w14:textId="77777777" w:rsidR="002E416F" w:rsidRPr="003212C9" w:rsidRDefault="002E416F" w:rsidP="002E416F">
      <w:pPr>
        <w:spacing w:line="240" w:lineRule="auto"/>
        <w:rPr>
          <w:rFonts w:eastAsia="Times New Roman"/>
          <w:b/>
        </w:rPr>
      </w:pPr>
      <w:r w:rsidRPr="003212C9">
        <w:rPr>
          <w:b/>
          <w:bCs/>
        </w:rPr>
        <w:t>Règlement ONU n</w:t>
      </w:r>
      <w:r w:rsidRPr="003212C9">
        <w:rPr>
          <w:b/>
          <w:bCs/>
          <w:vertAlign w:val="superscript"/>
        </w:rPr>
        <w:t>o</w:t>
      </w:r>
      <w:r w:rsidRPr="003212C9">
        <w:rPr>
          <w:b/>
          <w:bCs/>
        </w:rPr>
        <w:t> 16 (Ceintures de sécurité)</w:t>
      </w:r>
    </w:p>
    <w:p w14:paraId="28379544" w14:textId="77777777" w:rsidR="002E416F" w:rsidRPr="003212C9" w:rsidRDefault="002E416F" w:rsidP="002E416F">
      <w:pPr>
        <w:pStyle w:val="HChG"/>
        <w:rPr>
          <w:rFonts w:eastAsia="Times New Roman"/>
        </w:rPr>
      </w:pPr>
      <w:r w:rsidRPr="003212C9">
        <w:tab/>
      </w:r>
      <w:r w:rsidRPr="003212C9">
        <w:tab/>
      </w:r>
      <w:r w:rsidRPr="000C13AB">
        <w:t>Proposition</w:t>
      </w:r>
      <w:r w:rsidRPr="003212C9">
        <w:t xml:space="preserve"> de complément 4 à la série 08 d</w:t>
      </w:r>
      <w:r>
        <w:t>’</w:t>
      </w:r>
      <w:r w:rsidRPr="003212C9">
        <w:t xml:space="preserve">amendements </w:t>
      </w:r>
      <w:r>
        <w:br/>
      </w:r>
      <w:r w:rsidRPr="003212C9">
        <w:t>au Règlement ONU n</w:t>
      </w:r>
      <w:r w:rsidRPr="003212C9">
        <w:rPr>
          <w:vertAlign w:val="superscript"/>
        </w:rPr>
        <w:t>o</w:t>
      </w:r>
      <w:r w:rsidRPr="003212C9">
        <w:t xml:space="preserve"> 16 (Ceintures de sécurité) </w:t>
      </w:r>
    </w:p>
    <w:p w14:paraId="77662159" w14:textId="01E79C4B" w:rsidR="002E416F" w:rsidRPr="003212C9" w:rsidRDefault="002E416F" w:rsidP="002E416F">
      <w:pPr>
        <w:pStyle w:val="H1G"/>
        <w:rPr>
          <w:rFonts w:eastAsia="Times New Roman"/>
        </w:rPr>
      </w:pPr>
      <w:r w:rsidRPr="003212C9">
        <w:tab/>
      </w:r>
      <w:r w:rsidRPr="003212C9">
        <w:tab/>
        <w:t>Communication de l</w:t>
      </w:r>
      <w:r>
        <w:t>’</w:t>
      </w:r>
      <w:r w:rsidRPr="003212C9">
        <w:t>expert de l</w:t>
      </w:r>
      <w:r>
        <w:t>’</w:t>
      </w:r>
      <w:r w:rsidRPr="003212C9">
        <w:t xml:space="preserve">Association européenne </w:t>
      </w:r>
      <w:r>
        <w:br/>
      </w:r>
      <w:r w:rsidRPr="003212C9">
        <w:t>des fournisseurs de l</w:t>
      </w:r>
      <w:r>
        <w:t>’</w:t>
      </w:r>
      <w:r w:rsidRPr="003212C9">
        <w:t>automobile</w:t>
      </w:r>
      <w:r w:rsidRPr="002E416F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41A56C2" w14:textId="3AF91871" w:rsidR="002E416F" w:rsidRDefault="002E416F" w:rsidP="002E416F">
      <w:pPr>
        <w:pStyle w:val="SingleTxtG"/>
        <w:rPr>
          <w:rFonts w:eastAsia="Times New Roman"/>
          <w:sz w:val="18"/>
          <w:szCs w:val="18"/>
        </w:rPr>
      </w:pPr>
      <w:bookmarkStart w:id="0" w:name="_Hlk31700179"/>
      <w:r>
        <w:tab/>
      </w:r>
      <w:r>
        <w:tab/>
      </w:r>
      <w:r w:rsidRPr="003212C9">
        <w:t>Le texte ci-après, établi par l</w:t>
      </w:r>
      <w:r>
        <w:t>’</w:t>
      </w:r>
      <w:r w:rsidRPr="003212C9">
        <w:t>expert de l</w:t>
      </w:r>
      <w:r>
        <w:t>’</w:t>
      </w:r>
      <w:r w:rsidRPr="003212C9">
        <w:t>Association européenne des fournisseurs de l</w:t>
      </w:r>
      <w:r>
        <w:t>’</w:t>
      </w:r>
      <w:r w:rsidRPr="003212C9">
        <w:t xml:space="preserve">automobile (CLEPA), vise à modifier le volume actuel </w:t>
      </w:r>
      <w:r>
        <w:t xml:space="preserve">imparti au socle </w:t>
      </w:r>
      <w:r w:rsidRPr="003212C9">
        <w:t>de la béquille afin d</w:t>
      </w:r>
      <w:r>
        <w:t>’</w:t>
      </w:r>
      <w:r w:rsidRPr="003212C9">
        <w:t>améliorer sa compatibilité avec les gabarits servant à évaluer les dimensions externes d</w:t>
      </w:r>
      <w:r>
        <w:t>’</w:t>
      </w:r>
      <w:r w:rsidRPr="003212C9">
        <w:t>un système amélioré de retenue pour enfants. Les modifications qu</w:t>
      </w:r>
      <w:r>
        <w:t>’</w:t>
      </w:r>
      <w:r w:rsidRPr="003212C9">
        <w:t>il est proposé d</w:t>
      </w:r>
      <w:r>
        <w:t>’</w:t>
      </w:r>
      <w:r w:rsidRPr="003212C9">
        <w:t>apporter au texte actuel du Règlement ONU n</w:t>
      </w:r>
      <w:r w:rsidRPr="003212C9">
        <w:rPr>
          <w:vertAlign w:val="superscript"/>
        </w:rPr>
        <w:t>o</w:t>
      </w:r>
      <w:r w:rsidRPr="003212C9">
        <w:t xml:space="preserve"> 16 figurent en caractères gras pour les ajouts et biffés pour les suppressions. </w:t>
      </w:r>
      <w:bookmarkStart w:id="1" w:name="_Hlk32495709"/>
      <w:bookmarkEnd w:id="0"/>
      <w:bookmarkEnd w:id="1"/>
    </w:p>
    <w:p w14:paraId="42941FE8" w14:textId="0155A8AA" w:rsidR="002E416F" w:rsidRDefault="002E416F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51A7A420" w14:textId="608E4520" w:rsidR="002E416F" w:rsidRPr="003212C9" w:rsidRDefault="002E416F" w:rsidP="002E416F">
      <w:pPr>
        <w:pStyle w:val="HChG"/>
        <w:rPr>
          <w:lang w:val="fr-FR"/>
        </w:rPr>
      </w:pPr>
      <w:bookmarkStart w:id="2" w:name="_Hlk534364985"/>
      <w:r>
        <w:rPr>
          <w:lang w:val="fr-FR"/>
        </w:rPr>
        <w:lastRenderedPageBreak/>
        <w:tab/>
      </w:r>
      <w:r w:rsidRPr="003212C9">
        <w:rPr>
          <w:lang w:val="fr-FR"/>
        </w:rPr>
        <w:t>I.</w:t>
      </w:r>
      <w:r w:rsidRPr="003212C9">
        <w:rPr>
          <w:lang w:val="fr-FR"/>
        </w:rPr>
        <w:tab/>
        <w:t>Proposition</w:t>
      </w:r>
    </w:p>
    <w:p w14:paraId="275050B2" w14:textId="77777777" w:rsidR="002E416F" w:rsidRPr="003212C9" w:rsidRDefault="002E416F" w:rsidP="00DB5287">
      <w:pPr>
        <w:pStyle w:val="SingleTxtG"/>
        <w:rPr>
          <w:rFonts w:eastAsia="Times New Roman"/>
          <w:i/>
          <w:sz w:val="18"/>
          <w:szCs w:val="18"/>
        </w:rPr>
      </w:pPr>
      <w:r w:rsidRPr="003212C9">
        <w:rPr>
          <w:i/>
          <w:iCs/>
        </w:rPr>
        <w:t>Annexe 17, appendice 2, figure 9</w:t>
      </w:r>
      <w:r w:rsidRPr="003212C9">
        <w:t>, lire :</w:t>
      </w:r>
    </w:p>
    <w:p w14:paraId="2A4BC06A" w14:textId="2A698560" w:rsidR="002E416F" w:rsidRPr="00DB5287" w:rsidRDefault="002E416F" w:rsidP="00DB5287">
      <w:pPr>
        <w:pStyle w:val="Titre1"/>
        <w:rPr>
          <w:rFonts w:eastAsia="Times New Roman"/>
          <w:b/>
          <w:bCs/>
          <w:lang w:val="fr-FR"/>
        </w:rPr>
      </w:pPr>
      <w:r w:rsidRPr="003212C9">
        <w:rPr>
          <w:lang w:val="fr-FR"/>
        </w:rPr>
        <w:t>« Figure 9</w:t>
      </w:r>
      <w:r w:rsidR="00DB5287">
        <w:rPr>
          <w:lang w:val="fr-FR"/>
        </w:rPr>
        <w:br/>
      </w:r>
      <w:r w:rsidRPr="00DB5287">
        <w:rPr>
          <w:b/>
          <w:bCs/>
          <w:lang w:val="fr-FR"/>
        </w:rPr>
        <w:t xml:space="preserve">Vue latérale du volume imparti au socle de la béquille pour l’évaluation de la compatibilité </w:t>
      </w:r>
      <w:r w:rsidR="00DB5287">
        <w:rPr>
          <w:b/>
          <w:bCs/>
          <w:lang w:val="fr-FR"/>
        </w:rPr>
        <w:br/>
      </w:r>
      <w:r w:rsidRPr="00DB5287">
        <w:rPr>
          <w:b/>
          <w:bCs/>
          <w:lang w:val="fr-FR"/>
        </w:rPr>
        <w:t>des places assises i-Size avec les béquilles des dispositifs de retenue pour enfants i-Size</w:t>
      </w:r>
    </w:p>
    <w:p w14:paraId="372171C8" w14:textId="77777777" w:rsidR="002E416F" w:rsidRPr="003212C9" w:rsidRDefault="002E416F" w:rsidP="002E416F">
      <w:pPr>
        <w:spacing w:after="240" w:line="240" w:lineRule="auto"/>
        <w:ind w:left="1134" w:right="1134"/>
        <w:rPr>
          <w:rFonts w:eastAsia="Times New Roman"/>
          <w:bCs/>
          <w:i/>
          <w:iCs/>
          <w:lang w:val="en-GB"/>
        </w:rPr>
      </w:pPr>
      <w:r w:rsidRPr="003212C9">
        <w:rPr>
          <w:rFonts w:eastAsia="Times New Roman"/>
          <w:noProof/>
          <w:lang w:val="en-GB"/>
        </w:rPr>
        <w:drawing>
          <wp:inline distT="0" distB="0" distL="0" distR="0" wp14:anchorId="03069853" wp14:editId="2F0E6AFD">
            <wp:extent cx="2880000" cy="2771708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77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6E63E" w14:textId="77777777" w:rsidR="002E416F" w:rsidRPr="003212C9" w:rsidRDefault="002E416F" w:rsidP="00DB5287">
      <w:pPr>
        <w:pStyle w:val="SingleTxtG"/>
        <w:spacing w:after="0"/>
        <w:rPr>
          <w:rFonts w:eastAsia="Times New Roman"/>
          <w:i/>
          <w:spacing w:val="-2"/>
          <w:sz w:val="18"/>
          <w:szCs w:val="18"/>
        </w:rPr>
      </w:pPr>
      <w:r w:rsidRPr="003212C9">
        <w:rPr>
          <w:i/>
          <w:iCs/>
        </w:rPr>
        <w:t>Légende :</w:t>
      </w:r>
    </w:p>
    <w:p w14:paraId="1E8B912C" w14:textId="77777777" w:rsidR="002E416F" w:rsidRPr="003212C9" w:rsidRDefault="002E416F" w:rsidP="00DB5287">
      <w:pPr>
        <w:pStyle w:val="SingleTxtG"/>
        <w:spacing w:after="0"/>
        <w:ind w:left="1701" w:hanging="567"/>
        <w:rPr>
          <w:rFonts w:eastAsia="Times New Roman"/>
          <w:spacing w:val="-2"/>
          <w:sz w:val="18"/>
          <w:szCs w:val="18"/>
        </w:rPr>
      </w:pPr>
      <w:r w:rsidRPr="003212C9">
        <w:t>1.</w:t>
      </w:r>
      <w:r w:rsidRPr="003212C9">
        <w:tab/>
        <w:t>Gabarit du dispositif de retenue pour enfants.</w:t>
      </w:r>
    </w:p>
    <w:p w14:paraId="6B4D04BF" w14:textId="77777777" w:rsidR="002E416F" w:rsidRPr="003212C9" w:rsidRDefault="002E416F" w:rsidP="00DB5287">
      <w:pPr>
        <w:pStyle w:val="SingleTxtG"/>
        <w:spacing w:after="0"/>
        <w:ind w:left="1701" w:hanging="567"/>
        <w:rPr>
          <w:rFonts w:eastAsia="Times New Roman"/>
          <w:spacing w:val="-2"/>
          <w:sz w:val="18"/>
          <w:szCs w:val="18"/>
        </w:rPr>
      </w:pPr>
      <w:r w:rsidRPr="003212C9">
        <w:t>2.</w:t>
      </w:r>
      <w:r w:rsidRPr="003212C9">
        <w:tab/>
        <w:t>Barre d</w:t>
      </w:r>
      <w:r>
        <w:t>’</w:t>
      </w:r>
      <w:r w:rsidRPr="003212C9">
        <w:t>ancrage inférieur ISOFIX.</w:t>
      </w:r>
    </w:p>
    <w:p w14:paraId="04BC0355" w14:textId="77777777" w:rsidR="002E416F" w:rsidRPr="003212C9" w:rsidRDefault="002E416F" w:rsidP="00DB5287">
      <w:pPr>
        <w:pStyle w:val="SingleTxtG"/>
        <w:spacing w:after="0"/>
        <w:ind w:left="1701" w:hanging="567"/>
        <w:rPr>
          <w:rFonts w:eastAsia="Times New Roman"/>
          <w:spacing w:val="-2"/>
          <w:sz w:val="18"/>
          <w:szCs w:val="18"/>
        </w:rPr>
      </w:pPr>
      <w:r w:rsidRPr="003212C9">
        <w:t>3.</w:t>
      </w:r>
      <w:r w:rsidRPr="003212C9">
        <w:tab/>
        <w:t>Plan formé par la surface inférieure du gabarit lorsqu</w:t>
      </w:r>
      <w:r>
        <w:t>’</w:t>
      </w:r>
      <w:r w:rsidRPr="003212C9">
        <w:t>il est installé dans la position désignée.</w:t>
      </w:r>
    </w:p>
    <w:p w14:paraId="3BD895BE" w14:textId="77777777" w:rsidR="002E416F" w:rsidRPr="003212C9" w:rsidRDefault="002E416F" w:rsidP="00DB5287">
      <w:pPr>
        <w:pStyle w:val="SingleTxtG"/>
        <w:spacing w:after="0"/>
        <w:ind w:left="1701" w:hanging="567"/>
        <w:rPr>
          <w:rFonts w:eastAsia="Times New Roman"/>
          <w:spacing w:val="-2"/>
          <w:sz w:val="18"/>
          <w:szCs w:val="18"/>
        </w:rPr>
      </w:pPr>
      <w:r w:rsidRPr="003212C9">
        <w:t>4.</w:t>
      </w:r>
      <w:r w:rsidRPr="003212C9">
        <w:tab/>
        <w:t>Plan passant par la barre d</w:t>
      </w:r>
      <w:r>
        <w:t>’</w:t>
      </w:r>
      <w:r w:rsidRPr="003212C9">
        <w:t>ancrage inférieur et orienté perpendiculairement au plan longitudinal médian du gabarit et au plan formé par la surface inférieure du gabarit lorsqu</w:t>
      </w:r>
      <w:r>
        <w:t>’</w:t>
      </w:r>
      <w:r w:rsidRPr="003212C9">
        <w:t>il est installé dans la position désignée.</w:t>
      </w:r>
    </w:p>
    <w:p w14:paraId="7EF566E5" w14:textId="77777777" w:rsidR="002E416F" w:rsidRPr="003212C9" w:rsidRDefault="002E416F" w:rsidP="00DB5287">
      <w:pPr>
        <w:pStyle w:val="SingleTxtG"/>
        <w:spacing w:after="0"/>
        <w:ind w:left="1701" w:hanging="567"/>
        <w:rPr>
          <w:rFonts w:eastAsia="Times New Roman"/>
          <w:spacing w:val="-2"/>
          <w:sz w:val="18"/>
          <w:szCs w:val="18"/>
        </w:rPr>
      </w:pPr>
      <w:r w:rsidRPr="003212C9">
        <w:t>5.</w:t>
      </w:r>
      <w:r w:rsidRPr="003212C9">
        <w:tab/>
        <w:t>Volume imparti au socle de la béquille, représentant les limites géométriques de positionnement d</w:t>
      </w:r>
      <w:r>
        <w:t>’</w:t>
      </w:r>
      <w:r w:rsidRPr="003212C9">
        <w:t xml:space="preserve">une béquille de dispositif de retenue pour enfants de type i-Size. </w:t>
      </w:r>
    </w:p>
    <w:p w14:paraId="27796D55" w14:textId="77777777" w:rsidR="002E416F" w:rsidRPr="003212C9" w:rsidRDefault="002E416F" w:rsidP="00DB5287">
      <w:pPr>
        <w:pStyle w:val="SingleTxtG"/>
        <w:spacing w:after="0"/>
        <w:ind w:left="1701" w:hanging="567"/>
        <w:rPr>
          <w:rFonts w:eastAsia="Times New Roman"/>
          <w:spacing w:val="-2"/>
          <w:sz w:val="18"/>
          <w:szCs w:val="18"/>
        </w:rPr>
      </w:pPr>
      <w:r w:rsidRPr="003212C9">
        <w:t>6.</w:t>
      </w:r>
      <w:r w:rsidRPr="003212C9">
        <w:tab/>
        <w:t>Plancher du véhicule.</w:t>
      </w:r>
    </w:p>
    <w:p w14:paraId="78641F61" w14:textId="77777777" w:rsidR="002E416F" w:rsidRPr="003212C9" w:rsidRDefault="002E416F" w:rsidP="00DB5287">
      <w:pPr>
        <w:pStyle w:val="SingleTxtG"/>
        <w:spacing w:after="0"/>
        <w:rPr>
          <w:rFonts w:eastAsia="Times New Roman"/>
          <w:spacing w:val="-2"/>
          <w:sz w:val="18"/>
          <w:szCs w:val="18"/>
        </w:rPr>
      </w:pPr>
      <w:r w:rsidRPr="003212C9">
        <w:rPr>
          <w:i/>
          <w:iCs/>
        </w:rPr>
        <w:t>Note :</w:t>
      </w:r>
      <w:r w:rsidRPr="003212C9">
        <w:t xml:space="preserve"> Le dessin n</w:t>
      </w:r>
      <w:r>
        <w:t>’</w:t>
      </w:r>
      <w:r w:rsidRPr="003212C9">
        <w:t>est pas à l</w:t>
      </w:r>
      <w:r>
        <w:t>’</w:t>
      </w:r>
      <w:r w:rsidRPr="003212C9">
        <w:t>échelle. ».</w:t>
      </w:r>
    </w:p>
    <w:p w14:paraId="3414D3B6" w14:textId="77777777" w:rsidR="002E416F" w:rsidRPr="003212C9" w:rsidRDefault="002E416F" w:rsidP="002E416F">
      <w:pPr>
        <w:spacing w:line="240" w:lineRule="auto"/>
        <w:rPr>
          <w:rFonts w:eastAsia="Times New Roman"/>
          <w:i/>
        </w:rPr>
      </w:pPr>
      <w:r w:rsidRPr="003212C9">
        <w:rPr>
          <w:rFonts w:eastAsia="Times New Roman"/>
          <w:i/>
        </w:rPr>
        <w:br w:type="page"/>
      </w:r>
    </w:p>
    <w:p w14:paraId="1E0AB02E" w14:textId="77777777" w:rsidR="002E416F" w:rsidRPr="003212C9" w:rsidRDefault="002E416F" w:rsidP="00DB5287">
      <w:pPr>
        <w:pStyle w:val="SingleTxtG"/>
        <w:rPr>
          <w:rFonts w:eastAsia="Times New Roman"/>
          <w:i/>
        </w:rPr>
      </w:pPr>
      <w:r w:rsidRPr="003212C9">
        <w:rPr>
          <w:i/>
          <w:iCs/>
        </w:rPr>
        <w:lastRenderedPageBreak/>
        <w:t>Annexe 17, appendice 2, figure 10</w:t>
      </w:r>
      <w:r w:rsidRPr="003212C9">
        <w:t>, lire :</w:t>
      </w:r>
    </w:p>
    <w:p w14:paraId="275AE57A" w14:textId="6B8FEC41" w:rsidR="002E416F" w:rsidRPr="00DB5287" w:rsidRDefault="002E416F" w:rsidP="00DB5287">
      <w:pPr>
        <w:pStyle w:val="Titre1"/>
        <w:rPr>
          <w:rFonts w:eastAsia="Times New Roman"/>
          <w:b/>
          <w:bCs/>
        </w:rPr>
      </w:pPr>
      <w:r w:rsidRPr="003212C9">
        <w:rPr>
          <w:lang w:val="fr-FR"/>
        </w:rPr>
        <w:t>« Figure 10</w:t>
      </w:r>
      <w:r w:rsidR="00DB5287">
        <w:rPr>
          <w:lang w:val="fr-FR"/>
        </w:rPr>
        <w:br/>
      </w:r>
      <w:r w:rsidRPr="00DB5287">
        <w:rPr>
          <w:b/>
          <w:bCs/>
        </w:rPr>
        <w:t xml:space="preserve">Représentation en 3D du volume imparti au socle de la béquille pour l’évaluation </w:t>
      </w:r>
      <w:r w:rsidR="00DB5287">
        <w:rPr>
          <w:b/>
          <w:bCs/>
        </w:rPr>
        <w:br/>
      </w:r>
      <w:r w:rsidRPr="00DB5287">
        <w:rPr>
          <w:b/>
          <w:bCs/>
        </w:rPr>
        <w:t xml:space="preserve">de la compatibilité des places assises i-Size avec les béquilles des dispositifs </w:t>
      </w:r>
      <w:r w:rsidR="00DB5287">
        <w:rPr>
          <w:b/>
          <w:bCs/>
        </w:rPr>
        <w:br/>
      </w:r>
      <w:r w:rsidRPr="00DB5287">
        <w:rPr>
          <w:b/>
          <w:bCs/>
        </w:rPr>
        <w:t>de retenue pour enfants i-Size</w:t>
      </w:r>
    </w:p>
    <w:p w14:paraId="652248BE" w14:textId="77777777" w:rsidR="002E416F" w:rsidRPr="003212C9" w:rsidRDefault="002E416F" w:rsidP="002E416F">
      <w:pPr>
        <w:spacing w:after="240" w:line="240" w:lineRule="auto"/>
        <w:ind w:left="1134" w:right="1134"/>
        <w:rPr>
          <w:rFonts w:eastAsia="Times New Roman"/>
          <w:b/>
          <w:color w:val="000000"/>
          <w:lang w:val="en-GB"/>
        </w:rPr>
      </w:pPr>
      <w:r w:rsidRPr="003212C9">
        <w:rPr>
          <w:rFonts w:eastAsia="Times New Roman"/>
          <w:noProof/>
          <w:lang w:val="en-GB" w:eastAsia="en-GB"/>
        </w:rPr>
        <w:drawing>
          <wp:inline distT="0" distB="0" distL="0" distR="0" wp14:anchorId="572B46A6" wp14:editId="32423DE0">
            <wp:extent cx="3666014" cy="36000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6" r="29776"/>
                    <a:stretch/>
                  </pic:blipFill>
                  <pic:spPr bwMode="auto">
                    <a:xfrm>
                      <a:off x="0" y="0"/>
                      <a:ext cx="366601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4D8F8A" w14:textId="77777777" w:rsidR="002E416F" w:rsidRPr="00BA7B73" w:rsidRDefault="002E416F" w:rsidP="00DB5287">
      <w:pPr>
        <w:pStyle w:val="SingleTxtG"/>
        <w:spacing w:after="0"/>
        <w:rPr>
          <w:rFonts w:eastAsia="Times New Roman"/>
          <w:i/>
          <w:spacing w:val="-2"/>
          <w:sz w:val="18"/>
          <w:szCs w:val="18"/>
        </w:rPr>
      </w:pPr>
      <w:r w:rsidRPr="00BA7B73">
        <w:rPr>
          <w:i/>
          <w:iCs/>
        </w:rPr>
        <w:t>Légende :</w:t>
      </w:r>
    </w:p>
    <w:p w14:paraId="0D889E44" w14:textId="77777777" w:rsidR="002E416F" w:rsidRPr="00BA7B73" w:rsidRDefault="002E416F" w:rsidP="00DB5287">
      <w:pPr>
        <w:pStyle w:val="SingleTxtG"/>
        <w:spacing w:after="0"/>
        <w:ind w:left="1701" w:hanging="567"/>
        <w:rPr>
          <w:rFonts w:eastAsia="Times New Roman"/>
          <w:spacing w:val="-2"/>
          <w:sz w:val="18"/>
          <w:szCs w:val="18"/>
        </w:rPr>
      </w:pPr>
      <w:r w:rsidRPr="00BA7B73">
        <w:t>1.</w:t>
      </w:r>
      <w:r w:rsidRPr="00BA7B73">
        <w:tab/>
        <w:t>Gabarit du dispositif de retenue pour enfants.</w:t>
      </w:r>
    </w:p>
    <w:p w14:paraId="4D2C575E" w14:textId="77777777" w:rsidR="002E416F" w:rsidRPr="00BA7B73" w:rsidRDefault="002E416F" w:rsidP="00DB5287">
      <w:pPr>
        <w:pStyle w:val="SingleTxtG"/>
        <w:spacing w:after="0"/>
        <w:ind w:left="1701" w:hanging="567"/>
        <w:rPr>
          <w:rFonts w:eastAsia="Times New Roman"/>
          <w:spacing w:val="-2"/>
          <w:sz w:val="18"/>
          <w:szCs w:val="18"/>
        </w:rPr>
      </w:pPr>
      <w:r w:rsidRPr="00BA7B73">
        <w:t>2.</w:t>
      </w:r>
      <w:r w:rsidRPr="00BA7B73">
        <w:tab/>
        <w:t>Barre d</w:t>
      </w:r>
      <w:r>
        <w:t>’</w:t>
      </w:r>
      <w:r w:rsidRPr="00BA7B73">
        <w:t>ancrage inférieur ISOFIX.</w:t>
      </w:r>
    </w:p>
    <w:p w14:paraId="3920819F" w14:textId="77777777" w:rsidR="002E416F" w:rsidRPr="00BA7B73" w:rsidRDefault="002E416F" w:rsidP="00DB5287">
      <w:pPr>
        <w:pStyle w:val="SingleTxtG"/>
        <w:spacing w:after="0"/>
        <w:ind w:left="1701" w:hanging="567"/>
        <w:rPr>
          <w:rFonts w:eastAsia="Times New Roman"/>
          <w:spacing w:val="-2"/>
          <w:sz w:val="18"/>
          <w:szCs w:val="18"/>
        </w:rPr>
      </w:pPr>
      <w:r w:rsidRPr="00BA7B73">
        <w:t>3.</w:t>
      </w:r>
      <w:r w:rsidRPr="00BA7B73">
        <w:tab/>
        <w:t>Plan longitudinal médian du gabarit.</w:t>
      </w:r>
    </w:p>
    <w:p w14:paraId="2F198DC0" w14:textId="77777777" w:rsidR="002E416F" w:rsidRPr="00BA7B73" w:rsidRDefault="002E416F" w:rsidP="00DB5287">
      <w:pPr>
        <w:pStyle w:val="SingleTxtG"/>
        <w:spacing w:after="0"/>
        <w:ind w:left="1701" w:hanging="567"/>
        <w:rPr>
          <w:rFonts w:eastAsia="Times New Roman"/>
          <w:spacing w:val="-2"/>
          <w:sz w:val="18"/>
          <w:szCs w:val="18"/>
        </w:rPr>
      </w:pPr>
      <w:r w:rsidRPr="00BA7B73">
        <w:t>4.</w:t>
      </w:r>
      <w:r w:rsidRPr="00BA7B73">
        <w:tab/>
        <w:t>Volume imparti au socle de la béquille i-Size.</w:t>
      </w:r>
    </w:p>
    <w:p w14:paraId="025FC231" w14:textId="77777777" w:rsidR="002E416F" w:rsidRPr="00BA7B73" w:rsidRDefault="002E416F" w:rsidP="00DB5287">
      <w:pPr>
        <w:pStyle w:val="SingleTxtG"/>
        <w:spacing w:after="0"/>
        <w:ind w:left="1701" w:hanging="567"/>
        <w:rPr>
          <w:rFonts w:eastAsia="Times New Roman"/>
          <w:sz w:val="18"/>
          <w:szCs w:val="18"/>
        </w:rPr>
      </w:pPr>
      <w:r w:rsidRPr="00BA7B73">
        <w:rPr>
          <w:i/>
          <w:iCs/>
        </w:rPr>
        <w:t>Note :</w:t>
      </w:r>
      <w:r w:rsidRPr="00BA7B73">
        <w:t xml:space="preserve"> Le dessin n</w:t>
      </w:r>
      <w:r>
        <w:t>’</w:t>
      </w:r>
      <w:r w:rsidRPr="00BA7B73">
        <w:t>est pas à l</w:t>
      </w:r>
      <w:r>
        <w:t>’</w:t>
      </w:r>
      <w:r w:rsidRPr="00BA7B73">
        <w:t>échelle. ».</w:t>
      </w:r>
    </w:p>
    <w:p w14:paraId="2EA97132" w14:textId="77777777" w:rsidR="002E416F" w:rsidRPr="003212C9" w:rsidRDefault="002E416F" w:rsidP="002E416F">
      <w:pPr>
        <w:rPr>
          <w:rFonts w:eastAsia="Times New Roman"/>
          <w:i/>
          <w:spacing w:val="-2"/>
          <w:lang w:eastAsia="en-GB"/>
        </w:rPr>
      </w:pPr>
      <w:r w:rsidRPr="003212C9">
        <w:rPr>
          <w:rFonts w:eastAsia="Times New Roman"/>
          <w:i/>
          <w:spacing w:val="-2"/>
          <w:lang w:eastAsia="en-GB"/>
        </w:rPr>
        <w:br w:type="page"/>
      </w:r>
    </w:p>
    <w:p w14:paraId="35686921" w14:textId="77777777" w:rsidR="002E416F" w:rsidRPr="003212C9" w:rsidRDefault="002E416F" w:rsidP="00DB5287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Pr="003212C9">
        <w:rPr>
          <w:lang w:val="fr-FR"/>
        </w:rPr>
        <w:t>II.</w:t>
      </w:r>
      <w:r w:rsidRPr="003212C9">
        <w:rPr>
          <w:lang w:val="fr-FR"/>
        </w:rPr>
        <w:tab/>
        <w:t>Justification</w:t>
      </w:r>
    </w:p>
    <w:p w14:paraId="0195D8EE" w14:textId="77777777" w:rsidR="002E416F" w:rsidRPr="00BA7B73" w:rsidRDefault="002E416F" w:rsidP="00DB5287">
      <w:pPr>
        <w:pStyle w:val="SingleTxtG"/>
        <w:rPr>
          <w:rFonts w:eastAsia="Times New Roman"/>
          <w:sz w:val="18"/>
          <w:szCs w:val="18"/>
        </w:rPr>
      </w:pPr>
      <w:r w:rsidRPr="00BA7B73">
        <w:t>1.</w:t>
      </w:r>
      <w:r w:rsidRPr="00BA7B73">
        <w:tab/>
        <w:t>Le Règlement ONU n</w:t>
      </w:r>
      <w:r w:rsidRPr="00BA7B73">
        <w:rPr>
          <w:vertAlign w:val="superscript"/>
        </w:rPr>
        <w:t>o</w:t>
      </w:r>
      <w:r w:rsidRPr="00BA7B73">
        <w:t> 16 définit les dimensions des enveloppes des gabarits ISO/R2 et ISO/F2X. La ligne discontinue 2 marque la zone où une béquille ou un élément similaire peut faire saillie. Pour l</w:t>
      </w:r>
      <w:r>
        <w:t>’</w:t>
      </w:r>
      <w:r w:rsidRPr="00BA7B73">
        <w:t>enveloppe ISO/F2X, la hauteur prévue est de 200 </w:t>
      </w:r>
      <w:proofErr w:type="spellStart"/>
      <w:r w:rsidRPr="00BA7B73">
        <w:t>mm.</w:t>
      </w:r>
      <w:proofErr w:type="spellEnd"/>
      <w:r w:rsidRPr="00BA7B73">
        <w:t xml:space="preserve"> </w:t>
      </w:r>
    </w:p>
    <w:p w14:paraId="6CAFCFF1" w14:textId="77777777" w:rsidR="002E416F" w:rsidRPr="00BA7B73" w:rsidRDefault="002E416F" w:rsidP="00DB5287">
      <w:pPr>
        <w:pStyle w:val="Titre1"/>
        <w:rPr>
          <w:rFonts w:eastAsia="Times New Roman"/>
          <w:b/>
          <w:bCs/>
          <w:sz w:val="18"/>
          <w:szCs w:val="18"/>
        </w:rPr>
      </w:pPr>
      <w:r w:rsidRPr="00BA7B73">
        <w:rPr>
          <w:rFonts w:eastAsia="Times New Roman"/>
          <w:noProof/>
          <w:sz w:val="18"/>
          <w:szCs w:val="18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C7F9C" wp14:editId="3BC85738">
                <wp:simplePos x="0" y="0"/>
                <wp:positionH relativeFrom="column">
                  <wp:posOffset>2900680</wp:posOffset>
                </wp:positionH>
                <wp:positionV relativeFrom="paragraph">
                  <wp:posOffset>518041</wp:posOffset>
                </wp:positionV>
                <wp:extent cx="2360930" cy="1538605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C5555" w14:textId="77777777" w:rsidR="002E416F" w:rsidRPr="00BA7B73" w:rsidRDefault="002E416F" w:rsidP="002E416F">
                            <w:pPr>
                              <w:ind w:left="567" w:hanging="567"/>
                              <w:rPr>
                                <w:sz w:val="16"/>
                                <w:szCs w:val="16"/>
                              </w:rPr>
                            </w:pPr>
                            <w:r w:rsidRPr="00BA7B73">
                              <w:rPr>
                                <w:sz w:val="16"/>
                                <w:szCs w:val="16"/>
                              </w:rPr>
                              <w:t>(Cotes en mm)</w:t>
                            </w:r>
                          </w:p>
                          <w:p w14:paraId="4D92831B" w14:textId="77777777" w:rsidR="002E416F" w:rsidRPr="00BA7B73" w:rsidRDefault="002E416F" w:rsidP="002E416F">
                            <w:pPr>
                              <w:ind w:left="567" w:hanging="567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BC8BDD" w14:textId="77777777" w:rsidR="002E416F" w:rsidRPr="00BA7B73" w:rsidRDefault="002E416F" w:rsidP="002E416F">
                            <w:pPr>
                              <w:ind w:left="567" w:hanging="567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A7B7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Légende :</w:t>
                            </w:r>
                          </w:p>
                          <w:p w14:paraId="444E43B9" w14:textId="18D75793" w:rsidR="002E416F" w:rsidRPr="00BA7B73" w:rsidRDefault="002E416F" w:rsidP="002E416F">
                            <w:pPr>
                              <w:ind w:left="567" w:hanging="567"/>
                              <w:rPr>
                                <w:sz w:val="16"/>
                                <w:szCs w:val="16"/>
                              </w:rPr>
                            </w:pPr>
                            <w:r w:rsidRPr="00BA7B73"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  <w:r w:rsidRPr="00BA7B73">
                              <w:rPr>
                                <w:sz w:val="16"/>
                                <w:szCs w:val="16"/>
                              </w:rPr>
                              <w:tab/>
                              <w:t>Limites vers l’avant et vers le haut.</w:t>
                            </w:r>
                          </w:p>
                          <w:p w14:paraId="0988F105" w14:textId="77777777" w:rsidR="002E416F" w:rsidRPr="00BA7B73" w:rsidRDefault="002E416F" w:rsidP="00DB5287">
                            <w:pPr>
                              <w:spacing w:line="200" w:lineRule="atLeast"/>
                              <w:ind w:left="567" w:hanging="567"/>
                              <w:rPr>
                                <w:sz w:val="16"/>
                                <w:szCs w:val="16"/>
                              </w:rPr>
                            </w:pPr>
                            <w:r w:rsidRPr="00BA7B73">
                              <w:rPr>
                                <w:sz w:val="16"/>
                                <w:szCs w:val="16"/>
                              </w:rPr>
                              <w:t>2.</w:t>
                            </w:r>
                            <w:r w:rsidRPr="00BA7B73">
                              <w:rPr>
                                <w:sz w:val="16"/>
                                <w:szCs w:val="16"/>
                              </w:rPr>
                              <w:tab/>
                              <w:t>La ligne discontinue marque la zone où une béquille ou un élément similaire peut faire saillie.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C7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4pt;margin-top:40.8pt;width:185.9pt;height:121.1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" stroked="f">
                <v:textbox>
                  <w:txbxContent>
                    <w:p w14:paraId="68EC5555" w14:textId="77777777" w:rsidR="002E416F" w:rsidRPr="00BA7B73" w:rsidRDefault="002E416F" w:rsidP="002E416F">
                      <w:pPr>
                        <w:ind w:left="567" w:hanging="567"/>
                        <w:rPr>
                          <w:sz w:val="16"/>
                          <w:szCs w:val="16"/>
                        </w:rPr>
                      </w:pPr>
                      <w:r w:rsidRPr="00BA7B73">
                        <w:rPr>
                          <w:sz w:val="16"/>
                          <w:szCs w:val="16"/>
                        </w:rPr>
                        <w:t>(Cotes en mm)</w:t>
                      </w:r>
                    </w:p>
                    <w:p w14:paraId="4D92831B" w14:textId="77777777" w:rsidR="002E416F" w:rsidRPr="00BA7B73" w:rsidRDefault="002E416F" w:rsidP="002E416F">
                      <w:pPr>
                        <w:ind w:left="567" w:hanging="567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8BC8BDD" w14:textId="77777777" w:rsidR="002E416F" w:rsidRPr="00BA7B73" w:rsidRDefault="002E416F" w:rsidP="002E416F">
                      <w:pPr>
                        <w:ind w:left="567" w:hanging="567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A7B73">
                        <w:rPr>
                          <w:b/>
                          <w:bCs/>
                          <w:sz w:val="16"/>
                          <w:szCs w:val="16"/>
                        </w:rPr>
                        <w:t>Légende :</w:t>
                      </w:r>
                    </w:p>
                    <w:p w14:paraId="444E43B9" w14:textId="18D75793" w:rsidR="002E416F" w:rsidRPr="00BA7B73" w:rsidRDefault="002E416F" w:rsidP="002E416F">
                      <w:pPr>
                        <w:ind w:left="567" w:hanging="567"/>
                        <w:rPr>
                          <w:sz w:val="16"/>
                          <w:szCs w:val="16"/>
                        </w:rPr>
                      </w:pPr>
                      <w:r w:rsidRPr="00BA7B73">
                        <w:rPr>
                          <w:sz w:val="16"/>
                          <w:szCs w:val="16"/>
                        </w:rPr>
                        <w:t>1.</w:t>
                      </w:r>
                      <w:r w:rsidRPr="00BA7B73">
                        <w:rPr>
                          <w:sz w:val="16"/>
                          <w:szCs w:val="16"/>
                        </w:rPr>
                        <w:tab/>
                        <w:t>Limites vers l’avant et vers le haut.</w:t>
                      </w:r>
                    </w:p>
                    <w:p w14:paraId="0988F105" w14:textId="77777777" w:rsidR="002E416F" w:rsidRPr="00BA7B73" w:rsidRDefault="002E416F" w:rsidP="00DB5287">
                      <w:pPr>
                        <w:spacing w:line="200" w:lineRule="atLeast"/>
                        <w:ind w:left="567" w:hanging="567"/>
                        <w:rPr>
                          <w:sz w:val="16"/>
                          <w:szCs w:val="16"/>
                        </w:rPr>
                      </w:pPr>
                      <w:r w:rsidRPr="00BA7B73">
                        <w:rPr>
                          <w:sz w:val="16"/>
                          <w:szCs w:val="16"/>
                        </w:rPr>
                        <w:t>2.</w:t>
                      </w:r>
                      <w:r w:rsidRPr="00BA7B73">
                        <w:rPr>
                          <w:sz w:val="16"/>
                          <w:szCs w:val="16"/>
                        </w:rPr>
                        <w:tab/>
                        <w:t>La ligne discontinue marque la zone où une béquille ou un élément similaire peut faire saillie.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7B73">
        <w:t xml:space="preserve">Figure </w:t>
      </w:r>
      <w:r>
        <w:br/>
      </w:r>
      <w:r w:rsidRPr="00BA7B73">
        <w:rPr>
          <w:b/>
          <w:bCs/>
        </w:rPr>
        <w:t>ISO/…</w:t>
      </w:r>
    </w:p>
    <w:p w14:paraId="2FC93435" w14:textId="77777777" w:rsidR="002E416F" w:rsidRPr="00BA7B73" w:rsidRDefault="002E416F" w:rsidP="002E416F">
      <w:pPr>
        <w:spacing w:after="120"/>
        <w:ind w:left="1134" w:right="1134"/>
        <w:jc w:val="both"/>
        <w:rPr>
          <w:rFonts w:eastAsia="Times New Roman"/>
          <w:sz w:val="18"/>
          <w:szCs w:val="18"/>
        </w:rPr>
      </w:pPr>
      <w:r w:rsidRPr="00BA7B73">
        <w:rPr>
          <w:rFonts w:eastAsia="Times New Roman"/>
          <w:noProof/>
          <w:sz w:val="18"/>
          <w:szCs w:val="18"/>
          <w:lang w:val="en-GB"/>
        </w:rPr>
        <w:drawing>
          <wp:anchor distT="0" distB="0" distL="114300" distR="114300" simplePos="0" relativeHeight="251660288" behindDoc="0" locked="0" layoutInCell="1" allowOverlap="1" wp14:anchorId="0FC6C721" wp14:editId="57D1F0EA">
            <wp:simplePos x="0" y="0"/>
            <wp:positionH relativeFrom="column">
              <wp:posOffset>577215</wp:posOffset>
            </wp:positionH>
            <wp:positionV relativeFrom="paragraph">
              <wp:posOffset>26670</wp:posOffset>
            </wp:positionV>
            <wp:extent cx="2235200" cy="1823085"/>
            <wp:effectExtent l="0" t="0" r="0" b="5715"/>
            <wp:wrapThrough wrapText="bothSides">
              <wp:wrapPolygon edited="0">
                <wp:start x="0" y="0"/>
                <wp:lineTo x="0" y="21442"/>
                <wp:lineTo x="21355" y="21442"/>
                <wp:lineTo x="21355" y="0"/>
                <wp:lineTo x="0" y="0"/>
              </wp:wrapPolygon>
            </wp:wrapThrough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AA68F" w14:textId="77777777" w:rsidR="00DB5287" w:rsidRDefault="00DB5287" w:rsidP="00DB5287">
      <w:pPr>
        <w:pStyle w:val="SingleTxtG"/>
        <w:spacing w:after="0"/>
      </w:pPr>
    </w:p>
    <w:p w14:paraId="54E4AA99" w14:textId="2EFB2942" w:rsidR="002E416F" w:rsidRPr="00BA7B73" w:rsidRDefault="002E416F" w:rsidP="00DB5287">
      <w:pPr>
        <w:pStyle w:val="SingleTxtG"/>
        <w:rPr>
          <w:rFonts w:eastAsia="Times New Roman"/>
          <w:sz w:val="18"/>
          <w:szCs w:val="18"/>
        </w:rPr>
      </w:pPr>
      <w:r w:rsidRPr="00BA7B73">
        <w:t>2.</w:t>
      </w:r>
      <w:r w:rsidRPr="00BA7B73">
        <w:tab/>
        <w:t xml:space="preserve">Dans la présente proposition, la partie supérieure du volume </w:t>
      </w:r>
      <w:r>
        <w:t xml:space="preserve">imparti au socle </w:t>
      </w:r>
      <w:r w:rsidRPr="00BA7B73">
        <w:t>de la béquille a été relevée pour correspondre à l</w:t>
      </w:r>
      <w:r>
        <w:t>’</w:t>
      </w:r>
      <w:r w:rsidRPr="00BA7B73">
        <w:t>ouverture prévue dans l</w:t>
      </w:r>
      <w:r>
        <w:t>’</w:t>
      </w:r>
      <w:r w:rsidRPr="00BA7B73">
        <w:t xml:space="preserve">enveloppe ISO/F2X et offrir un espace plus grand. Augmenter la hauteur du volume imparti </w:t>
      </w:r>
      <w:r>
        <w:t>au socle de</w:t>
      </w:r>
      <w:r w:rsidRPr="00BA7B73">
        <w:t xml:space="preserve"> la béquille permet</w:t>
      </w:r>
      <w:r>
        <w:t>tra</w:t>
      </w:r>
      <w:r w:rsidRPr="00BA7B73">
        <w:t xml:space="preserve"> d</w:t>
      </w:r>
      <w:r>
        <w:t>’</w:t>
      </w:r>
      <w:r w:rsidRPr="00BA7B73">
        <w:t>améliorer sa compatibilité avec les enveloppes ISO, ce qui sera particulièrement utile pour les systèmes de retenue pour enfants de grande taille orientés vers l</w:t>
      </w:r>
      <w:r>
        <w:t>’</w:t>
      </w:r>
      <w:r w:rsidRPr="00BA7B73">
        <w:t xml:space="preserve">arrière </w:t>
      </w:r>
      <w:r>
        <w:t xml:space="preserve">et </w:t>
      </w:r>
      <w:r w:rsidRPr="00BA7B73">
        <w:t xml:space="preserve">munis de béquilles. </w:t>
      </w:r>
    </w:p>
    <w:p w14:paraId="63718526" w14:textId="77777777" w:rsidR="002E416F" w:rsidRPr="00BA7B73" w:rsidRDefault="002E416F" w:rsidP="00DB5287">
      <w:pPr>
        <w:pStyle w:val="SingleTxtG"/>
        <w:rPr>
          <w:rFonts w:eastAsia="Times New Roman"/>
          <w:sz w:val="18"/>
          <w:szCs w:val="18"/>
        </w:rPr>
      </w:pPr>
      <w:r w:rsidRPr="00BA7B73">
        <w:t>3.</w:t>
      </w:r>
      <w:r w:rsidRPr="00BA7B73">
        <w:tab/>
      </w:r>
      <w:r>
        <w:t>Une meilleure</w:t>
      </w:r>
      <w:r w:rsidRPr="00BA7B73">
        <w:t xml:space="preserve"> compatibilité entre les enveloppes des gabarits et l</w:t>
      </w:r>
      <w:r>
        <w:t>es</w:t>
      </w:r>
      <w:r w:rsidRPr="00BA7B73">
        <w:t xml:space="preserve"> béquille</w:t>
      </w:r>
      <w:r>
        <w:t>s</w:t>
      </w:r>
      <w:r w:rsidRPr="00BA7B73">
        <w:t xml:space="preserve"> </w:t>
      </w:r>
      <w:r>
        <w:t xml:space="preserve">présentera un intérêt </w:t>
      </w:r>
      <w:r w:rsidRPr="00BA7B73">
        <w:t>écologique, car elle contribuera à améliorer les forces de compression, ce qui aboutira à une réduction des matériaux. Cela signifie également qu</w:t>
      </w:r>
      <w:r>
        <w:t>’</w:t>
      </w:r>
      <w:r w:rsidRPr="00BA7B73">
        <w:t xml:space="preserve">il serait possible de réduire le poids des systèmes de retenue pour enfants et, ainsi, de faciliter leur manipulation. </w:t>
      </w:r>
    </w:p>
    <w:p w14:paraId="150DED48" w14:textId="77777777" w:rsidR="002E416F" w:rsidRPr="00BA7B73" w:rsidRDefault="002E416F" w:rsidP="00DB5287">
      <w:pPr>
        <w:pStyle w:val="SingleTxtG"/>
        <w:rPr>
          <w:rFonts w:eastAsia="Times New Roman"/>
          <w:iCs/>
          <w:sz w:val="18"/>
          <w:szCs w:val="18"/>
        </w:rPr>
      </w:pPr>
      <w:r w:rsidRPr="00BA7B73">
        <w:t>4.</w:t>
      </w:r>
      <w:r w:rsidRPr="00BA7B73">
        <w:tab/>
        <w:t>L</w:t>
      </w:r>
      <w:r>
        <w:t>’</w:t>
      </w:r>
      <w:r w:rsidRPr="00BA7B73">
        <w:t>accroissement de ce volume sera également utile pour les modèles équipés de composants électroniques permettant d</w:t>
      </w:r>
      <w:r>
        <w:t>’</w:t>
      </w:r>
      <w:r w:rsidRPr="00BA7B73">
        <w:t>avertir l</w:t>
      </w:r>
      <w:r>
        <w:t>’</w:t>
      </w:r>
      <w:r w:rsidRPr="00BA7B73">
        <w:t>utilisateur en cas de mauvaise utilisation du système</w:t>
      </w:r>
      <w:r>
        <w:t xml:space="preserve"> de retenue</w:t>
      </w:r>
      <w:r w:rsidRPr="00BA7B73">
        <w:t>.</w:t>
      </w:r>
    </w:p>
    <w:p w14:paraId="52549AE7" w14:textId="77777777" w:rsidR="002E416F" w:rsidRPr="00BA7B73" w:rsidRDefault="002E416F" w:rsidP="00DB5287">
      <w:pPr>
        <w:pStyle w:val="SingleTxtG"/>
        <w:rPr>
          <w:rFonts w:eastAsia="Times New Roman"/>
          <w:sz w:val="18"/>
          <w:szCs w:val="18"/>
        </w:rPr>
      </w:pPr>
      <w:r w:rsidRPr="00BA7B73">
        <w:t>5.</w:t>
      </w:r>
      <w:r w:rsidRPr="00BA7B73">
        <w:tab/>
        <w:t>Comme le volume supplémentaire imparti au socle de la béquille englobe déjà le volume prévu pour le gabarit ISO/R2, l</w:t>
      </w:r>
      <w:r>
        <w:t>’</w:t>
      </w:r>
      <w:r w:rsidRPr="00BA7B73">
        <w:t xml:space="preserve">espace supplémentaire nécessaire est minime, voire nul (en fonction de la position du système ISOFIX). </w:t>
      </w:r>
    </w:p>
    <w:p w14:paraId="12C76F28" w14:textId="77777777" w:rsidR="002E416F" w:rsidRPr="00BA7B73" w:rsidRDefault="002E416F" w:rsidP="002E416F">
      <w:pPr>
        <w:spacing w:after="240"/>
        <w:ind w:left="1134" w:right="1134"/>
        <w:jc w:val="both"/>
        <w:rPr>
          <w:u w:val="single"/>
          <w:lang w:val="en-GB"/>
        </w:rPr>
      </w:pPr>
      <w:r w:rsidRPr="00BA7B73">
        <w:rPr>
          <w:noProof/>
          <w:lang w:val="en-GB"/>
        </w:rPr>
        <w:drawing>
          <wp:inline distT="0" distB="0" distL="0" distR="0" wp14:anchorId="2C141621" wp14:editId="19A1B0A7">
            <wp:extent cx="3271060" cy="2120400"/>
            <wp:effectExtent l="0" t="0" r="571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7106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4E3432D6" w14:textId="5760C8C5" w:rsidR="00F9573C" w:rsidRDefault="002E416F" w:rsidP="002E416F">
      <w:pPr>
        <w:spacing w:before="240"/>
        <w:jc w:val="center"/>
      </w:pPr>
      <w:r w:rsidRPr="00BA7B73">
        <w:rPr>
          <w:u w:val="single"/>
          <w:lang w:val="en-GB" w:eastAsia="fr-FR"/>
        </w:rPr>
        <w:tab/>
      </w:r>
      <w:r w:rsidRPr="00BA7B73">
        <w:rPr>
          <w:u w:val="single"/>
          <w:lang w:val="en-GB" w:eastAsia="fr-FR"/>
        </w:rPr>
        <w:tab/>
      </w:r>
      <w:r w:rsidRPr="00BA7B73">
        <w:rPr>
          <w:u w:val="single"/>
          <w:lang w:val="en-GB" w:eastAsia="fr-FR"/>
        </w:rPr>
        <w:tab/>
      </w:r>
    </w:p>
    <w:sectPr w:rsidR="00F9573C" w:rsidSect="002E416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54480" w14:textId="77777777" w:rsidR="006306B0" w:rsidRDefault="006306B0" w:rsidP="00F95C08">
      <w:pPr>
        <w:spacing w:line="240" w:lineRule="auto"/>
      </w:pPr>
    </w:p>
  </w:endnote>
  <w:endnote w:type="continuationSeparator" w:id="0">
    <w:p w14:paraId="6B9D0A83" w14:textId="77777777" w:rsidR="006306B0" w:rsidRPr="00AC3823" w:rsidRDefault="006306B0" w:rsidP="00AC3823">
      <w:pPr>
        <w:pStyle w:val="Pieddepage"/>
      </w:pPr>
    </w:p>
  </w:endnote>
  <w:endnote w:type="continuationNotice" w:id="1">
    <w:p w14:paraId="313344BC" w14:textId="77777777" w:rsidR="006306B0" w:rsidRDefault="006306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1A272" w14:textId="7D216576" w:rsidR="002E416F" w:rsidRPr="002E416F" w:rsidRDefault="002E416F" w:rsidP="002E416F">
    <w:pPr>
      <w:pStyle w:val="Pieddepage"/>
      <w:tabs>
        <w:tab w:val="right" w:pos="9638"/>
      </w:tabs>
    </w:pPr>
    <w:r w:rsidRPr="002E416F">
      <w:rPr>
        <w:b/>
        <w:sz w:val="18"/>
      </w:rPr>
      <w:fldChar w:fldCharType="begin"/>
    </w:r>
    <w:r w:rsidRPr="002E416F">
      <w:rPr>
        <w:b/>
        <w:sz w:val="18"/>
      </w:rPr>
      <w:instrText xml:space="preserve"> PAGE  \* MERGEFORMAT </w:instrText>
    </w:r>
    <w:r w:rsidRPr="002E416F">
      <w:rPr>
        <w:b/>
        <w:sz w:val="18"/>
      </w:rPr>
      <w:fldChar w:fldCharType="separate"/>
    </w:r>
    <w:r w:rsidRPr="002E416F">
      <w:rPr>
        <w:b/>
        <w:noProof/>
        <w:sz w:val="18"/>
      </w:rPr>
      <w:t>2</w:t>
    </w:r>
    <w:r w:rsidRPr="002E416F">
      <w:rPr>
        <w:b/>
        <w:sz w:val="18"/>
      </w:rPr>
      <w:fldChar w:fldCharType="end"/>
    </w:r>
    <w:r>
      <w:rPr>
        <w:b/>
        <w:sz w:val="18"/>
      </w:rPr>
      <w:tab/>
    </w:r>
    <w:r>
      <w:t>GE.21-13274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9BE9C" w14:textId="7429CFEF" w:rsidR="002E416F" w:rsidRPr="002E416F" w:rsidRDefault="002E416F" w:rsidP="002E416F">
    <w:pPr>
      <w:pStyle w:val="Pieddepage"/>
      <w:tabs>
        <w:tab w:val="right" w:pos="9638"/>
      </w:tabs>
      <w:rPr>
        <w:b/>
        <w:sz w:val="18"/>
      </w:rPr>
    </w:pPr>
    <w:r>
      <w:t>GE.21-13274</w:t>
    </w:r>
    <w:r>
      <w:tab/>
    </w:r>
    <w:r w:rsidRPr="002E416F">
      <w:rPr>
        <w:b/>
        <w:sz w:val="18"/>
      </w:rPr>
      <w:fldChar w:fldCharType="begin"/>
    </w:r>
    <w:r w:rsidRPr="002E416F">
      <w:rPr>
        <w:b/>
        <w:sz w:val="18"/>
      </w:rPr>
      <w:instrText xml:space="preserve"> PAGE  \* MERGEFORMAT </w:instrText>
    </w:r>
    <w:r w:rsidRPr="002E416F">
      <w:rPr>
        <w:b/>
        <w:sz w:val="18"/>
      </w:rPr>
      <w:fldChar w:fldCharType="separate"/>
    </w:r>
    <w:r w:rsidRPr="002E416F">
      <w:rPr>
        <w:b/>
        <w:noProof/>
        <w:sz w:val="18"/>
      </w:rPr>
      <w:t>3</w:t>
    </w:r>
    <w:r w:rsidRPr="002E41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CE801" w14:textId="6549B899" w:rsidR="007F20FA" w:rsidRPr="002E416F" w:rsidRDefault="002E416F" w:rsidP="002E416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E1577D3" wp14:editId="57CADA4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21-13274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8F172E8" wp14:editId="59D356C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111021    121021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EA2C8" w14:textId="77777777" w:rsidR="006306B0" w:rsidRPr="00AC3823" w:rsidRDefault="006306B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E82944" w14:textId="77777777" w:rsidR="006306B0" w:rsidRPr="00AC3823" w:rsidRDefault="006306B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30E35BF" w14:textId="77777777" w:rsidR="006306B0" w:rsidRPr="00AC3823" w:rsidRDefault="006306B0">
      <w:pPr>
        <w:spacing w:line="240" w:lineRule="auto"/>
        <w:rPr>
          <w:sz w:val="2"/>
          <w:szCs w:val="2"/>
        </w:rPr>
      </w:pPr>
    </w:p>
  </w:footnote>
  <w:footnote w:id="2">
    <w:p w14:paraId="217F1B08" w14:textId="77777777" w:rsidR="002E416F" w:rsidRPr="003212C9" w:rsidRDefault="002E416F" w:rsidP="002E416F">
      <w:pPr>
        <w:pStyle w:val="Notedebasdepage"/>
        <w:jc w:val="both"/>
        <w:rPr>
          <w:rFonts w:eastAsia="Times New Roman"/>
          <w:sz w:val="16"/>
          <w:szCs w:val="18"/>
        </w:rPr>
      </w:pPr>
      <w:r w:rsidRPr="003212C9">
        <w:rPr>
          <w:szCs w:val="18"/>
        </w:rPr>
        <w:tab/>
      </w:r>
      <w:r w:rsidRPr="002E416F">
        <w:rPr>
          <w:sz w:val="20"/>
        </w:rPr>
        <w:t>*</w:t>
      </w:r>
      <w:r w:rsidRPr="003212C9">
        <w:rPr>
          <w:szCs w:val="18"/>
        </w:rPr>
        <w:tab/>
        <w:t>Conformément au programme de travail du Comité des transports intérieurs pour 2021 tel qu’il figure dans le projet de budget-programme pour 2021 (A/75/6 (Sect. 20), par. 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5D80" w14:textId="0BEC6F0F" w:rsidR="002E416F" w:rsidRPr="002E416F" w:rsidRDefault="002E416F">
    <w:pPr>
      <w:pStyle w:val="En-tte"/>
    </w:pPr>
    <w:fldSimple w:instr=" TITLE  \* MERGEFORMAT ">
      <w:r>
        <w:t>ECE/TRANS/WP.29/GRSP/2021/25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7448B" w14:textId="7177C3C1" w:rsidR="002E416F" w:rsidRPr="002E416F" w:rsidRDefault="002E416F" w:rsidP="002E416F">
    <w:pPr>
      <w:pStyle w:val="En-tte"/>
      <w:jc w:val="right"/>
    </w:pPr>
    <w:fldSimple w:instr=" TITLE  \* MERGEFORMAT ">
      <w:r>
        <w:t>ECE/TRANS/WP.29/GRSP/2021/25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332718"/>
    <w:multiLevelType w:val="hybridMultilevel"/>
    <w:tmpl w:val="E5B60514"/>
    <w:lvl w:ilvl="0" w:tplc="08090001">
      <w:start w:val="1"/>
      <w:numFmt w:val="bullet"/>
      <w:pStyle w:val="Titre1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Titre2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Titre3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Titre4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Titre5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pStyle w:val="Titre6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pStyle w:val="Titre7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pStyle w:val="Titre8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pStyle w:val="Titre9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B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3F88"/>
    <w:rsid w:val="001F525A"/>
    <w:rsid w:val="00201148"/>
    <w:rsid w:val="00223272"/>
    <w:rsid w:val="0024779E"/>
    <w:rsid w:val="00257168"/>
    <w:rsid w:val="002744B8"/>
    <w:rsid w:val="002832AC"/>
    <w:rsid w:val="002D7C93"/>
    <w:rsid w:val="002E416F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306B0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B5287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475A76"/>
  <w15:docId w15:val="{50271F91-E936-40EA-A357-61F42633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Policepardfaut"/>
    <w:link w:val="SingleTxtG"/>
    <w:qFormat/>
    <w:rsid w:val="002E416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2E416F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64C39-2E75-4B5B-870D-69E1D31D0F0E}"/>
</file>

<file path=customXml/itemProps2.xml><?xml version="1.0" encoding="utf-8"?>
<ds:datastoreItem xmlns:ds="http://schemas.openxmlformats.org/officeDocument/2006/customXml" ds:itemID="{57BB9FB5-2459-4191-B0CC-B5EBC2671047}"/>
</file>

<file path=customXml/itemProps3.xml><?xml version="1.0" encoding="utf-8"?>
<ds:datastoreItem xmlns:ds="http://schemas.openxmlformats.org/officeDocument/2006/customXml" ds:itemID="{82126A29-D8A5-4A5E-A5AE-04E678B2DB7D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512</Words>
  <Characters>3586</Characters>
  <Application>Microsoft Office Word</Application>
  <DocSecurity>0</DocSecurity>
  <Lines>298</Lines>
  <Paragraphs>163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ECE/TRANS/WP.29/GRSP/2021/25</vt:lpstr>
    </vt:vector>
  </TitlesOfParts>
  <Company>DCM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ECE/TRANS/WP.29/GRSP/2021/25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2021-10-12T08:52:00Z</dcterms:created>
  <dcterms:modified xsi:type="dcterms:W3CDTF">2021-10-12T08:52:00Z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